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82" w:beforeLines="90" w:after="594" w:afterLines="190"/>
        <w:jc w:val="center"/>
        <w:textAlignment w:val="auto"/>
        <w:rPr>
          <w:rFonts w:hint="eastAsia" w:ascii="方正大标宋简体" w:hAnsi="方正大标宋简体" w:eastAsia="方正大标宋简体" w:cs="方正大标宋简体"/>
          <w:color w:val="FF0000"/>
          <w:spacing w:val="-6"/>
          <w:w w:val="33"/>
          <w:sz w:val="108"/>
          <w:szCs w:val="108"/>
          <w:highlight w:val="none"/>
          <w:lang w:val="en-US" w:eastAsia="zh-CN"/>
        </w:rPr>
      </w:pPr>
      <w:r>
        <w:rPr>
          <w:rFonts w:hint="eastAsia" w:ascii="方正大标宋简体" w:hAnsi="方正大标宋简体" w:eastAsia="方正大标宋简体" w:cs="方正大标宋简体"/>
          <w:color w:val="FF0000"/>
          <w:spacing w:val="-6"/>
          <w:w w:val="33"/>
          <w:sz w:val="108"/>
          <w:szCs w:val="108"/>
          <w:highlight w:val="none"/>
          <w:lang w:val="en-US" w:eastAsia="zh-CN"/>
        </w:rPr>
        <w:t>中共芷江侗族自治县委实施乡村振兴战略领导小组文件</w:t>
      </w:r>
    </w:p>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芷委乡振组</w:t>
      </w:r>
      <w:r>
        <w:rPr>
          <w:rFonts w:hint="eastAsia" w:ascii="楷体" w:hAnsi="楷体" w:eastAsia="楷体" w:cs="楷体"/>
          <w:b/>
          <w:bCs/>
          <w:sz w:val="32"/>
          <w:szCs w:val="32"/>
          <w:highlight w:val="none"/>
          <w:lang w:eastAsia="zh-CN"/>
        </w:rPr>
        <w:t>发</w:t>
      </w:r>
      <w:r>
        <w:rPr>
          <w:rFonts w:hint="eastAsia" w:ascii="楷体" w:hAnsi="楷体" w:eastAsia="楷体" w:cs="楷体"/>
          <w:b/>
          <w:bCs/>
          <w:sz w:val="32"/>
          <w:szCs w:val="32"/>
          <w:highlight w:val="none"/>
        </w:rPr>
        <w:t>〔2021〕</w:t>
      </w: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rPr>
        <w:t>号</w:t>
      </w:r>
    </w:p>
    <w:p>
      <w:pPr>
        <w:keepNext w:val="0"/>
        <w:keepLines w:val="0"/>
        <w:shd w:val="clear"/>
        <w:bidi w:val="0"/>
        <w:spacing w:before="0" w:after="0" w:line="560" w:lineRule="exact"/>
        <w:ind w:left="0" w:right="0" w:firstLine="0"/>
        <w:jc w:val="center"/>
        <w:rPr>
          <w:rFonts w:hint="eastAsia" w:ascii="黑体" w:hAnsi="黑体" w:eastAsia="黑体" w:cstheme="minorBidi"/>
          <w:color w:val="333333"/>
          <w:spacing w:val="0"/>
          <w:w w:val="100"/>
          <w:kern w:val="2"/>
          <w:position w:val="0"/>
          <w:sz w:val="44"/>
          <w:szCs w:val="44"/>
          <w:highlight w:val="none"/>
          <w:shd w:val="clear" w:color="auto" w:fill="FFFFFF"/>
          <w:lang w:eastAsia="zh-CN" w:bidi="ar-SA"/>
        </w:rPr>
      </w:pPr>
      <w:r>
        <w:rPr>
          <w:rFonts w:hint="eastAsia" w:ascii="楷体" w:hAnsi="楷体" w:eastAsia="楷体" w:cs="楷体"/>
          <w:b/>
          <w:bCs/>
          <w:spacing w:val="-3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116840</wp:posOffset>
                </wp:positionV>
                <wp:extent cx="5165090" cy="20955"/>
                <wp:effectExtent l="0" t="0" r="0" b="0"/>
                <wp:wrapNone/>
                <wp:docPr id="2" name="直线 2"/>
                <wp:cNvGraphicFramePr/>
                <a:graphic xmlns:a="http://schemas.openxmlformats.org/drawingml/2006/main">
                  <a:graphicData uri="http://schemas.microsoft.com/office/word/2010/wordprocessingShape">
                    <wps:wsp>
                      <wps:cNvCnPr/>
                      <wps:spPr>
                        <a:xfrm>
                          <a:off x="0" y="0"/>
                          <a:ext cx="5165090" cy="2095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05pt;margin-top:9.2pt;height:1.65pt;width:406.7pt;z-index:251659264;mso-width-relative:page;mso-height-relative:page;" filled="f" stroked="t" coordsize="21600,21600" o:gfxdata="UEsDBAoAAAAAAIdO4kAAAAAAAAAAAAAAAAAEAAAAZHJzL1BLAwQUAAAACACHTuJAjMko9NcAAAAI&#10;AQAADwAAAGRycy9kb3ducmV2LnhtbE2PzU7DMBCE70i8g7VI3KiTqE2jEKcHEEhwo1AQNzfexBH2&#10;OordH96e5QSn1WhGs980m7N34ohzHAMpyBcZCKQumJEGBW+vDzcViJg0Ge0CoYJvjLBpLy8aXZtw&#10;ohc8btMguIRirRXYlKZaythZ9DouwoTEXh9mrxPLeZBm1icu904WWVZKr0fiD1ZPeGex+9oevIKn&#10;d9yZ3efz/So4k/cfj2XsbanU9VWe3YJIeE5/YfjFZ3RomWkfDmSicKyXOSf5VksQ7FfFegVir6DI&#10;1yDbRv4f0P4AUEsDBBQAAAAIAIdO4kC6ZXTP7AEAAOADAAAOAAAAZHJzL2Uyb0RvYy54bWytU0uO&#10;EzEQ3SNxB8t70p2IjJjWdGYxIWwQRII5QMV2d1vyTy4nnZyFa7Biw3HmGpTdIQPDJgt64S67np/r&#10;PZfv7o/WsIOKqL1r+XxWc6ac8FK7vuWPXzdv3nGGCZwE451q+Ukhv1+9fnU3hkYt/OCNVJERicNm&#10;DC0fUgpNVaEYlAWc+aAcJTsfLSSaxr6SEUZit6Za1PVNNfooQ/RCIdLqekryM2O8htB3nRZq7cXe&#10;Kpcm1qgMJJKEgw7IV6XarlMife46VImZlpPSVEY6hOJdHqvVHTR9hDBocS4BrinhhSYL2tGhF6o1&#10;JGD7qP+hslpEj75LM+FtNQkpjpCKef3Cmy8DBFW0kNUYLqbj/6MVnw7byLRs+YIzB5Yu/Onb96cf&#10;P9kiezMGbAjy4LbxPMOwjVnosYs2/0kCOxY/Txc/1TExQYvL+c2yviWrBeUW9e1ymTmr580hYvqg&#10;vGU5aLnRLsuFBg4fMU3Q35C8bBwbiWj5ts6cQM3X0aVTaAMJQNeXzeiNlhttTN6Csd89mMgOQA2w&#10;2dT0nWv4C5ZPWQMOE66kMgyaQYF87yRLp0DWOHoRPNdgleTMKHpAOSrIBNpcgyT5xpEL2drJzBzt&#10;vDzRRexD1P1AVsxLlTlDF188Ozdp7qw/54Xp+WG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ySj01wAAAAgBAAAPAAAAAAAAAAEAIAAAACIAAABkcnMvZG93bnJldi54bWxQSwECFAAUAAAACACH&#10;TuJAumV0z+wBAADgAwAADgAAAAAAAAABACAAAAAmAQAAZHJzL2Uyb0RvYy54bWxQSwUGAAAAAAYA&#10;BgBZAQAAhAUAAAAA&#10;">
                <v:fill on="f" focussize="0,0"/>
                <v:stroke weight="2pt" color="#FF0000" joinstyle="round"/>
                <v:imagedata o:title=""/>
                <o:lock v:ext="edit" aspectratio="f"/>
              </v:lin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8" w:lineRule="atLeast"/>
        <w:ind w:left="0" w:right="0" w:firstLine="0"/>
        <w:jc w:val="center"/>
        <w:rPr>
          <w:rFonts w:hint="default" w:ascii="Times New Roman" w:hAnsi="Times New Roman" w:cs="Times New Roman"/>
          <w:i w:val="0"/>
          <w:iCs w:val="0"/>
          <w:caps w:val="0"/>
          <w:color w:val="000000"/>
          <w:spacing w:val="0"/>
          <w:sz w:val="28"/>
          <w:szCs w:val="28"/>
        </w:rPr>
      </w:pPr>
      <w:r>
        <w:rPr>
          <w:rFonts w:hint="eastAsia" w:ascii="黑体" w:hAnsi="黑体" w:eastAsia="黑体" w:cstheme="minorBidi"/>
          <w:color w:val="333333"/>
          <w:spacing w:val="0"/>
          <w:w w:val="100"/>
          <w:kern w:val="2"/>
          <w:position w:val="0"/>
          <w:sz w:val="44"/>
          <w:szCs w:val="44"/>
          <w:highlight w:val="none"/>
          <w:shd w:val="clear" w:color="auto" w:fill="FFFFFF"/>
          <w:lang w:eastAsia="zh-CN" w:bidi="ar-SA"/>
        </w:rPr>
        <w:t>关于印发《芷江侗族自治县财政衔接推进乡村振兴补助资金管理办法》的通知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8" w:lineRule="atLeast"/>
        <w:ind w:left="0" w:right="0" w:firstLine="0"/>
        <w:jc w:val="center"/>
        <w:rPr>
          <w:rFonts w:hint="default" w:ascii="方正书宋简体" w:hAnsi="方正书宋简体" w:eastAsia="方正书宋简体" w:cs="方正书宋简体"/>
          <w:i w:val="0"/>
          <w:iCs w:val="0"/>
          <w:caps w:val="0"/>
          <w:color w:val="000000"/>
          <w:spacing w:val="0"/>
          <w:sz w:val="28"/>
          <w:szCs w:val="28"/>
        </w:rPr>
      </w:pPr>
      <w:r>
        <w:rPr>
          <w:rFonts w:hint="default" w:ascii="方正书宋简体" w:hAnsi="方正书宋简体" w:eastAsia="方正书宋简体" w:cs="方正书宋简体"/>
          <w:i w:val="0"/>
          <w:iCs w:val="0"/>
          <w:caps w:val="0"/>
          <w:color w:val="000000"/>
          <w:spacing w:val="0"/>
          <w:sz w:val="28"/>
          <w:szCs w:val="28"/>
          <w:shd w:val="clear" w:fill="FFFFFF"/>
        </w:rPr>
        <w:t>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各乡镇人民政府，县直有关部门：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eastAsia="zh-CN"/>
        </w:rPr>
        <w:t>芷江侗族自治县</w:t>
      </w:r>
      <w:r>
        <w:rPr>
          <w:rFonts w:hint="eastAsia" w:ascii="仿宋_GB2312" w:hAnsi="仿宋_GB2312" w:eastAsia="仿宋_GB2312" w:cs="仿宋_GB2312"/>
          <w:color w:val="000000"/>
          <w:spacing w:val="0"/>
          <w:w w:val="100"/>
          <w:kern w:val="0"/>
          <w:position w:val="0"/>
          <w:sz w:val="32"/>
          <w:szCs w:val="32"/>
        </w:rPr>
        <w:t>财政衔接推进乡村振兴补助资金管理实施细则》已经县</w:t>
      </w:r>
      <w:r>
        <w:rPr>
          <w:rFonts w:hint="eastAsia" w:ascii="仿宋_GB2312" w:hAnsi="仿宋_GB2312" w:eastAsia="仿宋_GB2312" w:cs="仿宋_GB2312"/>
          <w:color w:val="000000"/>
          <w:spacing w:val="0"/>
          <w:w w:val="100"/>
          <w:kern w:val="0"/>
          <w:position w:val="0"/>
          <w:sz w:val="32"/>
          <w:szCs w:val="32"/>
          <w:lang w:eastAsia="zh-CN"/>
        </w:rPr>
        <w:t>人民</w:t>
      </w:r>
      <w:r>
        <w:rPr>
          <w:rFonts w:hint="eastAsia" w:ascii="仿宋_GB2312" w:hAnsi="仿宋_GB2312" w:eastAsia="仿宋_GB2312" w:cs="仿宋_GB2312"/>
          <w:color w:val="000000"/>
          <w:spacing w:val="0"/>
          <w:w w:val="100"/>
          <w:kern w:val="0"/>
          <w:position w:val="0"/>
          <w:sz w:val="32"/>
          <w:szCs w:val="32"/>
        </w:rPr>
        <w:t>政府同意，现予以印发，请遵照执行。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4"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eastAsia="zh-CN"/>
        </w:rPr>
        <w:t>附件：芷江侗族自治县财政衔接推进乡村振兴补助资金管理办法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630" w:firstLine="0"/>
        <w:jc w:val="right"/>
        <w:rPr>
          <w:rFonts w:hint="default" w:ascii="方正书宋简体" w:hAnsi="方正书宋简体" w:eastAsia="方正书宋简体" w:cs="方正书宋简体"/>
          <w:i w:val="0"/>
          <w:iCs w:val="0"/>
          <w:caps w:val="0"/>
          <w:color w:val="000000"/>
          <w:spacing w:val="0"/>
          <w:sz w:val="23"/>
          <w:szCs w:val="23"/>
        </w:rPr>
      </w:pPr>
      <w:r>
        <w:rPr>
          <w:rFonts w:hint="default" w:ascii="NEU-BZ" w:hAnsi="NEU-BZ" w:eastAsia="NEU-BZ" w:cs="NEU-BZ"/>
          <w:i w:val="0"/>
          <w:iCs w:val="0"/>
          <w:caps w:val="0"/>
          <w:color w:val="000000"/>
          <w:spacing w:val="0"/>
          <w:sz w:val="21"/>
          <w:szCs w:val="21"/>
          <w:shd w:val="clear" w:fill="FFFFFF"/>
        </w:rPr>
        <w:t> </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微软雅黑" w:eastAsia="仿宋_GB2312"/>
          <w:color w:val="333333"/>
          <w:sz w:val="32"/>
          <w:szCs w:val="32"/>
          <w:highlight w:val="none"/>
          <w:shd w:val="clear" w:color="auto" w:fill="FFFFFF"/>
          <w:lang w:val="en-US" w:eastAsia="zh-CN"/>
        </w:rPr>
      </w:pPr>
      <w:r>
        <w:rPr>
          <w:rFonts w:hint="eastAsia" w:ascii="仿宋_GB2312" w:hAnsi="微软雅黑" w:eastAsia="仿宋_GB2312"/>
          <w:color w:val="333333"/>
          <w:sz w:val="32"/>
          <w:szCs w:val="32"/>
          <w:highlight w:val="none"/>
          <w:shd w:val="clear" w:color="auto" w:fill="FFFFFF"/>
          <w:lang w:val="en-US" w:eastAsia="zh-CN"/>
        </w:rPr>
        <w:t xml:space="preserve">            中共</w:t>
      </w:r>
      <w:r>
        <w:rPr>
          <w:rFonts w:hint="eastAsia" w:ascii="仿宋_GB2312" w:hAnsi="微软雅黑" w:eastAsia="仿宋_GB2312"/>
          <w:color w:val="333333"/>
          <w:sz w:val="32"/>
          <w:szCs w:val="32"/>
          <w:highlight w:val="none"/>
          <w:shd w:val="clear" w:color="auto" w:fill="FFFFFF"/>
        </w:rPr>
        <w:t>芷江侗族自治县</w:t>
      </w:r>
      <w:r>
        <w:rPr>
          <w:rFonts w:hint="eastAsia" w:ascii="仿宋_GB2312" w:hAnsi="微软雅黑" w:eastAsia="仿宋_GB2312"/>
          <w:color w:val="333333"/>
          <w:sz w:val="32"/>
          <w:szCs w:val="32"/>
          <w:highlight w:val="none"/>
          <w:shd w:val="clear" w:color="auto" w:fill="FFFFFF"/>
          <w:lang w:val="en-US" w:eastAsia="zh-CN"/>
        </w:rPr>
        <w:t>乡村振兴战略领导小组</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 w:hAnsi="仿宋" w:eastAsia="仿宋" w:cs="仿宋"/>
          <w:color w:val="000000"/>
          <w:spacing w:val="0"/>
          <w:w w:val="100"/>
          <w:position w:val="0"/>
          <w:sz w:val="32"/>
          <w:szCs w:val="32"/>
          <w:lang w:eastAsia="zh-CN"/>
        </w:rPr>
      </w:pPr>
      <w:r>
        <w:rPr>
          <w:rFonts w:hint="eastAsia" w:ascii="仿宋_GB2312" w:hAnsi="微软雅黑" w:eastAsia="仿宋_GB2312"/>
          <w:color w:val="333333"/>
          <w:sz w:val="32"/>
          <w:szCs w:val="32"/>
          <w:highlight w:val="none"/>
          <w:shd w:val="clear" w:color="auto" w:fill="FFFFFF"/>
          <w:lang w:val="en-US" w:eastAsia="zh-CN"/>
        </w:rPr>
        <w:t xml:space="preserve">               </w:t>
      </w:r>
      <w:r>
        <w:rPr>
          <w:rFonts w:hint="eastAsia" w:ascii="仿宋_GB2312" w:hAnsi="微软雅黑" w:eastAsia="仿宋_GB2312"/>
          <w:color w:val="333333"/>
          <w:sz w:val="32"/>
          <w:szCs w:val="32"/>
          <w:highlight w:val="none"/>
          <w:shd w:val="clear" w:color="auto" w:fill="FFFFFF"/>
        </w:rPr>
        <w:t>20</w:t>
      </w:r>
      <w:r>
        <w:rPr>
          <w:rFonts w:hint="eastAsia" w:ascii="仿宋_GB2312" w:hAnsi="微软雅黑" w:eastAsia="仿宋_GB2312"/>
          <w:color w:val="333333"/>
          <w:sz w:val="32"/>
          <w:szCs w:val="32"/>
          <w:highlight w:val="none"/>
          <w:shd w:val="clear" w:color="auto" w:fill="FFFFFF"/>
          <w:lang w:val="en-US" w:eastAsia="zh-CN"/>
        </w:rPr>
        <w:t xml:space="preserve">21 </w:t>
      </w:r>
      <w:r>
        <w:rPr>
          <w:rFonts w:hint="eastAsia" w:ascii="仿宋_GB2312" w:hAnsi="微软雅黑" w:eastAsia="仿宋_GB2312"/>
          <w:color w:val="333333"/>
          <w:sz w:val="32"/>
          <w:szCs w:val="32"/>
          <w:highlight w:val="none"/>
          <w:shd w:val="clear" w:color="auto" w:fill="FFFFFF"/>
        </w:rPr>
        <w:t>年</w:t>
      </w:r>
      <w:r>
        <w:rPr>
          <w:rFonts w:hint="eastAsia" w:ascii="仿宋_GB2312" w:hAnsi="微软雅黑" w:eastAsia="仿宋_GB2312"/>
          <w:color w:val="333333"/>
          <w:sz w:val="32"/>
          <w:szCs w:val="32"/>
          <w:highlight w:val="none"/>
          <w:shd w:val="clear" w:color="auto" w:fill="FFFFFF"/>
          <w:lang w:val="en-US" w:eastAsia="zh-CN"/>
        </w:rPr>
        <w:t>9</w:t>
      </w:r>
      <w:r>
        <w:rPr>
          <w:rFonts w:hint="eastAsia" w:ascii="仿宋_GB2312" w:hAnsi="微软雅黑" w:eastAsia="仿宋_GB2312"/>
          <w:color w:val="333333"/>
          <w:sz w:val="32"/>
          <w:szCs w:val="32"/>
          <w:highlight w:val="none"/>
          <w:shd w:val="clear" w:color="auto" w:fill="FFFFFF"/>
        </w:rPr>
        <w:t>月</w:t>
      </w:r>
      <w:r>
        <w:rPr>
          <w:rFonts w:hint="eastAsia" w:ascii="仿宋_GB2312" w:hAnsi="微软雅黑" w:eastAsia="仿宋_GB2312"/>
          <w:color w:val="333333"/>
          <w:sz w:val="32"/>
          <w:szCs w:val="32"/>
          <w:highlight w:val="none"/>
          <w:shd w:val="clear" w:color="auto" w:fill="FFFFFF"/>
          <w:lang w:val="en-US" w:eastAsia="zh-CN"/>
        </w:rPr>
        <w:t>1</w:t>
      </w:r>
      <w:r>
        <w:rPr>
          <w:rFonts w:hint="eastAsia" w:ascii="仿宋_GB2312" w:hAnsi="微软雅黑" w:eastAsia="仿宋_GB2312"/>
          <w:color w:val="333333"/>
          <w:sz w:val="32"/>
          <w:szCs w:val="32"/>
          <w:highlight w:val="none"/>
          <w:shd w:val="clear" w:color="auto"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420" w:firstLine="0"/>
        <w:jc w:val="right"/>
        <w:rPr>
          <w:rFonts w:hint="default" w:ascii="NEU-BZ" w:hAnsi="NEU-BZ" w:eastAsia="NEU-BZ" w:cs="NEU-BZ"/>
          <w:i w:val="0"/>
          <w:iCs w:val="0"/>
          <w:caps w:val="0"/>
          <w:color w:val="000000"/>
          <w:spacing w:val="0"/>
          <w:sz w:val="23"/>
          <w:szCs w:val="2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420" w:firstLine="0"/>
        <w:jc w:val="right"/>
        <w:rPr>
          <w:rFonts w:hint="default" w:ascii="NEU-BZ" w:hAnsi="NEU-BZ" w:eastAsia="NEU-BZ" w:cs="NEU-BZ"/>
          <w:i w:val="0"/>
          <w:iCs w:val="0"/>
          <w:caps w:val="0"/>
          <w:color w:val="000000"/>
          <w:spacing w:val="0"/>
          <w:sz w:val="23"/>
          <w:szCs w:val="2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420" w:firstLine="0"/>
        <w:jc w:val="right"/>
        <w:rPr>
          <w:rFonts w:hint="default" w:ascii="NEU-BZ" w:hAnsi="NEU-BZ" w:eastAsia="NEU-BZ" w:cs="NEU-BZ"/>
          <w:i w:val="0"/>
          <w:iCs w:val="0"/>
          <w:caps w:val="0"/>
          <w:color w:val="000000"/>
          <w:spacing w:val="0"/>
          <w:sz w:val="23"/>
          <w:szCs w:val="2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420" w:firstLine="0"/>
        <w:jc w:val="right"/>
        <w:rPr>
          <w:rFonts w:hint="default" w:ascii="NEU-BZ" w:hAnsi="NEU-BZ" w:eastAsia="NEU-BZ" w:cs="NEU-BZ"/>
          <w:i w:val="0"/>
          <w:iCs w:val="0"/>
          <w:caps w:val="0"/>
          <w:color w:val="000000"/>
          <w:spacing w:val="0"/>
          <w:sz w:val="23"/>
          <w:szCs w:val="2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420" w:firstLine="0"/>
        <w:jc w:val="right"/>
        <w:rPr>
          <w:rFonts w:hint="default" w:ascii="NEU-BZ" w:hAnsi="NEU-BZ" w:eastAsia="NEU-BZ" w:cs="NEU-BZ"/>
          <w:i w:val="0"/>
          <w:iCs w:val="0"/>
          <w:caps w:val="0"/>
          <w:color w:val="000000"/>
          <w:spacing w:val="0"/>
          <w:sz w:val="23"/>
          <w:szCs w:val="2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420" w:firstLine="0"/>
        <w:jc w:val="right"/>
        <w:rPr>
          <w:rFonts w:hint="default" w:ascii="NEU-BZ" w:hAnsi="NEU-BZ" w:eastAsia="NEU-BZ" w:cs="NEU-BZ"/>
          <w:i w:val="0"/>
          <w:iCs w:val="0"/>
          <w:caps w:val="0"/>
          <w:color w:val="000000"/>
          <w:spacing w:val="0"/>
          <w:sz w:val="23"/>
          <w:szCs w:val="2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黑体" w:hAnsi="黑体" w:eastAsia="黑体" w:cs="黑体"/>
          <w:b w:val="0"/>
          <w:bCs w:val="0"/>
          <w:i w:val="0"/>
          <w:iCs w:val="0"/>
          <w:caps w:val="0"/>
          <w:color w:val="000000"/>
          <w:spacing w:val="0"/>
          <w:sz w:val="44"/>
          <w:szCs w:val="44"/>
          <w:lang w:val="en-US" w:eastAsia="zh-CN"/>
        </w:rPr>
      </w:pPr>
      <w:r>
        <w:rPr>
          <w:rFonts w:hint="eastAsia" w:ascii="黑体" w:hAnsi="黑体" w:eastAsia="黑体" w:cs="黑体"/>
          <w:b w:val="0"/>
          <w:bCs w:val="0"/>
          <w:i w:val="0"/>
          <w:iCs w:val="0"/>
          <w:caps w:val="0"/>
          <w:color w:val="000000"/>
          <w:spacing w:val="0"/>
          <w:sz w:val="44"/>
          <w:szCs w:val="44"/>
          <w:shd w:val="clear" w:fill="FFFFFF"/>
          <w:lang w:eastAsia="zh-CN"/>
        </w:rPr>
        <w:t>芷江侗族自治县</w:t>
      </w:r>
      <w:r>
        <w:rPr>
          <w:rFonts w:hint="eastAsia" w:ascii="黑体" w:hAnsi="黑体" w:eastAsia="黑体" w:cs="黑体"/>
          <w:b w:val="0"/>
          <w:bCs w:val="0"/>
          <w:i w:val="0"/>
          <w:iCs w:val="0"/>
          <w:caps w:val="0"/>
          <w:color w:val="000000"/>
          <w:spacing w:val="0"/>
          <w:sz w:val="44"/>
          <w:szCs w:val="44"/>
          <w:shd w:val="clear" w:fill="FFFFFF"/>
        </w:rPr>
        <w:t>财政衔接推进乡村振兴补助资金管理办法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default" w:ascii="Times New Roman" w:hAnsi="Times New Roman" w:cs="Times New Roman"/>
          <w:b/>
          <w:bCs/>
          <w:i w:val="0"/>
          <w:iCs w:val="0"/>
          <w:caps w:val="0"/>
          <w:color w:val="000000"/>
          <w:spacing w:val="0"/>
          <w:sz w:val="42"/>
          <w:szCs w:val="42"/>
        </w:rPr>
      </w:pPr>
      <w:r>
        <w:rPr>
          <w:rFonts w:hint="default" w:ascii="Times New Roman" w:hAnsi="Times New Roman" w:cs="Times New Roman"/>
          <w:b/>
          <w:bCs/>
          <w:i w:val="0"/>
          <w:iCs w:val="0"/>
          <w:caps w:val="0"/>
          <w:color w:val="000000"/>
          <w:spacing w:val="0"/>
          <w:sz w:val="42"/>
          <w:szCs w:val="42"/>
          <w:shd w:val="clear" w:fill="FFFFFF"/>
        </w:rPr>
        <w:t>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第一条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为贯彻落实《中共湖南省委</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湖南省人民政府关于实现巩固拓展脱贫攻坚成果同乡村振兴有效衔接的实施意见》精神，加强过渡期湖南省财政衔接推进乡村振兴补助资金（以下简称衔接资金）管理，根据《中华人民共和国预算法》</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《中央财政衔接推进乡村振兴补助资金管理办法》</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《中共湖南省委</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湖南省人民政府关于实现巩固拓展脱贫攻坚成果</w:t>
      </w:r>
      <w:bookmarkStart w:id="3" w:name="_GoBack"/>
      <w:bookmarkEnd w:id="3"/>
      <w:r>
        <w:rPr>
          <w:rFonts w:hint="eastAsia" w:ascii="仿宋_GB2312" w:hAnsi="仿宋_GB2312" w:eastAsia="仿宋_GB2312" w:cs="仿宋_GB2312"/>
          <w:color w:val="000000"/>
          <w:spacing w:val="0"/>
          <w:w w:val="100"/>
          <w:kern w:val="0"/>
          <w:position w:val="0"/>
          <w:sz w:val="32"/>
          <w:szCs w:val="32"/>
        </w:rPr>
        <w:t>同乡村振兴有效衔接的实施意见》</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《湖南省财政衔接推进乡村振兴补助资金管理办法》</w:t>
      </w:r>
      <w:r>
        <w:rPr>
          <w:rFonts w:hint="eastAsia" w:ascii="仿宋_GB2312" w:hAnsi="仿宋_GB2312" w:eastAsia="仿宋_GB2312" w:cs="仿宋_GB2312"/>
          <w:color w:val="000000"/>
          <w:spacing w:val="0"/>
          <w:w w:val="100"/>
          <w:kern w:val="0"/>
          <w:position w:val="0"/>
          <w:sz w:val="32"/>
          <w:szCs w:val="32"/>
          <w:lang w:val="en-US" w:eastAsia="zh-CN"/>
        </w:rPr>
        <w:t>等</w:t>
      </w:r>
      <w:r>
        <w:rPr>
          <w:rFonts w:hint="eastAsia" w:ascii="仿宋_GB2312" w:hAnsi="仿宋_GB2312" w:eastAsia="仿宋_GB2312" w:cs="仿宋_GB2312"/>
          <w:color w:val="000000"/>
          <w:spacing w:val="0"/>
          <w:w w:val="100"/>
          <w:kern w:val="0"/>
          <w:position w:val="0"/>
          <w:sz w:val="32"/>
          <w:szCs w:val="32"/>
        </w:rPr>
        <w:t>有关规定，</w:t>
      </w:r>
      <w:r>
        <w:rPr>
          <w:rFonts w:hint="eastAsia" w:ascii="仿宋_GB2312" w:hAnsi="仿宋_GB2312" w:eastAsia="仿宋_GB2312" w:cs="仿宋_GB2312"/>
          <w:color w:val="000000"/>
          <w:spacing w:val="0"/>
          <w:w w:val="100"/>
          <w:kern w:val="0"/>
          <w:position w:val="0"/>
          <w:sz w:val="32"/>
          <w:szCs w:val="32"/>
          <w:lang w:val="en-US" w:eastAsia="zh-CN"/>
        </w:rPr>
        <w:t>结合本县实际，</w:t>
      </w:r>
      <w:r>
        <w:rPr>
          <w:rFonts w:hint="eastAsia" w:ascii="仿宋_GB2312" w:hAnsi="仿宋_GB2312" w:eastAsia="仿宋_GB2312" w:cs="仿宋_GB2312"/>
          <w:color w:val="000000"/>
          <w:spacing w:val="0"/>
          <w:w w:val="100"/>
          <w:kern w:val="0"/>
          <w:position w:val="0"/>
          <w:sz w:val="32"/>
          <w:szCs w:val="32"/>
        </w:rPr>
        <w:t>制定本办法。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第二条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本办法所称衔接资金是指中央</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省</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市、县</w:t>
      </w:r>
      <w:r>
        <w:rPr>
          <w:rFonts w:hint="eastAsia" w:ascii="仿宋_GB2312" w:hAnsi="仿宋_GB2312" w:eastAsia="仿宋_GB2312" w:cs="仿宋_GB2312"/>
          <w:color w:val="000000"/>
          <w:spacing w:val="0"/>
          <w:w w:val="100"/>
          <w:kern w:val="0"/>
          <w:position w:val="0"/>
          <w:sz w:val="32"/>
          <w:szCs w:val="32"/>
        </w:rPr>
        <w:t>财政通过一般公共预算安排用于巩固拓展脱贫攻坚成果、衔接推进乡村振兴的资金，具体包括以下内容：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（一）支持巩固拓展脱贫攻坚成果。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default" w:ascii="仿宋_GB2312" w:hAnsi="仿宋_GB2312" w:eastAsia="仿宋_GB2312" w:cs="仿宋_GB2312"/>
          <w:color w:val="000000"/>
          <w:spacing w:val="0"/>
          <w:w w:val="100"/>
          <w:kern w:val="0"/>
          <w:position w:val="0"/>
          <w:sz w:val="32"/>
          <w:szCs w:val="32"/>
        </w:rPr>
        <w:t>1</w:t>
      </w:r>
      <w:r>
        <w:rPr>
          <w:rFonts w:hint="eastAsia" w:ascii="仿宋_GB2312" w:hAnsi="仿宋_GB2312" w:eastAsia="仿宋_GB2312" w:cs="仿宋_GB2312"/>
          <w:color w:val="000000"/>
          <w:spacing w:val="0"/>
          <w:w w:val="100"/>
          <w:kern w:val="0"/>
          <w:position w:val="0"/>
          <w:sz w:val="32"/>
          <w:szCs w:val="32"/>
        </w:rPr>
        <w:t>．支持健全防止返贫致贫监测和帮扶机制。包括：产业发展、小额信贷贴息、生产经营和劳动技能培训、公益岗位补助等支出；继续向符合条件的脱贫家庭（含监测帮扶对象家庭）安排</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雨露计划</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补助。低保、医保、养老保险、临时救助等综合保障措施，通过原资金渠道支持。监测预警工作经费通过</w:t>
      </w:r>
      <w:r>
        <w:rPr>
          <w:rFonts w:hint="eastAsia" w:ascii="仿宋_GB2312" w:hAnsi="仿宋_GB2312" w:eastAsia="仿宋_GB2312" w:cs="仿宋_GB2312"/>
          <w:color w:val="000000"/>
          <w:spacing w:val="0"/>
          <w:w w:val="100"/>
          <w:kern w:val="0"/>
          <w:position w:val="0"/>
          <w:sz w:val="32"/>
          <w:szCs w:val="32"/>
          <w:lang w:val="en-US" w:eastAsia="zh-CN"/>
        </w:rPr>
        <w:t>县财政</w:t>
      </w:r>
      <w:r>
        <w:rPr>
          <w:rFonts w:hint="eastAsia" w:ascii="仿宋_GB2312" w:hAnsi="仿宋_GB2312" w:eastAsia="仿宋_GB2312" w:cs="仿宋_GB2312"/>
          <w:color w:val="000000"/>
          <w:spacing w:val="0"/>
          <w:w w:val="100"/>
          <w:kern w:val="0"/>
          <w:position w:val="0"/>
          <w:sz w:val="32"/>
          <w:szCs w:val="32"/>
        </w:rPr>
        <w:t>预算安排。</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default" w:ascii="仿宋_GB2312" w:hAnsi="仿宋_GB2312" w:eastAsia="仿宋_GB2312" w:cs="仿宋_GB2312"/>
          <w:color w:val="000000"/>
          <w:spacing w:val="0"/>
          <w:w w:val="100"/>
          <w:kern w:val="0"/>
          <w:position w:val="0"/>
          <w:sz w:val="32"/>
          <w:szCs w:val="32"/>
        </w:rPr>
        <w:t>2</w:t>
      </w:r>
      <w:r>
        <w:rPr>
          <w:rFonts w:hint="eastAsia" w:ascii="仿宋_GB2312" w:hAnsi="仿宋_GB2312" w:eastAsia="仿宋_GB2312" w:cs="仿宋_GB2312"/>
          <w:color w:val="000000"/>
          <w:spacing w:val="0"/>
          <w:w w:val="100"/>
          <w:kern w:val="0"/>
          <w:position w:val="0"/>
          <w:sz w:val="32"/>
          <w:szCs w:val="32"/>
        </w:rPr>
        <w:t>．</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十三五</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易地扶贫搬迁后续扶持。包括：实施带动搬迁户发展的项目；对集中安置区聘用搬迁群众的公共服务岗位和</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一站式</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社区综合服务设施建设等费用予以适当补助；对规划内的易地扶贫搬迁贷款、专项建设基金和地方政府债券予以贴息。</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default" w:ascii="仿宋_GB2312" w:hAnsi="仿宋_GB2312" w:eastAsia="仿宋_GB2312" w:cs="仿宋_GB2312"/>
          <w:color w:val="000000"/>
          <w:spacing w:val="0"/>
          <w:w w:val="100"/>
          <w:kern w:val="0"/>
          <w:position w:val="0"/>
          <w:sz w:val="32"/>
          <w:szCs w:val="32"/>
        </w:rPr>
        <w:t>3</w:t>
      </w:r>
      <w:r>
        <w:rPr>
          <w:rFonts w:hint="eastAsia" w:ascii="仿宋_GB2312" w:hAnsi="仿宋_GB2312" w:eastAsia="仿宋_GB2312" w:cs="仿宋_GB2312"/>
          <w:color w:val="000000"/>
          <w:spacing w:val="0"/>
          <w:w w:val="100"/>
          <w:kern w:val="0"/>
          <w:position w:val="0"/>
          <w:sz w:val="32"/>
          <w:szCs w:val="32"/>
        </w:rPr>
        <w:t>．脱贫劳动力（含监测帮扶对象）稳定就业。包括：从中央衔接资金中对跨省就业的脱贫劳动力适当安排一次性交通补助，从省级衔接资金中对省内跨县就业脱贫劳动力适当安排一次性交通补助；对带动脱贫人口就业的乡村生产加工车间、经营主体（包括家庭农场、农业合作社、农业企业等）和发展产业的返乡在乡脱贫劳动力等给予一定生产奖补或就业补助。</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（二）支持衔接推进乡村振兴。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default" w:ascii="仿宋_GB2312" w:hAnsi="仿宋_GB2312" w:eastAsia="仿宋_GB2312" w:cs="仿宋_GB2312"/>
          <w:color w:val="000000"/>
          <w:spacing w:val="0"/>
          <w:w w:val="100"/>
          <w:kern w:val="0"/>
          <w:position w:val="0"/>
          <w:sz w:val="32"/>
          <w:szCs w:val="32"/>
        </w:rPr>
        <w:t>1</w:t>
      </w:r>
      <w:r>
        <w:rPr>
          <w:rFonts w:hint="eastAsia" w:ascii="仿宋_GB2312" w:hAnsi="仿宋_GB2312" w:eastAsia="仿宋_GB2312" w:cs="仿宋_GB2312"/>
          <w:color w:val="000000"/>
          <w:spacing w:val="0"/>
          <w:w w:val="100"/>
          <w:kern w:val="0"/>
          <w:position w:val="0"/>
          <w:sz w:val="32"/>
          <w:szCs w:val="32"/>
        </w:rPr>
        <w:t>．培育和壮大农业特色优势产业</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做大做强柑橘、高山葡萄、麻鸭、甜茶、白蜡“五朵金花”特色农业产业。包括：农业品种培优、品质提升、品牌打造；农产品精加工，农产品保鲜冷藏；产销对接和消费帮扶；</w:t>
      </w:r>
      <w:r>
        <w:rPr>
          <w:rFonts w:hint="default" w:ascii="仿宋_GB2312" w:hAnsi="仿宋_GB2312" w:eastAsia="仿宋_GB2312" w:cs="仿宋_GB2312"/>
          <w:color w:val="000000"/>
          <w:spacing w:val="0"/>
          <w:w w:val="100"/>
          <w:kern w:val="0"/>
          <w:position w:val="0"/>
          <w:sz w:val="32"/>
          <w:szCs w:val="32"/>
        </w:rPr>
        <w:t>农业科技创新发展</w:t>
      </w:r>
      <w:r>
        <w:rPr>
          <w:rFonts w:hint="eastAsia" w:ascii="仿宋_GB2312" w:hAnsi="仿宋_GB2312" w:eastAsia="仿宋_GB2312" w:cs="仿宋_GB2312"/>
          <w:color w:val="000000"/>
          <w:spacing w:val="0"/>
          <w:w w:val="100"/>
          <w:kern w:val="0"/>
          <w:position w:val="0"/>
          <w:sz w:val="32"/>
          <w:szCs w:val="32"/>
          <w:lang w:eastAsia="zh-CN"/>
        </w:rPr>
        <w:t>；扶持经营主体发展壮大；</w:t>
      </w:r>
      <w:r>
        <w:rPr>
          <w:rFonts w:hint="eastAsia" w:ascii="仿宋_GB2312" w:hAnsi="仿宋_GB2312" w:eastAsia="仿宋_GB2312" w:cs="仿宋_GB2312"/>
          <w:color w:val="000000"/>
          <w:spacing w:val="0"/>
          <w:w w:val="100"/>
          <w:kern w:val="0"/>
          <w:position w:val="0"/>
          <w:sz w:val="32"/>
          <w:szCs w:val="32"/>
        </w:rPr>
        <w:t>农田等必要的产业配套基础设施建设。</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default" w:ascii="仿宋_GB2312" w:hAnsi="仿宋_GB2312" w:eastAsia="仿宋_GB2312" w:cs="仿宋_GB2312"/>
          <w:color w:val="000000"/>
          <w:spacing w:val="0"/>
          <w:w w:val="100"/>
          <w:kern w:val="0"/>
          <w:position w:val="0"/>
          <w:sz w:val="32"/>
          <w:szCs w:val="32"/>
        </w:rPr>
        <w:t>2</w:t>
      </w:r>
      <w:r>
        <w:rPr>
          <w:rFonts w:hint="eastAsia" w:ascii="仿宋_GB2312" w:hAnsi="仿宋_GB2312" w:eastAsia="仿宋_GB2312" w:cs="仿宋_GB2312"/>
          <w:color w:val="000000"/>
          <w:spacing w:val="0"/>
          <w:w w:val="100"/>
          <w:kern w:val="0"/>
          <w:position w:val="0"/>
          <w:sz w:val="32"/>
          <w:szCs w:val="32"/>
        </w:rPr>
        <w:t>．补齐必要的农村人居环境整治和小型公益性基础设施建设短板。包括：水、电、路、网等农业生产配套设施；垃圾清运等小型公益性生活设施。教育、卫生养老服务、文化等农村基本公共服务通过原资金渠道支持。</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default" w:ascii="仿宋_GB2312" w:hAnsi="仿宋_GB2312" w:eastAsia="仿宋_GB2312" w:cs="仿宋_GB2312"/>
          <w:color w:val="000000"/>
          <w:spacing w:val="0"/>
          <w:w w:val="100"/>
          <w:kern w:val="0"/>
          <w:position w:val="0"/>
          <w:sz w:val="32"/>
          <w:szCs w:val="32"/>
        </w:rPr>
        <w:t>3</w:t>
      </w:r>
      <w:r>
        <w:rPr>
          <w:rFonts w:hint="eastAsia" w:ascii="仿宋_GB2312" w:hAnsi="仿宋_GB2312" w:eastAsia="仿宋_GB2312" w:cs="仿宋_GB2312"/>
          <w:color w:val="000000"/>
          <w:spacing w:val="0"/>
          <w:w w:val="100"/>
          <w:kern w:val="0"/>
          <w:position w:val="0"/>
          <w:sz w:val="32"/>
          <w:szCs w:val="32"/>
        </w:rPr>
        <w:t>．支持人口较少民族发展、少数民族特色产业和民族村寨发展，以工代赈项目，欠发达国有农场和欠发达国有林场发展。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（三）巩固拓展脱贫攻坚成果同乡村振兴有效衔接的其他相关支出。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第三条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衔接资金安排用于农业产业发展的占比要逐年提高，鼓励支持村集体经济发展壮大。县级要推动脱贫村和非贫困村均衡发展，可统筹安排到县衔接资金支持非贫困村发展产业、补齐必要的基础设施短板及县级乡村振兴规划相关项目</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其中：</w:t>
      </w:r>
      <w:r>
        <w:rPr>
          <w:rFonts w:hint="eastAsia" w:ascii="仿宋_GB2312" w:hAnsi="仿宋_GB2312" w:eastAsia="仿宋_GB2312" w:cs="仿宋_GB2312"/>
          <w:color w:val="000000"/>
          <w:spacing w:val="0"/>
          <w:w w:val="100"/>
          <w:kern w:val="0"/>
          <w:position w:val="0"/>
          <w:sz w:val="32"/>
          <w:szCs w:val="32"/>
        </w:rPr>
        <w:t>中央财政衔接资金不得超过其资金总规模的</w:t>
      </w:r>
      <w:r>
        <w:rPr>
          <w:rFonts w:hint="default" w:ascii="仿宋_GB2312" w:hAnsi="仿宋_GB2312" w:eastAsia="仿宋_GB2312" w:cs="仿宋_GB2312"/>
          <w:color w:val="000000"/>
          <w:spacing w:val="0"/>
          <w:w w:val="100"/>
          <w:kern w:val="0"/>
          <w:position w:val="0"/>
          <w:sz w:val="32"/>
          <w:szCs w:val="32"/>
        </w:rPr>
        <w:t>30%</w:t>
      </w:r>
      <w:r>
        <w:rPr>
          <w:rFonts w:hint="eastAsia" w:ascii="仿宋_GB2312" w:hAnsi="仿宋_GB2312" w:eastAsia="仿宋_GB2312" w:cs="仿宋_GB2312"/>
          <w:color w:val="000000"/>
          <w:spacing w:val="0"/>
          <w:w w:val="100"/>
          <w:kern w:val="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第四条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衔接资金不得用于与巩固拓展脱贫攻坚成果和推进乡村振兴无关的支出，包括</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单位基本支出、交通工具及通讯设备、修建楼堂馆所、各种奖金津贴和福利补助、垫资、偿还债务等。偿还</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十三五</w:t>
      </w:r>
      <w:r>
        <w:rPr>
          <w:rFonts w:hint="default"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rPr>
        <w:t>易地扶贫搬迁规划内债务按有关规定执行。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第五条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lang w:val="en-US" w:eastAsia="zh-CN"/>
        </w:rPr>
        <w:t>县</w:t>
      </w:r>
      <w:r>
        <w:rPr>
          <w:rFonts w:hint="eastAsia" w:ascii="仿宋_GB2312" w:hAnsi="仿宋_GB2312" w:eastAsia="仿宋_GB2312" w:cs="仿宋_GB2312"/>
          <w:color w:val="000000"/>
          <w:spacing w:val="0"/>
          <w:w w:val="100"/>
          <w:kern w:val="0"/>
          <w:position w:val="0"/>
          <w:sz w:val="32"/>
          <w:szCs w:val="32"/>
        </w:rPr>
        <w:t>级财政部门负责预算安排、资金分配建议方案审核和资金下达，指导</w:t>
      </w:r>
      <w:r>
        <w:rPr>
          <w:rFonts w:hint="eastAsia" w:ascii="仿宋_GB2312" w:hAnsi="仿宋_GB2312" w:eastAsia="仿宋_GB2312" w:cs="仿宋_GB2312"/>
          <w:color w:val="000000"/>
          <w:spacing w:val="0"/>
          <w:w w:val="100"/>
          <w:kern w:val="0"/>
          <w:position w:val="0"/>
          <w:sz w:val="32"/>
          <w:szCs w:val="32"/>
          <w:lang w:val="en-US" w:eastAsia="zh-CN"/>
        </w:rPr>
        <w:t>乡村振兴、</w:t>
      </w:r>
      <w:r>
        <w:rPr>
          <w:rFonts w:hint="eastAsia" w:ascii="仿宋_GB2312" w:hAnsi="仿宋_GB2312" w:eastAsia="仿宋_GB2312" w:cs="仿宋_GB2312"/>
          <w:color w:val="000000"/>
          <w:spacing w:val="0"/>
          <w:w w:val="100"/>
          <w:kern w:val="0"/>
          <w:position w:val="0"/>
          <w:sz w:val="32"/>
          <w:szCs w:val="32"/>
        </w:rPr>
        <w:t>发展改革、民委、农业农村、民政（老区办）、林业</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交通、水利</w:t>
      </w:r>
      <w:r>
        <w:rPr>
          <w:rFonts w:hint="eastAsia" w:ascii="仿宋_GB2312" w:hAnsi="仿宋_GB2312" w:eastAsia="仿宋_GB2312" w:cs="仿宋_GB2312"/>
          <w:color w:val="000000"/>
          <w:spacing w:val="0"/>
          <w:w w:val="100"/>
          <w:kern w:val="0"/>
          <w:position w:val="0"/>
          <w:sz w:val="32"/>
          <w:szCs w:val="32"/>
        </w:rPr>
        <w:t>等行业主管部门（以下简称行业主管部门）加强资金监管和绩效管理。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lang w:val="en-US" w:eastAsia="zh-CN"/>
        </w:rPr>
        <w:t>第六条</w:t>
      </w:r>
      <w:r>
        <w:rPr>
          <w:rFonts w:hint="eastAsia" w:ascii="仿宋_GB2312" w:hAnsi="仿宋_GB2312" w:eastAsia="仿宋_GB2312" w:cs="仿宋_GB2312"/>
          <w:color w:val="000000"/>
          <w:spacing w:val="0"/>
          <w:w w:val="100"/>
          <w:kern w:val="0"/>
          <w:position w:val="0"/>
          <w:sz w:val="32"/>
          <w:szCs w:val="32"/>
          <w:lang w:val="en-US" w:eastAsia="zh-CN"/>
        </w:rPr>
        <w:t xml:space="preserve"> </w:t>
      </w:r>
      <w:r>
        <w:rPr>
          <w:rFonts w:hint="eastAsia" w:ascii="仿宋_GB2312" w:hAnsi="仿宋_GB2312" w:eastAsia="仿宋_GB2312" w:cs="仿宋_GB2312"/>
          <w:color w:val="000000"/>
          <w:spacing w:val="0"/>
          <w:w w:val="100"/>
          <w:kern w:val="0"/>
          <w:position w:val="0"/>
          <w:sz w:val="32"/>
          <w:szCs w:val="32"/>
        </w:rPr>
        <w:t> 县乡村振兴</w:t>
      </w:r>
      <w:r>
        <w:rPr>
          <w:rFonts w:hint="eastAsia" w:ascii="仿宋_GB2312" w:hAnsi="仿宋_GB2312" w:eastAsia="仿宋_GB2312" w:cs="仿宋_GB2312"/>
          <w:color w:val="000000"/>
          <w:spacing w:val="0"/>
          <w:w w:val="100"/>
          <w:kern w:val="0"/>
          <w:position w:val="0"/>
          <w:sz w:val="32"/>
          <w:szCs w:val="32"/>
          <w:lang w:val="en-US" w:eastAsia="zh-CN"/>
        </w:rPr>
        <w:t>部门</w:t>
      </w:r>
      <w:r>
        <w:rPr>
          <w:rFonts w:hint="eastAsia" w:ascii="仿宋_GB2312" w:hAnsi="仿宋_GB2312" w:eastAsia="仿宋_GB2312" w:cs="仿宋_GB2312"/>
          <w:color w:val="000000"/>
          <w:spacing w:val="0"/>
          <w:w w:val="100"/>
          <w:kern w:val="0"/>
          <w:position w:val="0"/>
          <w:sz w:val="32"/>
          <w:szCs w:val="32"/>
        </w:rPr>
        <w:t>按照国家有关政策要求，依据巩固拓展脱贫攻坚成果规划和我县乡村振兴规划，按照“规划跟着任务走，项目跟着规划走，资金跟着项目走”的原则，区分轻重缓急，科学制定资金</w:t>
      </w:r>
      <w:r>
        <w:rPr>
          <w:rFonts w:hint="eastAsia" w:ascii="仿宋_GB2312" w:hAnsi="仿宋_GB2312" w:eastAsia="仿宋_GB2312" w:cs="仿宋_GB2312"/>
          <w:color w:val="000000"/>
          <w:spacing w:val="0"/>
          <w:w w:val="100"/>
          <w:kern w:val="0"/>
          <w:position w:val="0"/>
          <w:sz w:val="32"/>
          <w:szCs w:val="32"/>
          <w:lang w:val="en-US" w:eastAsia="zh-CN"/>
        </w:rPr>
        <w:t>分配建议方案，并报县人民政府审批</w:t>
      </w:r>
      <w:r>
        <w:rPr>
          <w:rFonts w:hint="eastAsia" w:ascii="仿宋_GB2312" w:hAnsi="仿宋_GB2312" w:eastAsia="仿宋_GB2312" w:cs="仿宋_GB2312"/>
          <w:color w:val="000000"/>
          <w:spacing w:val="0"/>
          <w:w w:val="100"/>
          <w:kern w:val="0"/>
          <w:position w:val="0"/>
          <w:sz w:val="32"/>
          <w:szCs w:val="32"/>
        </w:rPr>
        <w:t>。负责对行业主</w:t>
      </w:r>
      <w:r>
        <w:rPr>
          <w:rFonts w:hint="eastAsia" w:ascii="仿宋_GB2312" w:hAnsi="仿宋_GB2312" w:eastAsia="仿宋_GB2312" w:cs="仿宋_GB2312"/>
          <w:color w:val="000000"/>
          <w:spacing w:val="0"/>
          <w:w w:val="100"/>
          <w:kern w:val="0"/>
          <w:position w:val="0"/>
          <w:sz w:val="32"/>
          <w:szCs w:val="32"/>
          <w:lang w:val="en-US" w:eastAsia="zh-CN"/>
        </w:rPr>
        <w:t>管</w:t>
      </w:r>
      <w:r>
        <w:rPr>
          <w:rFonts w:hint="eastAsia" w:ascii="仿宋_GB2312" w:hAnsi="仿宋_GB2312" w:eastAsia="仿宋_GB2312" w:cs="仿宋_GB2312"/>
          <w:color w:val="000000"/>
          <w:spacing w:val="0"/>
          <w:w w:val="100"/>
          <w:kern w:val="0"/>
          <w:position w:val="0"/>
          <w:sz w:val="32"/>
          <w:szCs w:val="32"/>
        </w:rPr>
        <w:t>部门项目实施情况进行绩效管理和考核。</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lang w:val="en-US" w:eastAsia="zh-CN"/>
        </w:rPr>
        <w:t>第七条</w:t>
      </w:r>
      <w:r>
        <w:rPr>
          <w:rFonts w:hint="eastAsia" w:ascii="仿宋_GB2312" w:hAnsi="仿宋_GB2312" w:eastAsia="仿宋_GB2312" w:cs="仿宋_GB2312"/>
          <w:color w:val="000000"/>
          <w:spacing w:val="0"/>
          <w:w w:val="100"/>
          <w:kern w:val="0"/>
          <w:position w:val="0"/>
          <w:sz w:val="32"/>
          <w:szCs w:val="32"/>
          <w:lang w:val="en-US" w:eastAsia="zh-CN"/>
        </w:rPr>
        <w:t xml:space="preserve"> </w:t>
      </w:r>
      <w:r>
        <w:rPr>
          <w:rFonts w:hint="eastAsia" w:ascii="仿宋_GB2312" w:hAnsi="仿宋_GB2312" w:eastAsia="仿宋_GB2312" w:cs="仿宋_GB2312"/>
          <w:color w:val="000000"/>
          <w:spacing w:val="0"/>
          <w:w w:val="100"/>
          <w:kern w:val="0"/>
          <w:position w:val="0"/>
          <w:sz w:val="32"/>
          <w:szCs w:val="32"/>
        </w:rPr>
        <w:t>行业主管部门</w:t>
      </w:r>
      <w:r>
        <w:rPr>
          <w:rFonts w:hint="eastAsia" w:ascii="仿宋_GB2312" w:hAnsi="仿宋_GB2312" w:eastAsia="仿宋_GB2312" w:cs="仿宋_GB2312"/>
          <w:color w:val="000000"/>
          <w:spacing w:val="0"/>
          <w:w w:val="100"/>
          <w:kern w:val="0"/>
          <w:position w:val="0"/>
          <w:sz w:val="32"/>
          <w:szCs w:val="32"/>
          <w:lang w:val="en-US" w:eastAsia="zh-CN"/>
        </w:rPr>
        <w:t>负责</w:t>
      </w:r>
      <w:r>
        <w:rPr>
          <w:rFonts w:hint="eastAsia" w:ascii="仿宋_GB2312" w:hAnsi="仿宋_GB2312" w:eastAsia="仿宋_GB2312" w:cs="仿宋_GB2312"/>
          <w:color w:val="000000"/>
          <w:spacing w:val="0"/>
          <w:w w:val="100"/>
          <w:kern w:val="0"/>
          <w:position w:val="0"/>
          <w:sz w:val="32"/>
          <w:szCs w:val="32"/>
        </w:rPr>
        <w:t>资金</w:t>
      </w:r>
      <w:r>
        <w:rPr>
          <w:rFonts w:hint="eastAsia" w:ascii="仿宋_GB2312" w:hAnsi="仿宋_GB2312" w:eastAsia="仿宋_GB2312" w:cs="仿宋_GB2312"/>
          <w:color w:val="000000"/>
          <w:spacing w:val="0"/>
          <w:w w:val="100"/>
          <w:kern w:val="0"/>
          <w:position w:val="0"/>
          <w:sz w:val="32"/>
          <w:szCs w:val="32"/>
          <w:lang w:val="en-US" w:eastAsia="zh-CN"/>
        </w:rPr>
        <w:t>项目安排计划、</w:t>
      </w:r>
      <w:r>
        <w:rPr>
          <w:rFonts w:hint="eastAsia" w:ascii="仿宋_GB2312" w:hAnsi="仿宋_GB2312" w:eastAsia="仿宋_GB2312" w:cs="仿宋_GB2312"/>
          <w:color w:val="000000"/>
          <w:spacing w:val="0"/>
          <w:w w:val="100"/>
          <w:kern w:val="0"/>
          <w:position w:val="0"/>
          <w:sz w:val="32"/>
          <w:szCs w:val="32"/>
        </w:rPr>
        <w:t>资金和项目使用管理、绩效管理等工作，按照权责对等原则落实监管责任。乡村振兴部门负责支持巩固拓展脱贫攻坚成果</w:t>
      </w:r>
      <w:r>
        <w:rPr>
          <w:rFonts w:hint="eastAsia" w:ascii="仿宋_GB2312" w:hAnsi="仿宋_GB2312" w:eastAsia="仿宋_GB2312" w:cs="仿宋_GB2312"/>
          <w:color w:val="000000"/>
          <w:spacing w:val="0"/>
          <w:w w:val="100"/>
          <w:kern w:val="0"/>
          <w:position w:val="0"/>
          <w:sz w:val="32"/>
          <w:szCs w:val="32"/>
          <w:lang w:eastAsia="zh-CN"/>
        </w:rPr>
        <w:t>和乡村振兴</w:t>
      </w:r>
      <w:r>
        <w:rPr>
          <w:rFonts w:hint="eastAsia" w:ascii="仿宋_GB2312" w:hAnsi="仿宋_GB2312" w:eastAsia="仿宋_GB2312" w:cs="仿宋_GB2312"/>
          <w:color w:val="000000"/>
          <w:spacing w:val="0"/>
          <w:w w:val="100"/>
          <w:kern w:val="0"/>
          <w:position w:val="0"/>
          <w:sz w:val="32"/>
          <w:szCs w:val="32"/>
          <w:lang w:val="en-US" w:eastAsia="zh-CN"/>
        </w:rPr>
        <w:t>任务</w:t>
      </w:r>
      <w:r>
        <w:rPr>
          <w:rFonts w:hint="eastAsia" w:ascii="仿宋_GB2312" w:hAnsi="仿宋_GB2312" w:eastAsia="仿宋_GB2312" w:cs="仿宋_GB2312"/>
          <w:color w:val="000000"/>
          <w:spacing w:val="0"/>
          <w:w w:val="100"/>
          <w:kern w:val="0"/>
          <w:position w:val="0"/>
          <w:sz w:val="32"/>
          <w:szCs w:val="32"/>
        </w:rPr>
        <w:t>资金</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不包括产业发展）</w:t>
      </w: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val="en-US" w:eastAsia="zh-CN"/>
        </w:rPr>
        <w:t>交通部门负责村组道路建设任务资金；水利部门负责水、电等农业生产配套设施建设任务资金；</w:t>
      </w:r>
      <w:r>
        <w:rPr>
          <w:rFonts w:hint="eastAsia" w:ascii="仿宋_GB2312" w:hAnsi="仿宋_GB2312" w:eastAsia="仿宋_GB2312" w:cs="仿宋_GB2312"/>
          <w:color w:val="000000"/>
          <w:spacing w:val="0"/>
          <w:w w:val="100"/>
          <w:kern w:val="0"/>
          <w:position w:val="0"/>
          <w:sz w:val="32"/>
          <w:szCs w:val="32"/>
        </w:rPr>
        <w:t>发改部门负责以工代赈任务资金；</w:t>
      </w:r>
      <w:r>
        <w:rPr>
          <w:rFonts w:hint="eastAsia" w:ascii="仿宋_GB2312" w:hAnsi="仿宋_GB2312" w:eastAsia="仿宋_GB2312" w:cs="仿宋_GB2312"/>
          <w:color w:val="000000"/>
          <w:spacing w:val="0"/>
          <w:w w:val="100"/>
          <w:kern w:val="0"/>
          <w:position w:val="0"/>
          <w:sz w:val="32"/>
          <w:szCs w:val="32"/>
          <w:lang w:val="en-US" w:eastAsia="zh-CN"/>
        </w:rPr>
        <w:t>统战</w:t>
      </w:r>
      <w:r>
        <w:rPr>
          <w:rFonts w:hint="eastAsia" w:ascii="仿宋_GB2312" w:hAnsi="仿宋_GB2312" w:eastAsia="仿宋_GB2312" w:cs="仿宋_GB2312"/>
          <w:color w:val="000000"/>
          <w:spacing w:val="0"/>
          <w:w w:val="100"/>
          <w:kern w:val="0"/>
          <w:position w:val="0"/>
          <w:sz w:val="32"/>
          <w:szCs w:val="32"/>
        </w:rPr>
        <w:t>部门负责少数民族地区发展任务资金；民政部门负责革命老区发展等任务资金；林业部门负责欠发达国有林场任务资金</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农业农村部门负责产业发展、农村人居环境整治等相关任务资金</w:t>
      </w:r>
      <w:r>
        <w:rPr>
          <w:rFonts w:hint="eastAsia" w:ascii="仿宋_GB2312" w:hAnsi="仿宋_GB2312" w:eastAsia="仿宋_GB2312" w:cs="仿宋_GB2312"/>
          <w:color w:val="000000"/>
          <w:spacing w:val="0"/>
          <w:w w:val="100"/>
          <w:kern w:val="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w:t>
      </w:r>
      <w:r>
        <w:rPr>
          <w:rFonts w:hint="eastAsia" w:ascii="仿宋_GB2312" w:hAnsi="仿宋_GB2312" w:eastAsia="仿宋_GB2312" w:cs="仿宋_GB2312"/>
          <w:b/>
          <w:bCs/>
          <w:color w:val="000000"/>
          <w:spacing w:val="0"/>
          <w:w w:val="100"/>
          <w:kern w:val="0"/>
          <w:position w:val="0"/>
          <w:sz w:val="32"/>
          <w:szCs w:val="32"/>
          <w:lang w:val="en-US" w:eastAsia="zh-CN"/>
        </w:rPr>
        <w:t>八</w:t>
      </w:r>
      <w:r>
        <w:rPr>
          <w:rFonts w:hint="eastAsia" w:ascii="仿宋_GB2312" w:hAnsi="仿宋_GB2312" w:eastAsia="仿宋_GB2312" w:cs="仿宋_GB2312"/>
          <w:b/>
          <w:bCs/>
          <w:color w:val="000000"/>
          <w:spacing w:val="0"/>
          <w:w w:val="100"/>
          <w:kern w:val="0"/>
          <w:position w:val="0"/>
          <w:sz w:val="32"/>
          <w:szCs w:val="32"/>
        </w:rPr>
        <w:t>条</w:t>
      </w:r>
      <w:r>
        <w:rPr>
          <w:rFonts w:hint="eastAsia" w:ascii="仿宋_GB2312" w:hAnsi="仿宋_GB2312" w:eastAsia="仿宋_GB2312" w:cs="仿宋_GB2312"/>
          <w:b/>
          <w:bCs/>
          <w:color w:val="000000"/>
          <w:spacing w:val="0"/>
          <w:w w:val="100"/>
          <w:kern w:val="0"/>
          <w:position w:val="0"/>
          <w:sz w:val="32"/>
          <w:szCs w:val="32"/>
          <w:lang w:val="en-US" w:eastAsia="zh-CN"/>
        </w:rPr>
        <w:t xml:space="preserve"> </w:t>
      </w:r>
      <w:r>
        <w:rPr>
          <w:rFonts w:hint="eastAsia" w:ascii="仿宋_GB2312" w:hAnsi="仿宋_GB2312" w:eastAsia="仿宋_GB2312" w:cs="仿宋_GB2312"/>
          <w:color w:val="000000"/>
          <w:spacing w:val="0"/>
          <w:w w:val="100"/>
          <w:kern w:val="0"/>
          <w:position w:val="0"/>
          <w:sz w:val="32"/>
          <w:szCs w:val="32"/>
        </w:rPr>
        <w:t>县财政接到上级衔接资金指标后5个工作日内通知县乡村振兴</w:t>
      </w:r>
      <w:r>
        <w:rPr>
          <w:rFonts w:hint="eastAsia" w:ascii="仿宋_GB2312" w:hAnsi="仿宋_GB2312" w:eastAsia="仿宋_GB2312" w:cs="仿宋_GB2312"/>
          <w:color w:val="000000"/>
          <w:spacing w:val="0"/>
          <w:w w:val="100"/>
          <w:kern w:val="0"/>
          <w:position w:val="0"/>
          <w:sz w:val="32"/>
          <w:szCs w:val="32"/>
          <w:lang w:val="en-US" w:eastAsia="zh-CN"/>
        </w:rPr>
        <w:t>部门</w:t>
      </w:r>
      <w:r>
        <w:rPr>
          <w:rFonts w:hint="eastAsia" w:ascii="仿宋_GB2312" w:hAnsi="仿宋_GB2312" w:eastAsia="仿宋_GB2312" w:cs="仿宋_GB2312"/>
          <w:color w:val="000000"/>
          <w:spacing w:val="0"/>
          <w:w w:val="100"/>
          <w:kern w:val="0"/>
          <w:position w:val="0"/>
          <w:sz w:val="32"/>
          <w:szCs w:val="32"/>
        </w:rPr>
        <w:t>，县乡村振兴</w:t>
      </w:r>
      <w:r>
        <w:rPr>
          <w:rFonts w:hint="eastAsia" w:ascii="仿宋_GB2312" w:hAnsi="仿宋_GB2312" w:eastAsia="仿宋_GB2312" w:cs="仿宋_GB2312"/>
          <w:color w:val="000000"/>
          <w:spacing w:val="0"/>
          <w:w w:val="100"/>
          <w:kern w:val="0"/>
          <w:position w:val="0"/>
          <w:sz w:val="32"/>
          <w:szCs w:val="32"/>
          <w:lang w:val="en-US" w:eastAsia="zh-CN"/>
        </w:rPr>
        <w:t>部门</w:t>
      </w:r>
      <w:r>
        <w:rPr>
          <w:rFonts w:hint="eastAsia" w:ascii="仿宋_GB2312" w:hAnsi="仿宋_GB2312" w:eastAsia="仿宋_GB2312" w:cs="仿宋_GB2312"/>
          <w:color w:val="000000"/>
          <w:spacing w:val="0"/>
          <w:w w:val="100"/>
          <w:kern w:val="0"/>
          <w:position w:val="0"/>
          <w:sz w:val="32"/>
          <w:szCs w:val="32"/>
        </w:rPr>
        <w:t>应在30个工作日内编制资金使用</w:t>
      </w:r>
      <w:r>
        <w:rPr>
          <w:rFonts w:hint="eastAsia" w:ascii="仿宋_GB2312" w:hAnsi="仿宋_GB2312" w:eastAsia="仿宋_GB2312" w:cs="仿宋_GB2312"/>
          <w:color w:val="000000"/>
          <w:spacing w:val="0"/>
          <w:w w:val="100"/>
          <w:kern w:val="0"/>
          <w:position w:val="0"/>
          <w:sz w:val="32"/>
          <w:szCs w:val="32"/>
          <w:lang w:val="en-US" w:eastAsia="zh-CN"/>
        </w:rPr>
        <w:t>建议方案</w:t>
      </w:r>
      <w:r>
        <w:rPr>
          <w:rFonts w:hint="eastAsia" w:ascii="仿宋_GB2312" w:hAnsi="仿宋_GB2312" w:eastAsia="仿宋_GB2312" w:cs="仿宋_GB2312"/>
          <w:color w:val="000000"/>
          <w:spacing w:val="0"/>
          <w:w w:val="100"/>
          <w:kern w:val="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w:t>
      </w:r>
      <w:r>
        <w:rPr>
          <w:rFonts w:hint="eastAsia" w:ascii="仿宋_GB2312" w:hAnsi="仿宋_GB2312" w:eastAsia="仿宋_GB2312" w:cs="仿宋_GB2312"/>
          <w:b/>
          <w:bCs/>
          <w:color w:val="000000"/>
          <w:spacing w:val="0"/>
          <w:w w:val="100"/>
          <w:kern w:val="0"/>
          <w:position w:val="0"/>
          <w:sz w:val="32"/>
          <w:szCs w:val="32"/>
          <w:lang w:val="en-US" w:eastAsia="zh-CN"/>
        </w:rPr>
        <w:t>九</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衔接资金应对乡村振兴重点帮扶村和示范创建村予以倾斜支持。</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lang w:val="en-US" w:eastAsia="zh-CN"/>
        </w:rPr>
      </w:pPr>
      <w:r>
        <w:rPr>
          <w:rFonts w:hint="eastAsia" w:ascii="仿宋_GB2312" w:hAnsi="仿宋_GB2312" w:eastAsia="仿宋_GB2312" w:cs="仿宋_GB2312"/>
          <w:b/>
          <w:bCs/>
          <w:color w:val="000000"/>
          <w:spacing w:val="0"/>
          <w:w w:val="100"/>
          <w:kern w:val="0"/>
          <w:position w:val="0"/>
          <w:sz w:val="32"/>
          <w:szCs w:val="32"/>
        </w:rPr>
        <w:t>第</w:t>
      </w:r>
      <w:r>
        <w:rPr>
          <w:rFonts w:hint="eastAsia" w:ascii="仿宋_GB2312" w:hAnsi="仿宋_GB2312" w:eastAsia="仿宋_GB2312" w:cs="仿宋_GB2312"/>
          <w:b/>
          <w:bCs/>
          <w:color w:val="000000"/>
          <w:spacing w:val="0"/>
          <w:w w:val="100"/>
          <w:kern w:val="0"/>
          <w:position w:val="0"/>
          <w:sz w:val="32"/>
          <w:szCs w:val="32"/>
          <w:lang w:val="en-US" w:eastAsia="zh-CN"/>
        </w:rPr>
        <w:t>十</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lang w:val="en-US" w:eastAsia="zh-CN"/>
        </w:rPr>
        <w:t>县财政</w:t>
      </w:r>
      <w:r>
        <w:rPr>
          <w:rFonts w:hint="eastAsia" w:ascii="仿宋_GB2312" w:hAnsi="仿宋_GB2312" w:eastAsia="仿宋_GB2312" w:cs="仿宋_GB2312"/>
          <w:color w:val="000000"/>
          <w:spacing w:val="0"/>
          <w:w w:val="100"/>
          <w:kern w:val="0"/>
          <w:position w:val="0"/>
          <w:sz w:val="32"/>
          <w:szCs w:val="32"/>
        </w:rPr>
        <w:t>可结合工作实际，分别从中央和省级财政衔接资金中按不超过</w:t>
      </w:r>
      <w:r>
        <w:rPr>
          <w:rFonts w:hint="default" w:ascii="仿宋_GB2312" w:hAnsi="仿宋_GB2312" w:eastAsia="仿宋_GB2312" w:cs="仿宋_GB2312"/>
          <w:color w:val="000000"/>
          <w:spacing w:val="0"/>
          <w:w w:val="100"/>
          <w:kern w:val="0"/>
          <w:position w:val="0"/>
          <w:sz w:val="32"/>
          <w:szCs w:val="32"/>
        </w:rPr>
        <w:t>1%</w:t>
      </w:r>
      <w:r>
        <w:rPr>
          <w:rFonts w:hint="eastAsia" w:ascii="仿宋_GB2312" w:hAnsi="仿宋_GB2312" w:eastAsia="仿宋_GB2312" w:cs="仿宋_GB2312"/>
          <w:color w:val="000000"/>
          <w:spacing w:val="0"/>
          <w:w w:val="100"/>
          <w:kern w:val="0"/>
          <w:position w:val="0"/>
          <w:sz w:val="32"/>
          <w:szCs w:val="32"/>
        </w:rPr>
        <w:t>的比例统筹安排项目管理费，用于项目前期设计、评审、招标、监理以及验收等与项目管理相关的支出。项目管理费</w:t>
      </w:r>
      <w:r>
        <w:rPr>
          <w:rFonts w:hint="eastAsia" w:ascii="仿宋_GB2312" w:hAnsi="仿宋_GB2312" w:eastAsia="仿宋_GB2312" w:cs="仿宋_GB2312"/>
          <w:color w:val="000000"/>
          <w:spacing w:val="0"/>
          <w:w w:val="100"/>
          <w:kern w:val="0"/>
          <w:position w:val="0"/>
          <w:sz w:val="32"/>
          <w:szCs w:val="32"/>
          <w:lang w:val="en-US" w:eastAsia="zh-CN"/>
        </w:rPr>
        <w:t>的分配使用需经县人民政府审批。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w:t>
      </w:r>
      <w:r>
        <w:rPr>
          <w:rFonts w:hint="eastAsia" w:ascii="仿宋_GB2312" w:hAnsi="仿宋_GB2312" w:eastAsia="仿宋_GB2312" w:cs="仿宋_GB2312"/>
          <w:b/>
          <w:bCs/>
          <w:color w:val="000000"/>
          <w:spacing w:val="0"/>
          <w:w w:val="100"/>
          <w:kern w:val="0"/>
          <w:position w:val="0"/>
          <w:sz w:val="32"/>
          <w:szCs w:val="32"/>
          <w:lang w:val="en-US" w:eastAsia="zh-CN"/>
        </w:rPr>
        <w:t>十一</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衔接资金应按规定继续开展涉农资金统筹整合使用，并按照资金整合使用有关管理规定规范使用。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lang w:val="en-US" w:eastAsia="zh-CN"/>
        </w:rPr>
      </w:pPr>
      <w:r>
        <w:rPr>
          <w:rFonts w:hint="eastAsia" w:ascii="仿宋_GB2312" w:hAnsi="仿宋_GB2312" w:eastAsia="仿宋_GB2312" w:cs="仿宋_GB2312"/>
          <w:b/>
          <w:bCs/>
          <w:color w:val="000000"/>
          <w:spacing w:val="0"/>
          <w:w w:val="100"/>
          <w:kern w:val="0"/>
          <w:position w:val="0"/>
          <w:sz w:val="32"/>
          <w:szCs w:val="32"/>
        </w:rPr>
        <w:t>第</w:t>
      </w:r>
      <w:r>
        <w:rPr>
          <w:rFonts w:hint="eastAsia" w:ascii="仿宋_GB2312" w:hAnsi="仿宋_GB2312" w:eastAsia="仿宋_GB2312" w:cs="仿宋_GB2312"/>
          <w:b/>
          <w:bCs/>
          <w:color w:val="000000"/>
          <w:spacing w:val="0"/>
          <w:w w:val="100"/>
          <w:kern w:val="0"/>
          <w:position w:val="0"/>
          <w:sz w:val="32"/>
          <w:szCs w:val="32"/>
          <w:lang w:val="en-US" w:eastAsia="zh-CN"/>
        </w:rPr>
        <w:t>十二</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lang w:val="en-US" w:eastAsia="zh-CN"/>
        </w:rPr>
        <w:t>各行业主管部门</w:t>
      </w:r>
      <w:r>
        <w:rPr>
          <w:rFonts w:hint="eastAsia" w:ascii="仿宋_GB2312" w:hAnsi="仿宋_GB2312" w:eastAsia="仿宋_GB2312" w:cs="仿宋_GB2312"/>
          <w:color w:val="000000"/>
          <w:spacing w:val="0"/>
          <w:w w:val="100"/>
          <w:kern w:val="0"/>
          <w:position w:val="0"/>
          <w:sz w:val="32"/>
          <w:szCs w:val="32"/>
        </w:rPr>
        <w:t>要加强与相关行业规划的衔接，要兼顾脱贫村和其他村，建立完善巩固拓展脱贫攻坚成果和乡村振兴项目库，提前做好项目储备，严格项目论证入库。</w:t>
      </w:r>
      <w:r>
        <w:rPr>
          <w:rFonts w:hint="eastAsia" w:ascii="仿宋_GB2312" w:hAnsi="仿宋_GB2312" w:eastAsia="仿宋_GB2312" w:cs="仿宋_GB2312"/>
          <w:color w:val="000000"/>
          <w:spacing w:val="0"/>
          <w:w w:val="100"/>
          <w:kern w:val="0"/>
          <w:position w:val="0"/>
          <w:sz w:val="32"/>
          <w:szCs w:val="32"/>
          <w:lang w:val="en-US" w:eastAsia="zh-CN"/>
        </w:rPr>
        <w:t>各</w:t>
      </w:r>
      <w:r>
        <w:rPr>
          <w:rFonts w:hint="eastAsia" w:ascii="仿宋_GB2312" w:hAnsi="仿宋_GB2312" w:eastAsia="仿宋_GB2312" w:cs="仿宋_GB2312"/>
          <w:color w:val="000000"/>
          <w:spacing w:val="0"/>
          <w:w w:val="100"/>
          <w:kern w:val="0"/>
          <w:position w:val="0"/>
          <w:sz w:val="32"/>
          <w:szCs w:val="32"/>
        </w:rPr>
        <w:t>有关</w:t>
      </w:r>
      <w:r>
        <w:rPr>
          <w:rFonts w:hint="eastAsia" w:ascii="仿宋_GB2312" w:hAnsi="仿宋_GB2312" w:eastAsia="仿宋_GB2312" w:cs="仿宋_GB2312"/>
          <w:color w:val="000000"/>
          <w:spacing w:val="0"/>
          <w:w w:val="100"/>
          <w:kern w:val="0"/>
          <w:position w:val="0"/>
          <w:sz w:val="32"/>
          <w:szCs w:val="32"/>
          <w:lang w:eastAsia="zh-CN"/>
        </w:rPr>
        <w:t>行业主管部门</w:t>
      </w:r>
      <w:r>
        <w:rPr>
          <w:rFonts w:hint="eastAsia" w:ascii="仿宋_GB2312" w:hAnsi="仿宋_GB2312" w:eastAsia="仿宋_GB2312" w:cs="仿宋_GB2312"/>
          <w:color w:val="000000"/>
          <w:spacing w:val="0"/>
          <w:w w:val="100"/>
          <w:kern w:val="0"/>
          <w:position w:val="0"/>
          <w:sz w:val="32"/>
          <w:szCs w:val="32"/>
        </w:rPr>
        <w:t>要会同财政部门，根据省下达到县的衔接资金规模，原则上从项目库选择符合本办法的项目，按规定程序制定资金项目安排计划</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由县乡村振兴部门汇总后，报县委实施乡村振兴战略领导小组审批。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三</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lang w:val="en-US" w:eastAsia="zh-CN"/>
        </w:rPr>
        <w:t>各行业部门</w:t>
      </w:r>
      <w:r>
        <w:rPr>
          <w:rFonts w:hint="eastAsia" w:ascii="仿宋_GB2312" w:hAnsi="仿宋_GB2312" w:eastAsia="仿宋_GB2312" w:cs="仿宋_GB2312"/>
          <w:color w:val="000000"/>
          <w:spacing w:val="0"/>
          <w:w w:val="100"/>
          <w:kern w:val="0"/>
          <w:position w:val="0"/>
          <w:sz w:val="32"/>
          <w:szCs w:val="32"/>
        </w:rPr>
        <w:t>要强化项目资金管理，建立健全项目建设验收、资金使用和资产管理制度。属于政府采购管理范围的项目，执行政府采购相关规定；村级微小型项目可按照村民民主议事方式直接委托村级组织自建自营。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四</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全面推行公开公示制度。行业主管部门应按照政府信息公开的有关规定推进政务公开，将资金政策文件、管理制度、申报流程、评审结果、分配结果、绩效评价等信息按有关规定及时向社会公开。</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rPr>
        <w:t>实行行政村公示制度。项目实施主体在项目所在村的政务公开栏或村民主要活动场所进行公告、公示，时间不少于</w:t>
      </w:r>
      <w:r>
        <w:rPr>
          <w:rFonts w:hint="default" w:ascii="仿宋_GB2312" w:hAnsi="仿宋_GB2312" w:eastAsia="仿宋_GB2312" w:cs="仿宋_GB2312"/>
          <w:color w:val="000000"/>
          <w:spacing w:val="0"/>
          <w:w w:val="100"/>
          <w:kern w:val="0"/>
          <w:position w:val="0"/>
          <w:sz w:val="32"/>
          <w:szCs w:val="32"/>
        </w:rPr>
        <w:t>10</w:t>
      </w:r>
      <w:r>
        <w:rPr>
          <w:rFonts w:hint="eastAsia" w:ascii="仿宋_GB2312" w:hAnsi="仿宋_GB2312" w:eastAsia="仿宋_GB2312" w:cs="仿宋_GB2312"/>
          <w:color w:val="000000"/>
          <w:spacing w:val="0"/>
          <w:w w:val="100"/>
          <w:kern w:val="0"/>
          <w:position w:val="0"/>
          <w:sz w:val="32"/>
          <w:szCs w:val="32"/>
        </w:rPr>
        <w:t>日。衔接资金项目的公告公示内容应包括项目名称、投资规模、资金来源、资金用途、实施期限、绩效目标、实施单位及责任人、补助标准、受益对象及项目完成情况等，同时公布项目监督单位及监督电话、通讯地址或电子邮箱，并由公示主体留相关影像资料备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五</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行业主管部门要加快衔接资金执行，提高资金使用效益。结转结余的衔接资金应按照财政部和省财政厅关于结转结余资金管理的相关规定执行。衔接资金按照国库集中支付管理的有关规定执行，严格落实</w:t>
      </w:r>
      <w:r>
        <w:rPr>
          <w:rFonts w:hint="eastAsia" w:ascii="仿宋_GB2312" w:hAnsi="仿宋_GB2312" w:eastAsia="仿宋_GB2312" w:cs="仿宋_GB2312"/>
          <w:color w:val="000000"/>
          <w:spacing w:val="0"/>
          <w:w w:val="100"/>
          <w:kern w:val="0"/>
          <w:position w:val="0"/>
          <w:sz w:val="32"/>
          <w:szCs w:val="32"/>
          <w:lang w:val="en-US" w:eastAsia="zh-CN"/>
        </w:rPr>
        <w:t>行业</w:t>
      </w:r>
      <w:r>
        <w:rPr>
          <w:rFonts w:hint="eastAsia" w:ascii="仿宋_GB2312" w:hAnsi="仿宋_GB2312" w:eastAsia="仿宋_GB2312" w:cs="仿宋_GB2312"/>
          <w:color w:val="000000"/>
          <w:spacing w:val="0"/>
          <w:w w:val="100"/>
          <w:kern w:val="0"/>
          <w:position w:val="0"/>
          <w:sz w:val="32"/>
          <w:szCs w:val="32"/>
        </w:rPr>
        <w:t>主管部门核算、国库直接支付，用于奖补产业发展等到户资金，除国家另有规定外，应当通过财政补贴信息管理系统发放。</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六</w:t>
      </w:r>
      <w:r>
        <w:rPr>
          <w:rFonts w:hint="eastAsia" w:ascii="仿宋_GB2312" w:hAnsi="仿宋_GB2312" w:eastAsia="仿宋_GB2312" w:cs="仿宋_GB2312"/>
          <w:b/>
          <w:bCs/>
          <w:color w:val="000000"/>
          <w:spacing w:val="0"/>
          <w:w w:val="100"/>
          <w:kern w:val="0"/>
          <w:position w:val="0"/>
          <w:sz w:val="32"/>
          <w:szCs w:val="32"/>
        </w:rPr>
        <w:t>条 </w:t>
      </w:r>
      <w:r>
        <w:rPr>
          <w:rFonts w:hint="eastAsia" w:ascii="仿宋_GB2312" w:hAnsi="仿宋_GB2312" w:eastAsia="仿宋_GB2312" w:cs="仿宋_GB2312"/>
          <w:color w:val="000000"/>
          <w:spacing w:val="0"/>
          <w:w w:val="100"/>
          <w:kern w:val="0"/>
          <w:position w:val="0"/>
          <w:sz w:val="32"/>
          <w:szCs w:val="32"/>
        </w:rPr>
        <w:t>衔接资金实行绩效管理和动态监控，资金使用坚持“先设定绩效目标，后申请相关预算”及“谁支出、谁填报、谁负责”的原则，资金具体使用单位履行绩效管理主体责任。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七</w:t>
      </w:r>
      <w:r>
        <w:rPr>
          <w:rFonts w:hint="eastAsia" w:ascii="仿宋_GB2312" w:hAnsi="仿宋_GB2312" w:eastAsia="仿宋_GB2312" w:cs="仿宋_GB2312"/>
          <w:b/>
          <w:bCs/>
          <w:color w:val="000000"/>
          <w:spacing w:val="0"/>
          <w:w w:val="100"/>
          <w:kern w:val="0"/>
          <w:position w:val="0"/>
          <w:sz w:val="32"/>
          <w:szCs w:val="32"/>
        </w:rPr>
        <w:t>条 </w:t>
      </w:r>
      <w:r>
        <w:rPr>
          <w:rFonts w:hint="eastAsia" w:ascii="仿宋_GB2312" w:hAnsi="仿宋_GB2312" w:eastAsia="仿宋_GB2312" w:cs="仿宋_GB2312"/>
          <w:color w:val="000000"/>
          <w:spacing w:val="0"/>
          <w:w w:val="100"/>
          <w:kern w:val="0"/>
          <w:position w:val="0"/>
          <w:sz w:val="32"/>
          <w:szCs w:val="32"/>
        </w:rPr>
        <w:t>资金使用单位依据绩效目标在项目预算执行终了30日内开展绩效自评，填报绩效目标完成情况，未完成目标的分析原因、提出改进措施，并将绩效自评结果及时报送县乡村振兴</w:t>
      </w:r>
      <w:r>
        <w:rPr>
          <w:rFonts w:hint="eastAsia" w:ascii="仿宋_GB2312" w:hAnsi="仿宋_GB2312" w:eastAsia="仿宋_GB2312" w:cs="仿宋_GB2312"/>
          <w:color w:val="000000"/>
          <w:spacing w:val="0"/>
          <w:w w:val="100"/>
          <w:kern w:val="0"/>
          <w:position w:val="0"/>
          <w:sz w:val="32"/>
          <w:szCs w:val="32"/>
          <w:lang w:val="en-US" w:eastAsia="zh-CN"/>
        </w:rPr>
        <w:t>部门</w:t>
      </w:r>
      <w:r>
        <w:rPr>
          <w:rFonts w:hint="eastAsia" w:ascii="仿宋_GB2312" w:hAnsi="仿宋_GB2312" w:eastAsia="仿宋_GB2312" w:cs="仿宋_GB2312"/>
          <w:color w:val="000000"/>
          <w:spacing w:val="0"/>
          <w:w w:val="100"/>
          <w:kern w:val="0"/>
          <w:position w:val="0"/>
          <w:sz w:val="32"/>
          <w:szCs w:val="32"/>
        </w:rPr>
        <w:t>和县财政</w:t>
      </w:r>
      <w:r>
        <w:rPr>
          <w:rFonts w:hint="eastAsia" w:ascii="仿宋_GB2312" w:hAnsi="仿宋_GB2312" w:eastAsia="仿宋_GB2312" w:cs="仿宋_GB2312"/>
          <w:color w:val="000000"/>
          <w:spacing w:val="0"/>
          <w:w w:val="100"/>
          <w:kern w:val="0"/>
          <w:position w:val="0"/>
          <w:sz w:val="32"/>
          <w:szCs w:val="32"/>
          <w:lang w:val="en-US" w:eastAsia="zh-CN"/>
        </w:rPr>
        <w:t>部门</w:t>
      </w:r>
      <w:r>
        <w:rPr>
          <w:rFonts w:hint="eastAsia" w:ascii="仿宋_GB2312" w:hAnsi="仿宋_GB2312" w:eastAsia="仿宋_GB2312" w:cs="仿宋_GB2312"/>
          <w:color w:val="000000"/>
          <w:spacing w:val="0"/>
          <w:w w:val="100"/>
          <w:kern w:val="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八</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县财政和行业主管部门按要求配合审计、纪检监察、检察机关做好衔接资金和项目的审计、检查等工作。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color w:val="000000"/>
          <w:spacing w:val="0"/>
          <w:w w:val="100"/>
          <w:kern w:val="0"/>
          <w:position w:val="0"/>
          <w:sz w:val="32"/>
          <w:szCs w:val="32"/>
          <w:lang w:val="en-US" w:eastAsia="zh-CN"/>
        </w:rPr>
        <w:t>县</w:t>
      </w:r>
      <w:r>
        <w:rPr>
          <w:rFonts w:hint="eastAsia" w:ascii="仿宋_GB2312" w:hAnsi="仿宋_GB2312" w:eastAsia="仿宋_GB2312" w:cs="仿宋_GB2312"/>
          <w:color w:val="000000"/>
          <w:spacing w:val="0"/>
          <w:w w:val="100"/>
          <w:kern w:val="0"/>
          <w:position w:val="0"/>
          <w:sz w:val="32"/>
          <w:szCs w:val="32"/>
        </w:rPr>
        <w:t>级财政和行业主管部门及其工作人员在衔接资金分配、使用管理等工作中，存在违反本办法规定，以及滥用职权、玩忽职守、徇私舞弊等违法违纪行为的，按照国家有关规定追究相应责任；涉嫌犯罪的，移送有关国家机关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rPr>
        <w:t>第十</w:t>
      </w:r>
      <w:r>
        <w:rPr>
          <w:rFonts w:hint="eastAsia" w:ascii="仿宋_GB2312" w:hAnsi="仿宋_GB2312" w:eastAsia="仿宋_GB2312" w:cs="仿宋_GB2312"/>
          <w:b/>
          <w:bCs/>
          <w:color w:val="000000"/>
          <w:spacing w:val="0"/>
          <w:w w:val="100"/>
          <w:kern w:val="0"/>
          <w:position w:val="0"/>
          <w:sz w:val="32"/>
          <w:szCs w:val="32"/>
          <w:lang w:val="en-US" w:eastAsia="zh-CN"/>
        </w:rPr>
        <w:t>九</w:t>
      </w:r>
      <w:r>
        <w:rPr>
          <w:rFonts w:hint="eastAsia" w:ascii="仿宋_GB2312" w:hAnsi="仿宋_GB2312" w:eastAsia="仿宋_GB2312" w:cs="仿宋_GB2312"/>
          <w:b/>
          <w:bCs/>
          <w:color w:val="000000"/>
          <w:spacing w:val="0"/>
          <w:w w:val="100"/>
          <w:kern w:val="0"/>
          <w:position w:val="0"/>
          <w:sz w:val="32"/>
          <w:szCs w:val="32"/>
        </w:rPr>
        <w:t>条</w:t>
      </w:r>
      <w:r>
        <w:rPr>
          <w:rFonts w:hint="default" w:ascii="仿宋_GB2312" w:hAnsi="仿宋_GB2312" w:eastAsia="仿宋_GB2312" w:cs="仿宋_GB2312"/>
          <w:b/>
          <w:bCs/>
          <w:color w:val="000000"/>
          <w:spacing w:val="0"/>
          <w:w w:val="100"/>
          <w:kern w:val="0"/>
          <w:position w:val="0"/>
          <w:sz w:val="32"/>
          <w:szCs w:val="32"/>
        </w:rPr>
        <w:t> </w:t>
      </w:r>
      <w:r>
        <w:rPr>
          <w:rFonts w:hint="eastAsia" w:ascii="仿宋_GB2312" w:hAnsi="仿宋_GB2312" w:eastAsia="仿宋_GB2312" w:cs="仿宋_GB2312"/>
          <w:color w:val="000000"/>
          <w:spacing w:val="0"/>
          <w:w w:val="100"/>
          <w:kern w:val="0"/>
          <w:position w:val="0"/>
          <w:sz w:val="32"/>
          <w:szCs w:val="32"/>
        </w:rPr>
        <w:t>县财政依据巩固拓展脱贫攻坚成果同乡村振兴有效衔接的任务需要和财力情况，每年预算安排一定规模的本级衔接资金，保持投入力度总体稳定。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000000"/>
          <w:spacing w:val="0"/>
          <w:w w:val="100"/>
          <w:kern w:val="0"/>
          <w:position w:val="0"/>
          <w:sz w:val="32"/>
          <w:szCs w:val="32"/>
          <w:lang w:val="en-US" w:eastAsia="zh-CN"/>
        </w:rPr>
      </w:pPr>
      <w:r>
        <w:rPr>
          <w:rFonts w:hint="eastAsia" w:ascii="仿宋_GB2312" w:hAnsi="仿宋_GB2312" w:eastAsia="仿宋_GB2312" w:cs="仿宋_GB2312"/>
          <w:b/>
          <w:bCs/>
          <w:color w:val="000000"/>
          <w:spacing w:val="0"/>
          <w:w w:val="100"/>
          <w:kern w:val="0"/>
          <w:position w:val="0"/>
          <w:sz w:val="32"/>
          <w:szCs w:val="32"/>
          <w:lang w:val="en-US" w:eastAsia="zh-CN"/>
        </w:rPr>
        <w:t xml:space="preserve">第二十条 </w:t>
      </w:r>
      <w:r>
        <w:rPr>
          <w:rFonts w:hint="eastAsia" w:ascii="仿宋_GB2312" w:hAnsi="仿宋_GB2312" w:eastAsia="仿宋_GB2312" w:cs="仿宋_GB2312"/>
          <w:color w:val="000000"/>
          <w:spacing w:val="0"/>
          <w:w w:val="100"/>
          <w:kern w:val="0"/>
          <w:position w:val="0"/>
          <w:sz w:val="32"/>
          <w:szCs w:val="32"/>
          <w:lang w:val="en-US" w:eastAsia="zh-CN"/>
        </w:rPr>
        <w:t>建立完善衔接资金社会监督机制。引导和鼓励贫困群众、第三方组织等社会力量参与监督，构建常态化、多元化的监督体系。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lang w:val="en-US" w:eastAsia="zh-CN"/>
        </w:rPr>
      </w:pPr>
      <w:bookmarkStart w:id="0" w:name="bookmark18"/>
      <w:r>
        <w:rPr>
          <w:rFonts w:hint="eastAsia" w:ascii="仿宋_GB2312" w:hAnsi="仿宋_GB2312" w:eastAsia="仿宋_GB2312" w:cs="仿宋_GB2312"/>
          <w:color w:val="000000"/>
          <w:spacing w:val="0"/>
          <w:w w:val="100"/>
          <w:kern w:val="0"/>
          <w:position w:val="0"/>
          <w:sz w:val="32"/>
          <w:szCs w:val="32"/>
          <w:lang w:val="en-US" w:eastAsia="zh-CN"/>
        </w:rPr>
        <w:t>（</w:t>
      </w:r>
      <w:bookmarkEnd w:id="0"/>
      <w:r>
        <w:rPr>
          <w:rFonts w:hint="eastAsia" w:ascii="仿宋_GB2312" w:hAnsi="仿宋_GB2312" w:eastAsia="仿宋_GB2312" w:cs="仿宋_GB2312"/>
          <w:color w:val="000000"/>
          <w:spacing w:val="0"/>
          <w:w w:val="100"/>
          <w:kern w:val="0"/>
          <w:position w:val="0"/>
          <w:sz w:val="32"/>
          <w:szCs w:val="32"/>
          <w:lang w:val="en-US" w:eastAsia="zh-CN"/>
        </w:rPr>
        <w:t>一）各行业主管部门在具体项目立项、实施过程管理、竣工验收和资金使用管理过程中，应吸收受益地村干部、 群众代表参与。</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lang w:val="en-US" w:eastAsia="zh-CN"/>
        </w:rPr>
      </w:pPr>
      <w:bookmarkStart w:id="1" w:name="bookmark19"/>
      <w:r>
        <w:rPr>
          <w:rFonts w:hint="eastAsia" w:ascii="仿宋_GB2312" w:hAnsi="仿宋_GB2312" w:eastAsia="仿宋_GB2312" w:cs="仿宋_GB2312"/>
          <w:color w:val="000000"/>
          <w:spacing w:val="0"/>
          <w:w w:val="100"/>
          <w:kern w:val="0"/>
          <w:position w:val="0"/>
          <w:sz w:val="32"/>
          <w:szCs w:val="32"/>
          <w:lang w:val="en-US" w:eastAsia="zh-CN"/>
        </w:rPr>
        <w:t>（</w:t>
      </w:r>
      <w:bookmarkEnd w:id="1"/>
      <w:r>
        <w:rPr>
          <w:rFonts w:hint="eastAsia" w:ascii="仿宋_GB2312" w:hAnsi="仿宋_GB2312" w:eastAsia="仿宋_GB2312" w:cs="仿宋_GB2312"/>
          <w:color w:val="000000"/>
          <w:spacing w:val="0"/>
          <w:w w:val="100"/>
          <w:kern w:val="0"/>
          <w:position w:val="0"/>
          <w:sz w:val="32"/>
          <w:szCs w:val="32"/>
          <w:lang w:val="en-US" w:eastAsia="zh-CN"/>
        </w:rPr>
        <w:t>二）各级行业主管部门可根据实际需要，由县财政投资评审中心或聘请有资质的会计师事务所等中介机构，对衔接资金和项目进行绩效评估、竣工结算（决算）审计等。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lang w:val="en-US" w:eastAsia="zh-CN"/>
        </w:rPr>
      </w:pPr>
      <w:bookmarkStart w:id="2" w:name="bookmark20"/>
      <w:r>
        <w:rPr>
          <w:rFonts w:hint="eastAsia" w:ascii="仿宋_GB2312" w:hAnsi="仿宋_GB2312" w:eastAsia="仿宋_GB2312" w:cs="仿宋_GB2312"/>
          <w:color w:val="000000"/>
          <w:spacing w:val="0"/>
          <w:w w:val="100"/>
          <w:kern w:val="0"/>
          <w:position w:val="0"/>
          <w:sz w:val="32"/>
          <w:szCs w:val="32"/>
          <w:lang w:val="en-US" w:eastAsia="zh-CN"/>
        </w:rPr>
        <w:t>（</w:t>
      </w:r>
      <w:bookmarkEnd w:id="2"/>
      <w:r>
        <w:rPr>
          <w:rFonts w:hint="eastAsia" w:ascii="仿宋_GB2312" w:hAnsi="仿宋_GB2312" w:eastAsia="仿宋_GB2312" w:cs="仿宋_GB2312"/>
          <w:color w:val="000000"/>
          <w:spacing w:val="0"/>
          <w:w w:val="100"/>
          <w:kern w:val="0"/>
          <w:position w:val="0"/>
          <w:sz w:val="32"/>
          <w:szCs w:val="32"/>
          <w:lang w:val="en-US" w:eastAsia="zh-CN"/>
        </w:rPr>
        <w:t>三）鼓励社会公众对衔接资金使用管理进行监督和投诉举报。对群众投诉和举报事项，原则上应在60日内处理完毕；情况复杂的，经受理单位负责人批准，可以适当延长办理期限，但延长期限不得超过30日</w:t>
      </w:r>
      <w:r>
        <w:rPr>
          <w:rFonts w:hint="eastAsia" w:ascii="仿宋_GB2312" w:hAnsi="仿宋_GB2312" w:eastAsia="仿宋_GB2312" w:cs="仿宋_GB2312"/>
          <w:color w:val="000000"/>
          <w:spacing w:val="0"/>
          <w:w w:val="100"/>
          <w:kern w:val="0"/>
          <w:position w:val="0"/>
          <w:sz w:val="32"/>
          <w:szCs w:val="32"/>
          <w:lang w:val="en-US" w:eastAsia="en-US"/>
        </w:rPr>
        <w:t>,</w:t>
      </w:r>
      <w:r>
        <w:rPr>
          <w:rFonts w:hint="eastAsia" w:ascii="仿宋_GB2312" w:hAnsi="仿宋_GB2312" w:eastAsia="仿宋_GB2312" w:cs="仿宋_GB2312"/>
          <w:color w:val="000000"/>
          <w:spacing w:val="0"/>
          <w:w w:val="100"/>
          <w:kern w:val="0"/>
          <w:position w:val="0"/>
          <w:sz w:val="32"/>
          <w:szCs w:val="32"/>
          <w:lang w:val="en-US" w:eastAsia="zh-CN"/>
        </w:rPr>
        <w:t>并告知投诉或举报群众延期理由。法律、行政法规另有规定的，从其规定。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仿宋_GB2312" w:hAnsi="仿宋_GB2312" w:eastAsia="仿宋_GB2312" w:cs="仿宋_GB2312"/>
          <w:color w:val="000000"/>
          <w:spacing w:val="0"/>
          <w:w w:val="100"/>
          <w:kern w:val="0"/>
          <w:position w:val="0"/>
          <w:sz w:val="32"/>
          <w:szCs w:val="32"/>
        </w:rPr>
      </w:pPr>
      <w:r>
        <w:rPr>
          <w:rFonts w:hint="eastAsia" w:ascii="仿宋_GB2312" w:hAnsi="仿宋_GB2312" w:eastAsia="仿宋_GB2312" w:cs="仿宋_GB2312"/>
          <w:b/>
          <w:bCs/>
          <w:color w:val="000000"/>
          <w:spacing w:val="0"/>
          <w:w w:val="100"/>
          <w:kern w:val="0"/>
          <w:position w:val="0"/>
          <w:sz w:val="32"/>
          <w:szCs w:val="32"/>
          <w:lang w:val="en-US" w:eastAsia="zh-CN"/>
        </w:rPr>
        <w:t>第二十一条</w:t>
      </w:r>
      <w:r>
        <w:rPr>
          <w:rFonts w:hint="default" w:ascii="仿宋_GB2312" w:hAnsi="仿宋_GB2312" w:eastAsia="仿宋_GB2312" w:cs="仿宋_GB2312"/>
          <w:b/>
          <w:bCs/>
          <w:color w:val="000000"/>
          <w:spacing w:val="0"/>
          <w:w w:val="100"/>
          <w:kern w:val="0"/>
          <w:position w:val="0"/>
          <w:sz w:val="32"/>
          <w:szCs w:val="32"/>
          <w:lang w:val="en-US" w:eastAsia="zh-CN"/>
        </w:rPr>
        <w:t> </w:t>
      </w:r>
      <w:r>
        <w:rPr>
          <w:rFonts w:hint="eastAsia" w:ascii="仿宋_GB2312" w:hAnsi="仿宋_GB2312" w:eastAsia="仿宋_GB2312" w:cs="仿宋_GB2312"/>
          <w:color w:val="000000"/>
          <w:spacing w:val="0"/>
          <w:w w:val="100"/>
          <w:kern w:val="0"/>
          <w:position w:val="0"/>
          <w:sz w:val="32"/>
          <w:szCs w:val="32"/>
          <w:lang w:val="en-US" w:eastAsia="zh-CN"/>
        </w:rPr>
        <w:t>本办法自</w:t>
      </w:r>
      <w:r>
        <w:rPr>
          <w:rFonts w:hint="default" w:ascii="仿宋_GB2312" w:hAnsi="仿宋_GB2312" w:eastAsia="仿宋_GB2312" w:cs="仿宋_GB2312"/>
          <w:color w:val="000000"/>
          <w:spacing w:val="0"/>
          <w:w w:val="100"/>
          <w:kern w:val="0"/>
          <w:position w:val="0"/>
          <w:sz w:val="32"/>
          <w:szCs w:val="32"/>
          <w:lang w:val="en-US" w:eastAsia="zh-CN"/>
        </w:rPr>
        <w:t>2021</w:t>
      </w:r>
      <w:r>
        <w:rPr>
          <w:rFonts w:hint="eastAsia" w:ascii="仿宋_GB2312" w:hAnsi="仿宋_GB2312" w:eastAsia="仿宋_GB2312" w:cs="仿宋_GB2312"/>
          <w:color w:val="000000"/>
          <w:spacing w:val="0"/>
          <w:w w:val="100"/>
          <w:kern w:val="0"/>
          <w:position w:val="0"/>
          <w:sz w:val="32"/>
          <w:szCs w:val="32"/>
          <w:lang w:val="en-US" w:eastAsia="zh-CN"/>
        </w:rPr>
        <w:t>年 9月1日起施行，有效期为</w:t>
      </w:r>
      <w:r>
        <w:rPr>
          <w:rFonts w:hint="default" w:ascii="仿宋_GB2312" w:hAnsi="仿宋_GB2312" w:eastAsia="仿宋_GB2312" w:cs="仿宋_GB2312"/>
          <w:color w:val="000000"/>
          <w:spacing w:val="0"/>
          <w:w w:val="100"/>
          <w:kern w:val="0"/>
          <w:position w:val="0"/>
          <w:sz w:val="32"/>
          <w:szCs w:val="32"/>
          <w:lang w:val="en-US" w:eastAsia="zh-CN"/>
        </w:rPr>
        <w:t>5</w:t>
      </w:r>
      <w:r>
        <w:rPr>
          <w:rFonts w:hint="eastAsia" w:ascii="仿宋_GB2312" w:hAnsi="仿宋_GB2312" w:eastAsia="仿宋_GB2312" w:cs="仿宋_GB2312"/>
          <w:color w:val="000000"/>
          <w:spacing w:val="0"/>
          <w:w w:val="100"/>
          <w:kern w:val="0"/>
          <w:position w:val="0"/>
          <w:sz w:val="32"/>
          <w:szCs w:val="32"/>
          <w:lang w:val="en-US" w:eastAsia="zh-CN"/>
        </w:rPr>
        <w:t>年。《</w:t>
      </w:r>
      <w:r>
        <w:rPr>
          <w:rFonts w:hint="eastAsia" w:ascii="仿宋_GB2312" w:hAnsi="仿宋_GB2312" w:eastAsia="仿宋_GB2312" w:cs="仿宋_GB2312"/>
          <w:color w:val="000000"/>
          <w:spacing w:val="0"/>
          <w:w w:val="100"/>
          <w:kern w:val="0"/>
          <w:position w:val="0"/>
          <w:sz w:val="32"/>
          <w:szCs w:val="32"/>
          <w:lang w:val="en-US" w:eastAsia="zh-CN"/>
        </w:rPr>
        <w:t>芷江侗族自治县人民政府办公室关于印发〈</w:t>
      </w:r>
      <w:r>
        <w:rPr>
          <w:rFonts w:hint="eastAsia" w:ascii="仿宋_GB2312" w:hAnsi="仿宋_GB2312" w:eastAsia="仿宋_GB2312" w:cs="仿宋_GB2312"/>
          <w:color w:val="000000"/>
          <w:spacing w:val="0"/>
          <w:w w:val="100"/>
          <w:kern w:val="0"/>
          <w:position w:val="0"/>
          <w:sz w:val="32"/>
          <w:szCs w:val="32"/>
          <w:lang w:val="en-US" w:eastAsia="zh-CN"/>
        </w:rPr>
        <w:t>芷江侗族自治县财政专项扶贫资金管理办法〉的通知》（芷政办发</w:t>
      </w:r>
      <w:r>
        <w:rPr>
          <w:rFonts w:hint="eastAsia" w:ascii="仿宋_GB2312" w:hAnsi="仿宋_GB2312" w:eastAsia="仿宋_GB2312" w:cs="仿宋_GB2312"/>
          <w:color w:val="000000"/>
          <w:spacing w:val="0"/>
          <w:w w:val="100"/>
          <w:kern w:val="0"/>
          <w:position w:val="0"/>
          <w:sz w:val="32"/>
          <w:szCs w:val="32"/>
        </w:rPr>
        <w:t>〔</w:t>
      </w:r>
      <w:r>
        <w:rPr>
          <w:rFonts w:hint="default" w:ascii="仿宋_GB2312" w:hAnsi="仿宋_GB2312" w:eastAsia="仿宋_GB2312" w:cs="仿宋_GB2312"/>
          <w:color w:val="000000"/>
          <w:spacing w:val="0"/>
          <w:w w:val="100"/>
          <w:kern w:val="0"/>
          <w:position w:val="0"/>
          <w:sz w:val="32"/>
          <w:szCs w:val="32"/>
        </w:rPr>
        <w:t>2017</w:t>
      </w: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val="en-US" w:eastAsia="zh-CN"/>
        </w:rPr>
        <w:t>63</w:t>
      </w:r>
      <w:r>
        <w:rPr>
          <w:rFonts w:hint="eastAsia" w:ascii="仿宋_GB2312" w:hAnsi="仿宋_GB2312" w:eastAsia="仿宋_GB2312" w:cs="仿宋_GB2312"/>
          <w:color w:val="000000"/>
          <w:spacing w:val="0"/>
          <w:w w:val="100"/>
          <w:kern w:val="0"/>
          <w:position w:val="0"/>
          <w:sz w:val="32"/>
          <w:szCs w:val="32"/>
        </w:rPr>
        <w:t>号）同时废止。</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color w:val="000000"/>
          <w:spacing w:val="0"/>
          <w:w w:val="100"/>
          <w:kern w:val="0"/>
          <w:positio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NEU-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3727E"/>
    <w:rsid w:val="0B5B70DC"/>
    <w:rsid w:val="3B4408C5"/>
    <w:rsid w:val="3F647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widowControl w:val="0"/>
      <w:shd w:val="clear" w:color="auto" w:fill="auto"/>
      <w:spacing w:line="403" w:lineRule="auto"/>
      <w:ind w:firstLine="400"/>
    </w:pPr>
    <w:rPr>
      <w:rFonts w:ascii="宋体" w:hAnsi="宋体" w:eastAsia="宋体" w:cs="宋体"/>
      <w:color w:val="0D112A"/>
      <w:sz w:val="30"/>
      <w:szCs w:val="30"/>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650" w:line="546" w:lineRule="exact"/>
      <w:jc w:val="center"/>
      <w:outlineLvl w:val="1"/>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2021-09-22T09:21:00Z</dcterms:created>
  <dc:creator>yy</dc:creator>
  <cp:lastModifiedBy>Administrator</cp:lastModifiedBy>
  <dcterms:modified xsi:type="dcterms:W3CDTF">2021-12-22T15:37:29Z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87A0A3C5CAD440C1BA17831D489B192C</vt:lpwstr>
  </property>
</Properties>
</file>