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hd w:val="clear" w:color="auto" w:fill="FFFFFF"/>
        <w:spacing w:before="0" w:beforeAutospacing="0" w:after="0" w:afterAutospacing="0" w:line="600" w:lineRule="exact"/>
        <w:rPr>
          <w:rFonts w:hint="eastAsia" w:ascii="Times New Roman" w:hAnsi="Times New Roman" w:eastAsia="黑体" w:cs="Times New Roman"/>
          <w:sz w:val="32"/>
          <w:szCs w:val="32"/>
        </w:rPr>
      </w:pPr>
      <w:r>
        <w:rPr>
          <w:rFonts w:ascii="Times New Roman" w:hAnsi="黑体" w:eastAsia="黑体" w:cs="Times New Roman"/>
          <w:sz w:val="32"/>
          <w:szCs w:val="32"/>
        </w:rPr>
        <w:t>附件</w:t>
      </w:r>
      <w:r>
        <w:rPr>
          <w:rFonts w:ascii="Times New Roman" w:hAnsi="Times New Roman" w:eastAsia="黑体" w:cs="Times New Roman"/>
          <w:sz w:val="32"/>
          <w:szCs w:val="32"/>
        </w:rPr>
        <w:t>1</w:t>
      </w:r>
    </w:p>
    <w:p>
      <w:pPr>
        <w:rPr>
          <w:rFonts w:hint="eastAsia" w:ascii="仿宋_GB2312" w:eastAsia="仿宋_GB2312"/>
          <w:sz w:val="32"/>
          <w:szCs w:val="32"/>
        </w:rPr>
      </w:pPr>
    </w:p>
    <w:p>
      <w:pPr>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湖南省涉企经营许可事项告知书</w:t>
      </w:r>
    </w:p>
    <w:p>
      <w:pPr>
        <w:jc w:val="center"/>
        <w:rPr>
          <w:rFonts w:hint="eastAsia" w:ascii="宋体" w:hAnsi="宋体"/>
          <w:sz w:val="44"/>
          <w:szCs w:val="44"/>
        </w:rPr>
      </w:pPr>
    </w:p>
    <w:p>
      <w:pPr>
        <w:keepNext w:val="0"/>
        <w:keepLines w:val="0"/>
        <w:pageBreakBefore w:val="0"/>
        <w:widowControl/>
        <w:numPr>
          <w:ilvl w:val="0"/>
          <w:numId w:val="1"/>
        </w:numPr>
        <w:kinsoku/>
        <w:wordWrap/>
        <w:overflowPunct/>
        <w:topLinePunct w:val="0"/>
        <w:autoSpaceDE/>
        <w:autoSpaceDN/>
        <w:bidi w:val="0"/>
        <w:spacing w:line="360" w:lineRule="auto"/>
        <w:ind w:left="1350" w:hanging="72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许可事项名称及编码</w:t>
      </w:r>
    </w:p>
    <w:p>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color w:val="000000" w:themeColor="text1"/>
          <w:kern w:val="0"/>
          <w:sz w:val="32"/>
          <w:szCs w:val="32"/>
          <w14:textFill>
            <w14:solidFill>
              <w14:schemeClr w14:val="tx1"/>
            </w14:solidFill>
          </w14:textFill>
        </w:rPr>
        <w:t>道路旅客运输站（场）经营许可</w:t>
      </w:r>
      <w:r>
        <w:rPr>
          <w:rFonts w:hint="eastAsia" w:ascii="仿宋" w:hAnsi="仿宋" w:eastAsia="仿宋" w:cs="仿宋"/>
          <w:color w:val="000000" w:themeColor="text1"/>
          <w:kern w:val="0"/>
          <w:sz w:val="32"/>
          <w:szCs w:val="32"/>
          <w:lang w:val="en-US" w:eastAsia="zh-CN"/>
          <w14:textFill>
            <w14:solidFill>
              <w14:schemeClr w14:val="tx1"/>
            </w14:solidFill>
          </w14:textFill>
        </w:rPr>
        <w:t xml:space="preserve">   </w:t>
      </w:r>
      <w:r>
        <w:rPr>
          <w:rFonts w:hint="eastAsia" w:ascii="仿宋" w:hAnsi="仿宋" w:eastAsia="仿宋" w:cs="仿宋"/>
          <w:color w:val="000000" w:themeColor="text1"/>
          <w:kern w:val="0"/>
          <w:sz w:val="32"/>
          <w:szCs w:val="32"/>
          <w14:textFill>
            <w14:solidFill>
              <w14:schemeClr w14:val="tx1"/>
            </w14:solidFill>
          </w14:textFill>
        </w:rPr>
        <w:t>000118019000</w:t>
      </w:r>
      <w:r>
        <w:rPr>
          <w:rFonts w:hint="eastAsia" w:ascii="仿宋" w:hAnsi="仿宋" w:eastAsia="仿宋" w:cs="仿宋"/>
          <w:color w:val="000000" w:themeColor="text1"/>
          <w:kern w:val="0"/>
          <w:sz w:val="32"/>
          <w:szCs w:val="32"/>
          <w14:textFill>
            <w14:solidFill>
              <w14:schemeClr w14:val="tx1"/>
            </w14:solidFill>
          </w14:textFill>
        </w:rPr>
        <w:br w:type="textWrapping"/>
      </w:r>
      <w:r>
        <w:rPr>
          <w:rFonts w:hint="eastAsia" w:ascii="仿宋" w:hAnsi="仿宋" w:eastAsia="仿宋" w:cs="仿宋"/>
          <w:color w:val="000000" w:themeColor="text1"/>
          <w:kern w:val="0"/>
          <w:sz w:val="32"/>
          <w:szCs w:val="32"/>
          <w:lang w:val="en-US" w:eastAsia="zh-CN"/>
          <w14:textFill>
            <w14:solidFill>
              <w14:schemeClr w14:val="tx1"/>
            </w14:solidFill>
          </w14:textFill>
        </w:rPr>
        <w:t xml:space="preserve"> </w:t>
      </w:r>
      <w:r>
        <w:rPr>
          <w:rFonts w:hint="eastAsia" w:ascii="黑体" w:hAnsi="黑体" w:eastAsia="黑体" w:cs="黑体"/>
          <w:color w:val="000000" w:themeColor="text1"/>
          <w:kern w:val="0"/>
          <w:sz w:val="32"/>
          <w:szCs w:val="32"/>
          <w:lang w:val="en-US" w:eastAsia="zh-CN"/>
          <w14:textFill>
            <w14:solidFill>
              <w14:schemeClr w14:val="tx1"/>
            </w14:solidFill>
          </w14:textFill>
        </w:rPr>
        <w:t xml:space="preserve">   </w:t>
      </w:r>
      <w:r>
        <w:rPr>
          <w:rFonts w:hint="eastAsia" w:ascii="黑体" w:hAnsi="黑体" w:eastAsia="黑体" w:cs="黑体"/>
          <w:color w:val="000000"/>
          <w:kern w:val="0"/>
          <w:sz w:val="32"/>
          <w:szCs w:val="32"/>
        </w:rPr>
        <w:t>二、许可事项告知部门</w:t>
      </w:r>
    </w:p>
    <w:p>
      <w:pPr>
        <w:keepNext w:val="0"/>
        <w:keepLines w:val="0"/>
        <w:pageBreakBefore w:val="0"/>
        <w:widowControl/>
        <w:kinsoku/>
        <w:wordWrap/>
        <w:overflowPunct/>
        <w:topLinePunct w:val="0"/>
        <w:autoSpaceDE/>
        <w:autoSpaceDN/>
        <w:bidi w:val="0"/>
        <w:spacing w:line="360" w:lineRule="auto"/>
        <w:ind w:firstLine="630"/>
        <w:jc w:val="left"/>
        <w:textAlignment w:val="auto"/>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芷江侗族自治县</w:t>
      </w:r>
      <w:bookmarkStart w:id="0" w:name="_GoBack"/>
      <w:bookmarkEnd w:id="0"/>
      <w:r>
        <w:rPr>
          <w:rFonts w:hint="eastAsia" w:ascii="仿宋" w:hAnsi="仿宋" w:eastAsia="仿宋" w:cs="仿宋"/>
          <w:color w:val="000000" w:themeColor="text1"/>
          <w:kern w:val="0"/>
          <w:sz w:val="32"/>
          <w:szCs w:val="32"/>
          <w:lang w:eastAsia="zh-CN"/>
          <w14:textFill>
            <w14:solidFill>
              <w14:schemeClr w14:val="tx1"/>
            </w14:solidFill>
          </w14:textFill>
        </w:rPr>
        <w:t>交通运输局</w:t>
      </w:r>
    </w:p>
    <w:p>
      <w:pPr>
        <w:keepNext w:val="0"/>
        <w:keepLines w:val="0"/>
        <w:pageBreakBefore w:val="0"/>
        <w:widowControl/>
        <w:numPr>
          <w:ilvl w:val="0"/>
          <w:numId w:val="0"/>
        </w:numPr>
        <w:kinsoku/>
        <w:wordWrap/>
        <w:overflowPunct/>
        <w:topLinePunct w:val="0"/>
        <w:autoSpaceDE/>
        <w:autoSpaceDN/>
        <w:bidi w:val="0"/>
        <w:spacing w:line="360" w:lineRule="auto"/>
        <w:ind w:left="630" w:leftChars="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lang w:eastAsia="zh-CN"/>
        </w:rPr>
        <w:t>三、</w:t>
      </w:r>
      <w:r>
        <w:rPr>
          <w:rFonts w:hint="eastAsia" w:ascii="黑体" w:hAnsi="黑体" w:eastAsia="黑体" w:cs="黑体"/>
          <w:color w:val="000000"/>
          <w:kern w:val="0"/>
          <w:sz w:val="32"/>
          <w:szCs w:val="32"/>
        </w:rPr>
        <w:t>准予许可的条件</w:t>
      </w:r>
    </w:p>
    <w:p>
      <w:pPr>
        <w:keepNext w:val="0"/>
        <w:keepLines w:val="0"/>
        <w:pageBreakBefore w:val="0"/>
        <w:widowControl/>
        <w:numPr>
          <w:ilvl w:val="0"/>
          <w:numId w:val="2"/>
        </w:numPr>
        <w:kinsoku/>
        <w:wordWrap/>
        <w:overflowPunct/>
        <w:topLinePunct w:val="0"/>
        <w:autoSpaceDE/>
        <w:autoSpaceDN/>
        <w:bidi w:val="0"/>
        <w:spacing w:line="360" w:lineRule="auto"/>
        <w:ind w:firstLine="643" w:firstLineChars="200"/>
        <w:jc w:val="left"/>
        <w:textAlignment w:val="auto"/>
        <w:rPr>
          <w:rFonts w:hint="eastAsia" w:ascii="仿宋" w:hAnsi="仿宋" w:eastAsia="仿宋" w:cs="仿宋"/>
          <w:sz w:val="32"/>
          <w:szCs w:val="32"/>
        </w:rPr>
      </w:pPr>
      <w:r>
        <w:rPr>
          <w:rFonts w:hint="eastAsia" w:ascii="楷体" w:hAnsi="楷体" w:eastAsia="楷体" w:cs="楷体"/>
          <w:b/>
          <w:bCs/>
          <w:sz w:val="32"/>
          <w:szCs w:val="32"/>
        </w:rPr>
        <w:t>本行政许可事项获得批准应当具备下列条件：</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1、</w:t>
      </w:r>
      <w:r>
        <w:rPr>
          <w:rFonts w:hint="eastAsia" w:ascii="仿宋" w:hAnsi="仿宋" w:eastAsia="仿宋" w:cs="仿宋"/>
          <w:sz w:val="32"/>
          <w:szCs w:val="32"/>
        </w:rPr>
        <w:t xml:space="preserve">客运站经有关部门组织的工程竣工验收合格，并且经交通运输主管部门组织的站级验收合格； </w:t>
      </w:r>
    </w:p>
    <w:p>
      <w:pPr>
        <w:keepNext w:val="0"/>
        <w:keepLines w:val="0"/>
        <w:pageBreakBefore w:val="0"/>
        <w:widowControl/>
        <w:numPr>
          <w:ilvl w:val="0"/>
          <w:numId w:val="0"/>
        </w:numPr>
        <w:kinsoku/>
        <w:wordWrap/>
        <w:overflowPunct/>
        <w:topLinePunct w:val="0"/>
        <w:autoSpaceDE/>
        <w:autoSpaceDN/>
        <w:bidi w:val="0"/>
        <w:spacing w:line="36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 xml:space="preserve">有与业务量相适应的专业人员和管理人员； </w:t>
      </w:r>
    </w:p>
    <w:p>
      <w:pPr>
        <w:keepNext w:val="0"/>
        <w:keepLines w:val="0"/>
        <w:pageBreakBefore w:val="0"/>
        <w:widowControl/>
        <w:numPr>
          <w:ilvl w:val="0"/>
          <w:numId w:val="0"/>
        </w:numPr>
        <w:kinsoku/>
        <w:wordWrap/>
        <w:overflowPunct/>
        <w:topLinePunct w:val="0"/>
        <w:autoSpaceDE/>
        <w:autoSpaceDN/>
        <w:bidi w:val="0"/>
        <w:spacing w:line="36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 xml:space="preserve">有相应的设备、设施，具体要求按照行业标准《汽车客运站级别划分及建设要求》（JT/T200）的规定执行； </w:t>
      </w:r>
    </w:p>
    <w:p>
      <w:pPr>
        <w:keepNext w:val="0"/>
        <w:keepLines w:val="0"/>
        <w:pageBreakBefore w:val="0"/>
        <w:widowControl/>
        <w:numPr>
          <w:ilvl w:val="0"/>
          <w:numId w:val="0"/>
        </w:numPr>
        <w:kinsoku/>
        <w:wordWrap/>
        <w:overflowPunct/>
        <w:topLinePunct w:val="0"/>
        <w:autoSpaceDE/>
        <w:autoSpaceDN/>
        <w:bidi w:val="0"/>
        <w:spacing w:line="36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 xml:space="preserve">有健全的业务操作规程和安全管理制度，包括服务规范、安全生产操作规程、车辆发车前例检制度、安全生产责任制、危险品查堵、安全生产监督检查的制度。 </w:t>
      </w:r>
    </w:p>
    <w:p>
      <w:pPr>
        <w:keepNext w:val="0"/>
        <w:keepLines w:val="0"/>
        <w:pageBreakBefore w:val="0"/>
        <w:widowControl/>
        <w:numPr>
          <w:ilvl w:val="0"/>
          <w:numId w:val="0"/>
        </w:numPr>
        <w:kinsoku/>
        <w:wordWrap/>
        <w:overflowPunct/>
        <w:topLinePunct w:val="0"/>
        <w:autoSpaceDE/>
        <w:autoSpaceDN/>
        <w:bidi w:val="0"/>
        <w:spacing w:line="36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依法向市场监管部门办理有关登记手续。</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640" w:leftChars="152" w:hanging="321" w:hangingChars="100"/>
        <w:jc w:val="left"/>
        <w:textAlignment w:val="auto"/>
        <w:rPr>
          <w:rFonts w:hint="eastAsia" w:ascii="仿宋" w:hAnsi="仿宋" w:eastAsia="仿宋" w:cs="仿宋"/>
          <w:color w:val="000000"/>
          <w:kern w:val="0"/>
          <w:sz w:val="32"/>
          <w:szCs w:val="32"/>
          <w:lang w:val="en-US" w:eastAsia="zh-CN"/>
        </w:rPr>
      </w:pPr>
      <w:r>
        <w:rPr>
          <w:rFonts w:hint="eastAsia" w:ascii="楷体" w:hAnsi="楷体" w:eastAsia="楷体" w:cs="楷体"/>
          <w:b/>
          <w:bCs/>
          <w:sz w:val="32"/>
          <w:szCs w:val="32"/>
        </w:rPr>
        <w:t>（二）应当提交的材料及期限：</w:t>
      </w:r>
      <w:r>
        <w:rPr>
          <w:rFonts w:hint="eastAsia" w:ascii="仿宋" w:hAnsi="仿宋" w:eastAsia="仿宋" w:cs="仿宋"/>
          <w:sz w:val="32"/>
          <w:szCs w:val="32"/>
        </w:rPr>
        <w:br w:type="textWrapping"/>
      </w:r>
      <w:r>
        <w:rPr>
          <w:rFonts w:hint="eastAsia" w:ascii="仿宋" w:hAnsi="仿宋" w:eastAsia="仿宋" w:cs="仿宋"/>
          <w:color w:val="000000"/>
          <w:kern w:val="0"/>
          <w:sz w:val="32"/>
          <w:szCs w:val="32"/>
          <w:lang w:val="en-US" w:eastAsia="zh-CN"/>
        </w:rPr>
        <w:t>1、《道路旅客运输站经营申请表》  原件1份</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640" w:firstLineChars="200"/>
        <w:jc w:val="left"/>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2、营业执照                原件和复印件   1份</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640" w:firstLineChars="200"/>
        <w:jc w:val="left"/>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3、竣工验收证明、客运站站级验收证明  原件 1份</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640" w:firstLineChars="200"/>
        <w:jc w:val="left"/>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4、安全生产管理制度文本   原件1份</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640" w:firstLineChars="200"/>
        <w:jc w:val="left"/>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5、拟（已）聘用专业人员、管理人员的专业证书、身份证明  原件1份</w:t>
      </w:r>
    </w:p>
    <w:p>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rPr>
        <w:t>6、经营场地土地和房屋证明  原件  1份</w:t>
      </w:r>
    </w:p>
    <w:p>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7、</w:t>
      </w:r>
      <w:r>
        <w:rPr>
          <w:rFonts w:hint="eastAsia" w:ascii="仿宋" w:hAnsi="仿宋" w:eastAsia="仿宋" w:cs="仿宋"/>
          <w:kern w:val="0"/>
          <w:sz w:val="32"/>
          <w:szCs w:val="32"/>
          <w:lang w:val="en-US" w:eastAsia="zh-CN"/>
        </w:rPr>
        <w:t>法定代表人或个体经营者身份证明，经办人身份证明和授权委托书    原件1份</w:t>
      </w:r>
    </w:p>
    <w:p>
      <w:pPr>
        <w:keepNext w:val="0"/>
        <w:keepLines w:val="0"/>
        <w:pageBreakBefore w:val="0"/>
        <w:kinsoku/>
        <w:wordWrap/>
        <w:overflowPunct/>
        <w:topLinePunct w:val="0"/>
        <w:autoSpaceDE/>
        <w:autoSpaceDN/>
        <w:bidi w:val="0"/>
        <w:spacing w:line="360" w:lineRule="auto"/>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上述材料，申请人应当：</w:t>
      </w:r>
    </w:p>
    <w:p>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□在</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2</w:t>
      </w:r>
      <w:r>
        <w:rPr>
          <w:rFonts w:hint="eastAsia" w:ascii="仿宋" w:hAnsi="仿宋" w:eastAsia="仿宋" w:cs="仿宋"/>
          <w:sz w:val="32"/>
          <w:szCs w:val="32"/>
          <w:u w:val="single"/>
        </w:rPr>
        <w:t xml:space="preserve">  </w:t>
      </w:r>
      <w:r>
        <w:rPr>
          <w:rFonts w:hint="eastAsia" w:ascii="仿宋" w:hAnsi="仿宋" w:eastAsia="仿宋" w:cs="仿宋"/>
          <w:sz w:val="32"/>
          <w:szCs w:val="32"/>
        </w:rPr>
        <w:t>个工作日内提交“应当提交的材料”中的第</w:t>
      </w:r>
      <w:r>
        <w:rPr>
          <w:rFonts w:hint="eastAsia" w:ascii="仿宋" w:hAnsi="仿宋" w:eastAsia="仿宋" w:cs="仿宋"/>
          <w:sz w:val="32"/>
          <w:szCs w:val="32"/>
          <w:lang w:val="en-US" w:eastAsia="zh-CN"/>
        </w:rPr>
        <w:t>1</w:t>
      </w:r>
      <w:r>
        <w:rPr>
          <w:rFonts w:hint="eastAsia" w:ascii="仿宋" w:hAnsi="仿宋" w:eastAsia="仿宋" w:cs="仿宋"/>
          <w:sz w:val="32"/>
          <w:szCs w:val="32"/>
          <w:u w:val="single"/>
        </w:rPr>
        <w:t xml:space="preserve">  </w:t>
      </w:r>
      <w:r>
        <w:rPr>
          <w:rFonts w:hint="eastAsia" w:ascii="仿宋" w:hAnsi="仿宋" w:eastAsia="仿宋" w:cs="仿宋"/>
          <w:sz w:val="32"/>
          <w:szCs w:val="32"/>
        </w:rPr>
        <w:t>项</w:t>
      </w:r>
      <w:r>
        <w:rPr>
          <w:rFonts w:hint="eastAsia" w:ascii="仿宋" w:hAnsi="仿宋" w:eastAsia="仿宋" w:cs="仿宋"/>
          <w:sz w:val="32"/>
          <w:szCs w:val="32"/>
          <w:lang w:eastAsia="zh-CN"/>
        </w:rPr>
        <w:t>至</w:t>
      </w:r>
      <w:r>
        <w:rPr>
          <w:rFonts w:hint="eastAsia" w:ascii="仿宋" w:hAnsi="仿宋" w:eastAsia="仿宋" w:cs="仿宋"/>
          <w:sz w:val="32"/>
          <w:szCs w:val="32"/>
        </w:rPr>
        <w:t>第</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7</w:t>
      </w:r>
      <w:r>
        <w:rPr>
          <w:rFonts w:hint="eastAsia" w:ascii="仿宋" w:hAnsi="仿宋" w:eastAsia="仿宋" w:cs="仿宋"/>
          <w:sz w:val="32"/>
          <w:szCs w:val="32"/>
          <w:u w:val="single"/>
        </w:rPr>
        <w:t xml:space="preserve"> </w:t>
      </w:r>
      <w:r>
        <w:rPr>
          <w:rFonts w:hint="eastAsia" w:ascii="仿宋" w:hAnsi="仿宋" w:eastAsia="仿宋" w:cs="仿宋"/>
          <w:sz w:val="32"/>
          <w:szCs w:val="32"/>
        </w:rPr>
        <w:t>项。</w:t>
      </w:r>
    </w:p>
    <w:p>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□在行政机关对申请人自愿承诺的内容是否属实进行检查时提交：上述“应当提交的材料”中的第</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1</w:t>
      </w:r>
      <w:r>
        <w:rPr>
          <w:rFonts w:hint="eastAsia" w:ascii="仿宋" w:hAnsi="仿宋" w:eastAsia="仿宋" w:cs="仿宋"/>
          <w:sz w:val="32"/>
          <w:szCs w:val="32"/>
          <w:u w:val="single"/>
        </w:rPr>
        <w:t xml:space="preserve"> </w:t>
      </w:r>
      <w:r>
        <w:rPr>
          <w:rFonts w:hint="eastAsia" w:ascii="仿宋" w:hAnsi="仿宋" w:eastAsia="仿宋" w:cs="仿宋"/>
          <w:sz w:val="32"/>
          <w:szCs w:val="32"/>
        </w:rPr>
        <w:t>项、第</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7</w:t>
      </w:r>
      <w:r>
        <w:rPr>
          <w:rFonts w:hint="eastAsia" w:ascii="仿宋" w:hAnsi="仿宋" w:eastAsia="仿宋" w:cs="仿宋"/>
          <w:sz w:val="32"/>
          <w:szCs w:val="32"/>
          <w:u w:val="single"/>
        </w:rPr>
        <w:t xml:space="preserve"> </w:t>
      </w:r>
      <w:r>
        <w:rPr>
          <w:rFonts w:hint="eastAsia" w:ascii="仿宋" w:hAnsi="仿宋" w:eastAsia="仿宋" w:cs="仿宋"/>
          <w:sz w:val="32"/>
          <w:szCs w:val="32"/>
        </w:rPr>
        <w:t>项。</w:t>
      </w:r>
    </w:p>
    <w:p>
      <w:pPr>
        <w:keepNext w:val="0"/>
        <w:keepLines w:val="0"/>
        <w:pageBreakBefore w:val="0"/>
        <w:widowControl/>
        <w:kinsoku/>
        <w:wordWrap/>
        <w:overflowPunct/>
        <w:topLinePunct w:val="0"/>
        <w:autoSpaceDE/>
        <w:autoSpaceDN/>
        <w:bidi w:val="0"/>
        <w:spacing w:line="360" w:lineRule="auto"/>
        <w:ind w:firstLine="63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四、承诺的效力</w:t>
      </w:r>
    </w:p>
    <w:p>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申请人作出符合许可条件的承诺，并提交签章的承诺书后，行政机关应当场作出行政许可决定。</w:t>
      </w:r>
    </w:p>
    <w:p>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申请人承诺已具备经营许可条件的，领证后即可开展经营；申请人尚不具备经营许可条件，但承诺领证后一定期限内具备的，达到经营许可条件并按要求补齐材料后，方可开展经营。</w:t>
      </w:r>
    </w:p>
    <w:p>
      <w:pPr>
        <w:keepNext w:val="0"/>
        <w:keepLines w:val="0"/>
        <w:pageBreakBefore w:val="0"/>
        <w:widowControl/>
        <w:kinsoku/>
        <w:wordWrap/>
        <w:overflowPunct/>
        <w:topLinePunct w:val="0"/>
        <w:autoSpaceDE/>
        <w:autoSpaceDN/>
        <w:bidi w:val="0"/>
        <w:spacing w:line="360" w:lineRule="auto"/>
        <w:ind w:firstLine="63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五、承诺的方式</w:t>
      </w:r>
    </w:p>
    <w:p>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本行政许可事项采用书面承诺方式，申请人愿意作出承诺的，应当向行政机关提交本人或委托代理人签字后的承诺书原件。委托办理的，申请人应签署委托代理书。</w:t>
      </w:r>
    </w:p>
    <w:p>
      <w:pPr>
        <w:keepNext w:val="0"/>
        <w:keepLines w:val="0"/>
        <w:pageBreakBefore w:val="0"/>
        <w:widowControl/>
        <w:kinsoku/>
        <w:wordWrap/>
        <w:overflowPunct/>
        <w:topLinePunct w:val="0"/>
        <w:autoSpaceDE/>
        <w:autoSpaceDN/>
        <w:bidi w:val="0"/>
        <w:spacing w:line="360" w:lineRule="auto"/>
        <w:ind w:firstLine="63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六、不实承诺的责任</w:t>
      </w:r>
    </w:p>
    <w:p>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申请人在承诺书约定的期限内未提交材料或者提交材料不符合要求的，行政机关可视情撤销许可决定；发现申请人不符合承诺条件开展经营的，行政机关应当责令其限期整改。申请人逾期不整改或整改后仍达不到要求的，行政机关应当依法撤销许可决定。被撤销许可决定的，行政许可范围内的经营活动应当立即停止，申请人基于行政许可取得的利益不受法律保护。申请人相关失信行为信息将记入诚信档案，并不再适用告知承诺的审批方式。</w:t>
      </w:r>
    </w:p>
    <w:p>
      <w:pPr>
        <w:keepNext w:val="0"/>
        <w:keepLines w:val="0"/>
        <w:pageBreakBefore w:val="0"/>
        <w:widowControl/>
        <w:kinsoku/>
        <w:wordWrap/>
        <w:overflowPunct/>
        <w:topLinePunct w:val="0"/>
        <w:autoSpaceDE/>
        <w:autoSpaceDN/>
        <w:bidi w:val="0"/>
        <w:spacing w:line="360" w:lineRule="auto"/>
        <w:ind w:firstLine="63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七、行政机关核查权力</w:t>
      </w:r>
    </w:p>
    <w:p>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对货运站场场地、人员、设施进行现场核查。</w:t>
      </w:r>
    </w:p>
    <w:p>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仿宋" w:hAnsi="仿宋" w:eastAsia="仿宋" w:cs="仿宋"/>
          <w:kern w:val="0"/>
          <w:sz w:val="32"/>
          <w:szCs w:val="32"/>
          <w:lang w:eastAsia="zh-CN"/>
        </w:rPr>
      </w:pPr>
    </w:p>
    <w:p>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kern w:val="0"/>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B15050"/>
    <w:multiLevelType w:val="singleLevel"/>
    <w:tmpl w:val="3CB15050"/>
    <w:lvl w:ilvl="0" w:tentative="0">
      <w:start w:val="1"/>
      <w:numFmt w:val="chineseCounting"/>
      <w:suff w:val="nothing"/>
      <w:lvlText w:val="（%1）"/>
      <w:lvlJc w:val="left"/>
      <w:rPr>
        <w:rFonts w:hint="eastAsia"/>
      </w:rPr>
    </w:lvl>
  </w:abstractNum>
  <w:abstractNum w:abstractNumId="1">
    <w:nsid w:val="4C075B8D"/>
    <w:multiLevelType w:val="multilevel"/>
    <w:tmpl w:val="4C075B8D"/>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2ZDg5ZjM4MDM2ODNiMTkxNDQwNGRlMGVlZTE5MjYifQ=="/>
  </w:docVars>
  <w:rsids>
    <w:rsidRoot w:val="45CD09C6"/>
    <w:rsid w:val="03BD21AB"/>
    <w:rsid w:val="0E6F56A1"/>
    <w:rsid w:val="0E934CB3"/>
    <w:rsid w:val="10055BAF"/>
    <w:rsid w:val="10AD5BDE"/>
    <w:rsid w:val="114623DF"/>
    <w:rsid w:val="1862744B"/>
    <w:rsid w:val="197C2709"/>
    <w:rsid w:val="19C360C8"/>
    <w:rsid w:val="1AD178FE"/>
    <w:rsid w:val="1C021106"/>
    <w:rsid w:val="227F7F48"/>
    <w:rsid w:val="273B4A9C"/>
    <w:rsid w:val="2B0F47C3"/>
    <w:rsid w:val="2E132038"/>
    <w:rsid w:val="2EB978E2"/>
    <w:rsid w:val="302A3297"/>
    <w:rsid w:val="3AB84DFA"/>
    <w:rsid w:val="442F33F2"/>
    <w:rsid w:val="44DB488E"/>
    <w:rsid w:val="45CD09C6"/>
    <w:rsid w:val="4DC150E6"/>
    <w:rsid w:val="4E3E31C3"/>
    <w:rsid w:val="4F8918B0"/>
    <w:rsid w:val="50FD20CF"/>
    <w:rsid w:val="52607E61"/>
    <w:rsid w:val="52C22A60"/>
    <w:rsid w:val="52EB54F2"/>
    <w:rsid w:val="533E1203"/>
    <w:rsid w:val="540F7183"/>
    <w:rsid w:val="5723193D"/>
    <w:rsid w:val="581054D6"/>
    <w:rsid w:val="59F22C6A"/>
    <w:rsid w:val="5CE05046"/>
    <w:rsid w:val="662D0891"/>
    <w:rsid w:val="6BB02F8E"/>
    <w:rsid w:val="6D531644"/>
    <w:rsid w:val="77E555AE"/>
    <w:rsid w:val="7F9E538B"/>
    <w:rsid w:val="7FE901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table" w:styleId="4">
    <w:name w:val="Table Grid"/>
    <w:basedOn w:val="3"/>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996</Words>
  <Characters>1013</Characters>
  <Lines>0</Lines>
  <Paragraphs>0</Paragraphs>
  <TotalTime>59</TotalTime>
  <ScaleCrop>false</ScaleCrop>
  <LinksUpToDate>false</LinksUpToDate>
  <CharactersWithSpaces>1077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2021-06-30T03:28:00Z</dcterms:created>
  <dc:creator>D1</dc:creator>
  <cp:lastModifiedBy>Administrator</cp:lastModifiedBy>
  <dcterms:modified xsi:type="dcterms:W3CDTF">2022-09-07T07:16:37Z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A571DA202C38492393EFB9F490C3518D</vt:lpwstr>
  </property>
</Properties>
</file>