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_GB2312" w:eastAsia="仿宋_GB2312"/>
          <w:sz w:val="32"/>
          <w:szCs w:val="32"/>
        </w:rPr>
      </w:pPr>
      <w:bookmarkStart w:id="0" w:name="_GoBack"/>
      <w:bookmarkEnd w:id="0"/>
    </w:p>
    <w:p>
      <w:pPr>
        <w:jc w:val="center"/>
        <w:rPr>
          <w:rFonts w:hint="eastAsia" w:ascii="方正小标宋简体" w:hAnsi="宋体" w:eastAsia="方正小标宋简体"/>
          <w:sz w:val="44"/>
          <w:szCs w:val="44"/>
        </w:rPr>
      </w:pPr>
      <w:r>
        <w:rPr>
          <w:rFonts w:hint="eastAsia" w:ascii="方正小标宋简体" w:hAnsi="宋体" w:eastAsia="方正小标宋简体"/>
          <w:sz w:val="44"/>
          <w:szCs w:val="44"/>
        </w:rPr>
        <w:t>湖南省涉企经营许可事项告知书</w:t>
      </w:r>
    </w:p>
    <w:p>
      <w:pPr>
        <w:jc w:val="center"/>
        <w:rPr>
          <w:rFonts w:hint="eastAsia" w:ascii="宋体" w:hAnsi="宋体"/>
          <w:sz w:val="44"/>
          <w:szCs w:val="44"/>
        </w:rPr>
      </w:pPr>
    </w:p>
    <w:p>
      <w:pPr>
        <w:widowControl/>
        <w:numPr>
          <w:ilvl w:val="0"/>
          <w:numId w:val="1"/>
        </w:numPr>
        <w:spacing w:line="600" w:lineRule="exact"/>
        <w:ind w:left="1350" w:hanging="720"/>
        <w:jc w:val="left"/>
        <w:rPr>
          <w:rFonts w:ascii="黑体" w:hAnsi="黑体" w:eastAsia="黑体" w:cs="宋体"/>
          <w:color w:val="000000"/>
          <w:kern w:val="0"/>
          <w:sz w:val="32"/>
          <w:szCs w:val="32"/>
        </w:rPr>
      </w:pPr>
      <w:r>
        <w:rPr>
          <w:rFonts w:hint="eastAsia" w:ascii="黑体" w:hAnsi="黑体" w:eastAsia="黑体" w:cs="宋体"/>
          <w:color w:val="000000"/>
          <w:kern w:val="0"/>
          <w:sz w:val="32"/>
          <w:szCs w:val="32"/>
        </w:rPr>
        <w:t>许可事项名称及编码</w:t>
      </w:r>
    </w:p>
    <w:p>
      <w:pPr>
        <w:widowControl/>
        <w:spacing w:line="600" w:lineRule="exact"/>
        <w:ind w:firstLine="630"/>
        <w:jc w:val="left"/>
        <w:rPr>
          <w:rFonts w:hint="eastAsia" w:ascii="楷体_GB2312" w:hAnsi="宋体" w:eastAsia="楷体_GB2312" w:cs="宋体"/>
          <w:kern w:val="0"/>
          <w:sz w:val="32"/>
          <w:szCs w:val="32"/>
          <w:lang w:eastAsia="zh-CN"/>
        </w:rPr>
      </w:pPr>
      <w:r>
        <w:rPr>
          <w:rFonts w:hint="eastAsia" w:ascii="楷体_GB2312" w:hAnsi="宋体" w:eastAsia="楷体_GB2312" w:cs="宋体"/>
          <w:kern w:val="0"/>
          <w:sz w:val="32"/>
          <w:szCs w:val="32"/>
          <w:lang w:eastAsia="zh-CN"/>
        </w:rPr>
        <w:t>林草种子生产经营许可证核发（告知承诺制）</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二、许可事项告知部门</w:t>
      </w:r>
    </w:p>
    <w:p>
      <w:pPr>
        <w:widowControl/>
        <w:spacing w:line="600" w:lineRule="exact"/>
        <w:ind w:firstLine="630"/>
        <w:jc w:val="left"/>
        <w:rPr>
          <w:rFonts w:hint="eastAsia" w:ascii="楷体_GB2312" w:hAnsi="宋体" w:eastAsia="楷体_GB2312" w:cs="宋体"/>
          <w:kern w:val="0"/>
          <w:sz w:val="32"/>
          <w:szCs w:val="32"/>
          <w:lang w:eastAsia="zh-CN"/>
        </w:rPr>
      </w:pPr>
      <w:r>
        <w:rPr>
          <w:rFonts w:hint="eastAsia" w:ascii="楷体_GB2312" w:hAnsi="宋体" w:eastAsia="楷体_GB2312" w:cs="宋体"/>
          <w:kern w:val="0"/>
          <w:sz w:val="32"/>
          <w:szCs w:val="32"/>
          <w:lang w:eastAsia="zh-CN"/>
        </w:rPr>
        <w:t>芷江侗族自治县林业局</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三、准予许可的条件</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（一）本行政许可事项获得批准应当具备下列条件：</w:t>
      </w:r>
    </w:p>
    <w:p>
      <w:pPr>
        <w:pStyle w:val="2"/>
        <w:shd w:val="clear" w:color="auto" w:fill="FFFFFF"/>
        <w:spacing w:before="0" w:beforeAutospacing="0" w:after="0" w:afterAutospacing="0" w:line="450" w:lineRule="atLeas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申请林木种子生产经营许可证的单位和个人，应当提交下列材料：</w:t>
      </w:r>
    </w:p>
    <w:p>
      <w:pPr>
        <w:pStyle w:val="2"/>
        <w:shd w:val="clear" w:color="auto" w:fill="FFFFFF"/>
        <w:spacing w:before="0" w:beforeAutospacing="0" w:after="0" w:afterAutospacing="0" w:line="450" w:lineRule="atLeas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（一）林木种子生产经营许可证申请表。</w:t>
      </w:r>
    </w:p>
    <w:p>
      <w:pPr>
        <w:pStyle w:val="2"/>
        <w:shd w:val="clear" w:color="auto" w:fill="FFFFFF"/>
        <w:spacing w:before="0" w:beforeAutospacing="0" w:after="0" w:afterAutospacing="0" w:line="450" w:lineRule="atLeas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（二）营业执照或者法人证书复印件、身份证件复印件；单位还应当提供章程。</w:t>
      </w:r>
    </w:p>
    <w:p>
      <w:pPr>
        <w:pStyle w:val="2"/>
        <w:shd w:val="clear" w:color="auto" w:fill="FFFFFF"/>
        <w:spacing w:before="0" w:beforeAutospacing="0" w:after="0" w:afterAutospacing="0" w:line="450" w:lineRule="atLeas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（三）林木种子生产、加工、检验、储藏等设施和仪器设备的所有权或者使用权说明材料以及照片。</w:t>
      </w:r>
    </w:p>
    <w:p>
      <w:pPr>
        <w:pStyle w:val="2"/>
        <w:shd w:val="clear" w:color="auto" w:fill="FFFFFF"/>
        <w:spacing w:before="0" w:beforeAutospacing="0" w:after="0" w:afterAutospacing="0" w:line="450" w:lineRule="atLeas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（四）林木种子生产、检验、加工、储藏等技术人员基本情况的说明材料以及劳动合同。</w:t>
      </w:r>
    </w:p>
    <w:p>
      <w:pPr>
        <w:pStyle w:val="2"/>
        <w:shd w:val="clear" w:color="auto" w:fill="FFFFFF"/>
        <w:spacing w:before="0" w:beforeAutospacing="0" w:after="0" w:afterAutospacing="0" w:line="450" w:lineRule="atLeas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（五）从事具有植物新品种权林木种子生产经营的，应当提供品种权人的书面同意或者国务院林业主管部门品种权转让公告、强制许可决定。</w:t>
      </w:r>
    </w:p>
    <w:p>
      <w:pPr>
        <w:pStyle w:val="2"/>
        <w:shd w:val="clear" w:color="auto" w:fill="FFFFFF"/>
        <w:spacing w:before="0" w:beforeAutospacing="0" w:after="0" w:afterAutospacing="0" w:line="450" w:lineRule="atLeas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（六）从事林木良种种子生产经营的，应当提供林木良种证明材料。</w:t>
      </w:r>
    </w:p>
    <w:p>
      <w:pPr>
        <w:pStyle w:val="2"/>
        <w:shd w:val="clear" w:color="auto" w:fill="FFFFFF"/>
        <w:spacing w:before="0" w:beforeAutospacing="0" w:after="0" w:afterAutospacing="0" w:line="450" w:lineRule="atLeas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（七）实行选育生产经营相结合的，应当提供育种科研团队、试验示范测试基地以及自主研发的林木品种等相关证明材料。</w:t>
      </w:r>
    </w:p>
    <w:p>
      <w:pPr>
        <w:pStyle w:val="2"/>
        <w:shd w:val="clear" w:color="auto" w:fill="FFFFFF"/>
        <w:spacing w:before="0" w:beforeAutospacing="0" w:after="0" w:afterAutospacing="0" w:line="450" w:lineRule="atLeas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（八）生产经营引进外来林木品种种子的，应当提交引种成功的证明材料。</w:t>
      </w:r>
    </w:p>
    <w:p>
      <w:pPr>
        <w:pStyle w:val="2"/>
        <w:shd w:val="clear" w:color="auto" w:fill="FFFFFF"/>
        <w:spacing w:before="0" w:beforeAutospacing="0" w:after="0" w:afterAutospacing="0" w:line="450" w:lineRule="atLeas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（九）从事林木种子进出口业务的，应当提供按照国家有关规定取得的种子进出口许可证明（由国家林业部门审批办理）。</w:t>
      </w:r>
    </w:p>
    <w:p>
      <w:pPr>
        <w:pStyle w:val="2"/>
        <w:shd w:val="clear" w:color="auto" w:fill="FFFFFF"/>
        <w:spacing w:before="0" w:beforeAutospacing="0" w:after="0" w:afterAutospacing="0" w:line="450" w:lineRule="atLeas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（十）从事转基因林木种子生产经营的，应当提供转基因林木安全证书（由国家林业部门审批办理）。</w:t>
      </w:r>
    </w:p>
    <w:p>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（二）</w:t>
      </w:r>
      <w:r>
        <w:rPr>
          <w:rFonts w:hint="eastAsia" w:ascii="Times New Roman" w:hAnsi="Times New Roman" w:eastAsia="仿宋_GB2312"/>
          <w:sz w:val="32"/>
          <w:szCs w:val="32"/>
          <w:lang w:eastAsia="zh-CN"/>
        </w:rPr>
        <w:t>县级林业主管部门核发</w:t>
      </w:r>
      <w:r>
        <w:rPr>
          <w:rFonts w:ascii="Times New Roman" w:hAnsi="Times New Roman" w:eastAsia="仿宋_GB2312"/>
          <w:sz w:val="32"/>
          <w:szCs w:val="32"/>
        </w:rPr>
        <w:t>应当提交的材料及期限</w:t>
      </w:r>
      <w:r>
        <w:rPr>
          <w:rFonts w:hint="eastAsia" w:ascii="Times New Roman" w:hAnsi="Times New Roman" w:eastAsia="仿宋_GB2312"/>
          <w:sz w:val="32"/>
          <w:szCs w:val="32"/>
        </w:rPr>
        <w:t>：</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上述材料，申请人应当：</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rPr>
        <w:t>在</w:t>
      </w:r>
      <w:r>
        <w:rPr>
          <w:rFonts w:ascii="仿宋_GB2312" w:eastAsia="仿宋_GB2312"/>
          <w:sz w:val="32"/>
          <w:szCs w:val="32"/>
          <w:u w:val="single"/>
        </w:rPr>
        <w:t xml:space="preserve"> </w:t>
      </w:r>
      <w:r>
        <w:rPr>
          <w:rFonts w:hint="eastAsia" w:ascii="仿宋_GB2312" w:eastAsia="仿宋_GB2312"/>
          <w:sz w:val="32"/>
          <w:szCs w:val="32"/>
          <w:u w:val="single"/>
          <w:lang w:val="en-US" w:eastAsia="zh-CN"/>
        </w:rPr>
        <w:t>1</w:t>
      </w:r>
      <w:r>
        <w:rPr>
          <w:rFonts w:ascii="仿宋_GB2312" w:eastAsia="仿宋_GB2312"/>
          <w:sz w:val="32"/>
          <w:szCs w:val="32"/>
          <w:u w:val="single"/>
        </w:rPr>
        <w:t xml:space="preserve"> </w:t>
      </w:r>
      <w:r>
        <w:rPr>
          <w:rFonts w:hint="eastAsia" w:ascii="仿宋_GB2312" w:eastAsia="仿宋_GB2312"/>
          <w:sz w:val="32"/>
          <w:szCs w:val="32"/>
        </w:rPr>
        <w:t>个工作日内提交“应当提交的材料”中的第</w:t>
      </w:r>
      <w:r>
        <w:rPr>
          <w:rFonts w:hint="eastAsia" w:ascii="仿宋_GB2312" w:eastAsia="仿宋_GB2312"/>
          <w:sz w:val="32"/>
          <w:szCs w:val="32"/>
          <w:u w:val="single"/>
        </w:rPr>
        <w:t xml:space="preserve"> </w:t>
      </w:r>
      <w:r>
        <w:rPr>
          <w:rFonts w:hint="eastAsia" w:ascii="仿宋_GB2312" w:eastAsia="仿宋_GB2312"/>
          <w:sz w:val="32"/>
          <w:szCs w:val="32"/>
          <w:u w:val="single"/>
          <w:lang w:val="en-US" w:eastAsia="zh-CN"/>
        </w:rPr>
        <w:t>1</w:t>
      </w:r>
      <w:r>
        <w:rPr>
          <w:rFonts w:hint="eastAsia" w:ascii="仿宋_GB2312" w:eastAsia="仿宋_GB2312"/>
          <w:sz w:val="32"/>
          <w:szCs w:val="32"/>
          <w:u w:val="single"/>
        </w:rPr>
        <w:t xml:space="preserve"> </w:t>
      </w:r>
      <w:r>
        <w:rPr>
          <w:rFonts w:hint="eastAsia" w:ascii="仿宋_GB2312" w:eastAsia="仿宋_GB2312"/>
          <w:sz w:val="32"/>
          <w:szCs w:val="32"/>
        </w:rPr>
        <w:t>项</w:t>
      </w:r>
      <w:r>
        <w:rPr>
          <w:rFonts w:hint="eastAsia" w:ascii="仿宋_GB2312" w:eastAsia="仿宋_GB2312"/>
          <w:sz w:val="32"/>
          <w:szCs w:val="32"/>
          <w:lang w:eastAsia="zh-CN"/>
        </w:rPr>
        <w:t>、</w:t>
      </w:r>
      <w:r>
        <w:rPr>
          <w:rFonts w:hint="eastAsia" w:ascii="仿宋_GB2312" w:eastAsia="仿宋_GB2312"/>
          <w:sz w:val="32"/>
          <w:szCs w:val="32"/>
        </w:rPr>
        <w:t>第</w:t>
      </w:r>
      <w:r>
        <w:rPr>
          <w:rFonts w:hint="eastAsia" w:ascii="仿宋_GB2312" w:eastAsia="仿宋_GB2312"/>
          <w:sz w:val="32"/>
          <w:szCs w:val="32"/>
          <w:u w:val="single"/>
        </w:rPr>
        <w:t xml:space="preserve"> </w:t>
      </w:r>
      <w:r>
        <w:rPr>
          <w:rFonts w:hint="eastAsia" w:ascii="仿宋_GB2312" w:eastAsia="仿宋_GB2312"/>
          <w:sz w:val="32"/>
          <w:szCs w:val="32"/>
          <w:u w:val="single"/>
          <w:lang w:val="en-US" w:eastAsia="zh-CN"/>
        </w:rPr>
        <w:t>2</w:t>
      </w:r>
      <w:r>
        <w:rPr>
          <w:rFonts w:hint="eastAsia" w:ascii="仿宋_GB2312" w:eastAsia="仿宋_GB2312"/>
          <w:sz w:val="32"/>
          <w:szCs w:val="32"/>
        </w:rPr>
        <w:t>项。</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rPr>
        <w:t>在行政机关对申请人自愿承诺的内容是否属实进行检查时提交：上述“应当提交的材料”中的第</w:t>
      </w:r>
      <w:r>
        <w:rPr>
          <w:rFonts w:hint="eastAsia" w:ascii="仿宋_GB2312" w:eastAsia="仿宋_GB2312"/>
          <w:sz w:val="32"/>
          <w:szCs w:val="32"/>
          <w:u w:val="single"/>
        </w:rPr>
        <w:t xml:space="preserve"> </w:t>
      </w:r>
      <w:r>
        <w:rPr>
          <w:rFonts w:hint="eastAsia" w:ascii="仿宋_GB2312" w:eastAsia="仿宋_GB2312"/>
          <w:sz w:val="32"/>
          <w:szCs w:val="32"/>
          <w:u w:val="single"/>
          <w:lang w:val="en-US" w:eastAsia="zh-CN"/>
        </w:rPr>
        <w:t>3</w:t>
      </w:r>
      <w:r>
        <w:rPr>
          <w:rFonts w:hint="eastAsia" w:ascii="仿宋_GB2312" w:eastAsia="仿宋_GB2312"/>
          <w:sz w:val="32"/>
          <w:szCs w:val="32"/>
          <w:u w:val="single"/>
        </w:rPr>
        <w:t xml:space="preserve"> </w:t>
      </w:r>
      <w:r>
        <w:rPr>
          <w:rFonts w:hint="eastAsia" w:ascii="仿宋_GB2312" w:eastAsia="仿宋_GB2312"/>
          <w:sz w:val="32"/>
          <w:szCs w:val="32"/>
        </w:rPr>
        <w:t>项</w:t>
      </w:r>
      <w:r>
        <w:rPr>
          <w:rFonts w:hint="eastAsia" w:ascii="仿宋_GB2312" w:eastAsia="仿宋_GB2312"/>
          <w:sz w:val="32"/>
          <w:szCs w:val="32"/>
          <w:lang w:eastAsia="zh-CN"/>
        </w:rPr>
        <w:t>、</w:t>
      </w:r>
      <w:r>
        <w:rPr>
          <w:rFonts w:hint="eastAsia" w:ascii="仿宋_GB2312" w:eastAsia="仿宋_GB2312"/>
          <w:sz w:val="32"/>
          <w:szCs w:val="32"/>
        </w:rPr>
        <w:t>第</w:t>
      </w:r>
      <w:r>
        <w:rPr>
          <w:rFonts w:hint="eastAsia" w:ascii="仿宋_GB2312" w:eastAsia="仿宋_GB2312"/>
          <w:sz w:val="32"/>
          <w:szCs w:val="32"/>
          <w:u w:val="single"/>
        </w:rPr>
        <w:t xml:space="preserve"> </w:t>
      </w:r>
      <w:r>
        <w:rPr>
          <w:rFonts w:hint="eastAsia" w:ascii="仿宋_GB2312" w:eastAsia="仿宋_GB2312"/>
          <w:sz w:val="32"/>
          <w:szCs w:val="32"/>
          <w:u w:val="single"/>
          <w:lang w:val="en-US" w:eastAsia="zh-CN"/>
        </w:rPr>
        <w:t>4</w:t>
      </w:r>
      <w:r>
        <w:rPr>
          <w:rFonts w:hint="eastAsia" w:ascii="仿宋_GB2312" w:eastAsia="仿宋_GB2312"/>
          <w:sz w:val="32"/>
          <w:szCs w:val="32"/>
          <w:u w:val="single"/>
        </w:rPr>
        <w:t xml:space="preserve"> </w:t>
      </w:r>
      <w:r>
        <w:rPr>
          <w:rFonts w:hint="eastAsia" w:ascii="仿宋_GB2312" w:eastAsia="仿宋_GB2312"/>
          <w:sz w:val="32"/>
          <w:szCs w:val="32"/>
        </w:rPr>
        <w:t>项</w:t>
      </w:r>
      <w:r>
        <w:rPr>
          <w:rFonts w:hint="eastAsia" w:ascii="仿宋_GB2312" w:eastAsia="仿宋_GB2312"/>
          <w:sz w:val="32"/>
          <w:szCs w:val="32"/>
          <w:lang w:eastAsia="zh-CN"/>
        </w:rPr>
        <w:t>、</w:t>
      </w:r>
      <w:r>
        <w:rPr>
          <w:rFonts w:hint="eastAsia" w:ascii="仿宋_GB2312" w:eastAsia="仿宋_GB2312"/>
          <w:sz w:val="32"/>
          <w:szCs w:val="32"/>
        </w:rPr>
        <w:t>第</w:t>
      </w:r>
      <w:r>
        <w:rPr>
          <w:rFonts w:hint="eastAsia" w:ascii="仿宋_GB2312" w:eastAsia="仿宋_GB2312"/>
          <w:sz w:val="32"/>
          <w:szCs w:val="32"/>
          <w:u w:val="single"/>
        </w:rPr>
        <w:t xml:space="preserve"> </w:t>
      </w:r>
      <w:r>
        <w:rPr>
          <w:rFonts w:hint="eastAsia" w:ascii="仿宋_GB2312" w:eastAsia="仿宋_GB2312"/>
          <w:sz w:val="32"/>
          <w:szCs w:val="32"/>
          <w:u w:val="single"/>
          <w:lang w:val="en-US" w:eastAsia="zh-CN"/>
        </w:rPr>
        <w:t>5</w:t>
      </w:r>
      <w:r>
        <w:rPr>
          <w:rFonts w:hint="eastAsia" w:ascii="仿宋_GB2312" w:eastAsia="仿宋_GB2312"/>
          <w:sz w:val="32"/>
          <w:szCs w:val="32"/>
          <w:u w:val="single"/>
        </w:rPr>
        <w:t xml:space="preserve"> </w:t>
      </w:r>
      <w:r>
        <w:rPr>
          <w:rFonts w:hint="eastAsia" w:ascii="仿宋_GB2312" w:eastAsia="仿宋_GB2312"/>
          <w:sz w:val="32"/>
          <w:szCs w:val="32"/>
        </w:rPr>
        <w:t>项</w:t>
      </w:r>
      <w:r>
        <w:rPr>
          <w:rFonts w:hint="eastAsia" w:ascii="仿宋_GB2312" w:eastAsia="仿宋_GB2312"/>
          <w:sz w:val="32"/>
          <w:szCs w:val="32"/>
          <w:lang w:eastAsia="zh-CN"/>
        </w:rPr>
        <w:t>、</w:t>
      </w:r>
      <w:r>
        <w:rPr>
          <w:rFonts w:hint="eastAsia" w:ascii="仿宋_GB2312" w:eastAsia="仿宋_GB2312"/>
          <w:sz w:val="32"/>
          <w:szCs w:val="32"/>
        </w:rPr>
        <w:t>第</w:t>
      </w:r>
      <w:r>
        <w:rPr>
          <w:rFonts w:hint="eastAsia" w:ascii="仿宋_GB2312" w:eastAsia="仿宋_GB2312"/>
          <w:sz w:val="32"/>
          <w:szCs w:val="32"/>
          <w:u w:val="single"/>
        </w:rPr>
        <w:t xml:space="preserve"> </w:t>
      </w:r>
      <w:r>
        <w:rPr>
          <w:rFonts w:hint="eastAsia" w:ascii="仿宋_GB2312" w:eastAsia="仿宋_GB2312"/>
          <w:sz w:val="32"/>
          <w:szCs w:val="32"/>
          <w:u w:val="single"/>
          <w:lang w:val="en-US" w:eastAsia="zh-CN"/>
        </w:rPr>
        <w:t>6</w:t>
      </w:r>
      <w:r>
        <w:rPr>
          <w:rFonts w:hint="eastAsia" w:ascii="仿宋_GB2312" w:eastAsia="仿宋_GB2312"/>
          <w:sz w:val="32"/>
          <w:szCs w:val="32"/>
          <w:u w:val="single"/>
        </w:rPr>
        <w:t xml:space="preserve"> </w:t>
      </w:r>
      <w:r>
        <w:rPr>
          <w:rFonts w:hint="eastAsia" w:ascii="仿宋_GB2312" w:eastAsia="仿宋_GB2312"/>
          <w:sz w:val="32"/>
          <w:szCs w:val="32"/>
        </w:rPr>
        <w:t>项</w:t>
      </w:r>
      <w:r>
        <w:rPr>
          <w:rFonts w:hint="eastAsia" w:ascii="仿宋_GB2312" w:eastAsia="仿宋_GB2312"/>
          <w:sz w:val="32"/>
          <w:szCs w:val="32"/>
          <w:lang w:eastAsia="zh-CN"/>
        </w:rPr>
        <w:t>、</w:t>
      </w:r>
      <w:r>
        <w:rPr>
          <w:rFonts w:hint="eastAsia" w:ascii="仿宋_GB2312" w:eastAsia="仿宋_GB2312"/>
          <w:sz w:val="32"/>
          <w:szCs w:val="32"/>
        </w:rPr>
        <w:t>第</w:t>
      </w:r>
      <w:r>
        <w:rPr>
          <w:rFonts w:hint="eastAsia" w:ascii="仿宋_GB2312" w:eastAsia="仿宋_GB2312"/>
          <w:sz w:val="32"/>
          <w:szCs w:val="32"/>
          <w:u w:val="single"/>
        </w:rPr>
        <w:t xml:space="preserve"> </w:t>
      </w:r>
      <w:r>
        <w:rPr>
          <w:rFonts w:hint="eastAsia" w:ascii="仿宋_GB2312" w:eastAsia="仿宋_GB2312"/>
          <w:sz w:val="32"/>
          <w:szCs w:val="32"/>
          <w:u w:val="single"/>
          <w:lang w:val="en-US" w:eastAsia="zh-CN"/>
        </w:rPr>
        <w:t>7</w:t>
      </w:r>
      <w:r>
        <w:rPr>
          <w:rFonts w:hint="eastAsia" w:ascii="仿宋_GB2312" w:eastAsia="仿宋_GB2312"/>
          <w:sz w:val="32"/>
          <w:szCs w:val="32"/>
          <w:u w:val="single"/>
        </w:rPr>
        <w:t xml:space="preserve"> </w:t>
      </w:r>
      <w:r>
        <w:rPr>
          <w:rFonts w:hint="eastAsia" w:ascii="仿宋_GB2312" w:eastAsia="仿宋_GB2312"/>
          <w:sz w:val="32"/>
          <w:szCs w:val="32"/>
        </w:rPr>
        <w:t>项</w:t>
      </w:r>
      <w:r>
        <w:rPr>
          <w:rFonts w:hint="eastAsia" w:ascii="仿宋_GB2312" w:eastAsia="仿宋_GB2312"/>
          <w:sz w:val="32"/>
          <w:szCs w:val="32"/>
          <w:lang w:eastAsia="zh-CN"/>
        </w:rPr>
        <w:t>、</w:t>
      </w:r>
      <w:r>
        <w:rPr>
          <w:rFonts w:hint="eastAsia" w:ascii="仿宋_GB2312" w:eastAsia="仿宋_GB2312"/>
          <w:sz w:val="32"/>
          <w:szCs w:val="32"/>
        </w:rPr>
        <w:t>第</w:t>
      </w:r>
      <w:r>
        <w:rPr>
          <w:rFonts w:hint="eastAsia" w:ascii="仿宋_GB2312" w:eastAsia="仿宋_GB2312"/>
          <w:sz w:val="32"/>
          <w:szCs w:val="32"/>
          <w:u w:val="single"/>
        </w:rPr>
        <w:t xml:space="preserve"> </w:t>
      </w:r>
      <w:r>
        <w:rPr>
          <w:rFonts w:hint="eastAsia" w:ascii="仿宋_GB2312" w:eastAsia="仿宋_GB2312"/>
          <w:sz w:val="32"/>
          <w:szCs w:val="32"/>
          <w:u w:val="single"/>
          <w:lang w:val="en-US" w:eastAsia="zh-CN"/>
        </w:rPr>
        <w:t>8</w:t>
      </w:r>
      <w:r>
        <w:rPr>
          <w:rFonts w:hint="eastAsia" w:ascii="仿宋_GB2312" w:eastAsia="仿宋_GB2312"/>
          <w:sz w:val="32"/>
          <w:szCs w:val="32"/>
          <w:u w:val="single"/>
        </w:rPr>
        <w:t xml:space="preserve"> </w:t>
      </w:r>
      <w:r>
        <w:rPr>
          <w:rFonts w:hint="eastAsia" w:ascii="仿宋_GB2312" w:eastAsia="仿宋_GB2312"/>
          <w:sz w:val="32"/>
          <w:szCs w:val="32"/>
        </w:rPr>
        <w:t>项。</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四、承诺的效力</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申请人作出符合许可条件的承诺，并提交签章的承诺书后，行政机关应当场作出行政许可决定。</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申请人承诺已具备经营许可条件的，领证后即可开展经营；申请人尚不具备经营许可条件，但承诺领证后一定期限内具备的，达到经营许可条件并按要求补齐材料后，方可开展经营。</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五、承诺的方式</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本行政许可事项采用书面承诺方式，申请人愿意作出承诺的，应当向行政机关提交本人或委托代理人签字后的承诺书原件。委托办理的，申请人应签署委托代理书。</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六、不实承诺的责任</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申请人在承诺书约定的期限内未提交材料或者提交材料不符合要求的，行政机关可视情撤销许可决定；发现申请人不符合承诺条件开展经营的，行政机关应当责令其限期整改。申请人逾期不整改或整改后仍达不到要求的，行政机关应当依法撤销许可决定。被撤销许可决定的，行政许可范围内的经营活动应当立即停止，申请人基于行政许可取得的利益不受法律保护。申请人相关失信行为信息将记入诚信档案，并不再适用告知承诺的审批方式。</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七、行政机关核查权力</w:t>
      </w:r>
    </w:p>
    <w:p>
      <w:pPr>
        <w:spacing w:line="600" w:lineRule="exact"/>
        <w:ind w:firstLine="640" w:firstLineChars="200"/>
        <w:rPr>
          <w:rFonts w:hint="default" w:ascii="仿宋_GB2312" w:eastAsia="仿宋_GB2312"/>
          <w:sz w:val="32"/>
          <w:szCs w:val="32"/>
          <w:lang w:val="en-US" w:eastAsia="zh-CN"/>
        </w:rPr>
      </w:pPr>
      <w:r>
        <w:rPr>
          <w:rFonts w:hint="default" w:ascii="仿宋_GB2312" w:eastAsia="仿宋_GB2312"/>
          <w:sz w:val="32"/>
          <w:szCs w:val="32"/>
          <w:lang w:val="en-US" w:eastAsia="zh-CN"/>
        </w:rPr>
        <w:t>1.开展“双随机、一公开”监管，动态更新被许可人、检查人员和专家名录库；对风险等级高、投诉举报多的企业实施重点监管。检查结束后及时将结果反馈被许可人并依法向社会公开，对存在问题的，要求及时整改并依法处理。</w:t>
      </w:r>
    </w:p>
    <w:p>
      <w:pPr>
        <w:spacing w:line="600" w:lineRule="exact"/>
        <w:ind w:firstLine="640" w:firstLineChars="200"/>
        <w:rPr>
          <w:rFonts w:hint="default" w:ascii="仿宋_GB2312" w:eastAsia="仿宋_GB2312"/>
          <w:sz w:val="32"/>
          <w:szCs w:val="32"/>
          <w:lang w:val="en-US" w:eastAsia="zh-CN"/>
        </w:rPr>
      </w:pPr>
      <w:r>
        <w:rPr>
          <w:rFonts w:hint="default" w:ascii="仿宋_GB2312" w:eastAsia="仿宋_GB2312"/>
          <w:sz w:val="32"/>
          <w:szCs w:val="32"/>
          <w:lang w:val="en-US" w:eastAsia="zh-CN"/>
        </w:rPr>
        <w:t>2.加强信用监管，建立企业信用记录并依法向社会公开。</w:t>
      </w:r>
    </w:p>
    <w:p>
      <w:pPr>
        <w:spacing w:line="600" w:lineRule="exact"/>
        <w:ind w:firstLine="640" w:firstLineChars="200"/>
        <w:rPr>
          <w:rFonts w:hint="default" w:ascii="仿宋_GB2312" w:eastAsia="仿宋_GB2312"/>
          <w:sz w:val="32"/>
          <w:szCs w:val="32"/>
          <w:lang w:val="en-US" w:eastAsia="zh-CN"/>
        </w:rPr>
      </w:pPr>
      <w:r>
        <w:rPr>
          <w:rFonts w:hint="default" w:ascii="仿宋_GB2312" w:eastAsia="仿宋_GB2312"/>
          <w:sz w:val="32"/>
          <w:szCs w:val="32"/>
          <w:lang w:val="en-US" w:eastAsia="zh-CN"/>
        </w:rPr>
        <w:t>3.申请人实际生产经营条件与承诺内容不符时，根据具体情况要求其限期整改或者依法撤销许可证。</w:t>
      </w:r>
    </w:p>
    <w:p>
      <w:pPr>
        <w:spacing w:line="600" w:lineRule="exact"/>
        <w:ind w:firstLine="640" w:firstLineChars="200"/>
        <w:rPr>
          <w:rFonts w:hint="default" w:ascii="仿宋_GB2312" w:eastAsia="仿宋_GB2312"/>
          <w:sz w:val="32"/>
          <w:szCs w:val="32"/>
          <w:lang w:val="en-US" w:eastAsia="zh-CN"/>
        </w:rPr>
      </w:pPr>
      <w:r>
        <w:rPr>
          <w:rFonts w:hint="default" w:ascii="仿宋_GB2312" w:eastAsia="仿宋_GB2312"/>
          <w:sz w:val="32"/>
          <w:szCs w:val="32"/>
          <w:lang w:val="en-US" w:eastAsia="zh-CN"/>
        </w:rPr>
        <w:t>4.加大对生产经营者的培训力度，提高其依法从业意识。</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075B8D"/>
    <w:multiLevelType w:val="multilevel"/>
    <w:tmpl w:val="4C075B8D"/>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xZTg2MzliNTViYmMyZDZlYTA4ODdiZGM4OGRhMWYifQ=="/>
  </w:docVars>
  <w:rsids>
    <w:rsidRoot w:val="45CD09C6"/>
    <w:rsid w:val="0B2F50E5"/>
    <w:rsid w:val="0B713313"/>
    <w:rsid w:val="45CD09C6"/>
    <w:rsid w:val="4A37317D"/>
    <w:rsid w:val="76EC17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1288</Words>
  <Characters>1292</Characters>
  <Lines>0</Lines>
  <Paragraphs>0</Paragraphs>
  <TotalTime>2</TotalTime>
  <ScaleCrop>false</ScaleCrop>
  <LinksUpToDate>false</LinksUpToDate>
  <CharactersWithSpaces>1309</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2021-06-30T03:28:00Z</dcterms:created>
  <dc:creator>D1</dc:creator>
  <cp:lastModifiedBy>独</cp:lastModifiedBy>
  <dcterms:modified xsi:type="dcterms:W3CDTF">2022-08-30T02:43:47Z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A571DA202C38492393EFB9F490C3518D</vt:lpwstr>
  </property>
</Properties>
</file>