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hd w:val="clear" w:color="auto" w:fill="FFFFFF"/>
        <w:spacing w:before="0" w:beforeAutospacing="0" w:after="0" w:afterAutospacing="0" w:line="600" w:lineRule="exact"/>
        <w:rPr>
          <w:rFonts w:hint="eastAsia" w:ascii="Times New Roman" w:hAnsi="Times New Roman" w:eastAsia="黑体" w:cs="Times New Roman"/>
          <w:sz w:val="32"/>
          <w:szCs w:val="32"/>
        </w:rPr>
      </w:pPr>
      <w:r>
        <w:rPr>
          <w:rFonts w:ascii="Times New Roman" w:hAnsi="黑体" w:eastAsia="黑体" w:cs="Times New Roman"/>
          <w:sz w:val="32"/>
          <w:szCs w:val="32"/>
        </w:rPr>
        <w:t>附件</w:t>
      </w:r>
      <w:r>
        <w:rPr>
          <w:rFonts w:ascii="Times New Roman" w:hAnsi="Times New Roman" w:eastAsia="黑体" w:cs="Times New Roman"/>
          <w:sz w:val="32"/>
          <w:szCs w:val="32"/>
        </w:rPr>
        <w:t>1</w:t>
      </w:r>
    </w:p>
    <w:p>
      <w:pPr>
        <w:rPr>
          <w:rFonts w:hint="eastAsia" w:ascii="仿宋_GB2312" w:eastAsia="仿宋_GB2312"/>
          <w:sz w:val="32"/>
          <w:szCs w:val="32"/>
        </w:rPr>
      </w:pPr>
    </w:p>
    <w:p>
      <w:pPr>
        <w:jc w:val="center"/>
        <w:rPr>
          <w:rFonts w:hint="eastAsia" w:ascii="方正小标宋简体" w:hAnsi="宋体" w:eastAsia="方正小标宋简体"/>
          <w:sz w:val="44"/>
          <w:szCs w:val="44"/>
        </w:rPr>
      </w:pPr>
      <w:r>
        <w:rPr>
          <w:rFonts w:hint="eastAsia" w:ascii="方正小标宋简体" w:hAnsi="宋体" w:eastAsia="方正小标宋简体"/>
          <w:sz w:val="44"/>
          <w:szCs w:val="44"/>
        </w:rPr>
        <w:t>湖南省涉企经营许可事项告知书</w:t>
      </w:r>
    </w:p>
    <w:p>
      <w:pPr>
        <w:jc w:val="center"/>
        <w:rPr>
          <w:rFonts w:hint="eastAsia" w:ascii="宋体" w:hAnsi="宋体"/>
          <w:sz w:val="44"/>
          <w:szCs w:val="44"/>
        </w:rPr>
      </w:pPr>
    </w:p>
    <w:p>
      <w:pPr>
        <w:widowControl/>
        <w:numPr>
          <w:ilvl w:val="0"/>
          <w:numId w:val="1"/>
        </w:numPr>
        <w:spacing w:line="600" w:lineRule="exact"/>
        <w:ind w:left="1350" w:hanging="720"/>
        <w:jc w:val="left"/>
        <w:rPr>
          <w:rFonts w:ascii="黑体" w:hAnsi="黑体" w:eastAsia="黑体" w:cs="宋体"/>
          <w:color w:val="000000"/>
          <w:kern w:val="0"/>
          <w:sz w:val="32"/>
          <w:szCs w:val="32"/>
        </w:rPr>
      </w:pPr>
      <w:r>
        <w:rPr>
          <w:rFonts w:hint="eastAsia" w:ascii="黑体" w:hAnsi="黑体" w:eastAsia="黑体" w:cs="宋体"/>
          <w:color w:val="000000"/>
          <w:kern w:val="0"/>
          <w:sz w:val="32"/>
          <w:szCs w:val="32"/>
        </w:rPr>
        <w:t>许可事项名称及编码</w:t>
      </w:r>
    </w:p>
    <w:p>
      <w:pPr>
        <w:spacing w:line="600" w:lineRule="exact"/>
        <w:ind w:firstLine="640" w:firstLineChars="200"/>
        <w:rPr>
          <w:rFonts w:hint="eastAsia" w:ascii="仿宋" w:hAnsi="仿宋" w:eastAsia="仿宋" w:cs="仿宋"/>
          <w:b w:val="0"/>
          <w:bCs w:val="0"/>
          <w:sz w:val="32"/>
          <w:szCs w:val="32"/>
          <w:u w:val="none"/>
          <w:lang w:eastAsia="zh-CN"/>
        </w:rPr>
      </w:pPr>
      <w:r>
        <w:rPr>
          <w:rFonts w:hint="eastAsia" w:ascii="仿宋" w:hAnsi="仿宋" w:eastAsia="仿宋" w:cs="仿宋"/>
          <w:b w:val="0"/>
          <w:bCs w:val="0"/>
          <w:sz w:val="32"/>
          <w:szCs w:val="32"/>
          <w:u w:val="none"/>
          <w:lang w:eastAsia="zh-CN"/>
        </w:rPr>
        <w:t>中介机构从事代理记账业务审批</w:t>
      </w:r>
    </w:p>
    <w:p>
      <w:pPr>
        <w:spacing w:line="600" w:lineRule="exact"/>
        <w:ind w:firstLine="640" w:firstLineChars="200"/>
        <w:rPr>
          <w:rFonts w:hint="eastAsia" w:ascii="仿宋" w:hAnsi="仿宋" w:eastAsia="仿宋" w:cs="仿宋"/>
          <w:b w:val="0"/>
          <w:bCs w:val="0"/>
          <w:sz w:val="32"/>
          <w:szCs w:val="32"/>
          <w:u w:val="none"/>
          <w:lang w:eastAsia="zh-CN"/>
        </w:rPr>
      </w:pPr>
      <w:r>
        <w:rPr>
          <w:rFonts w:hint="eastAsia" w:ascii="仿宋" w:hAnsi="仿宋" w:eastAsia="仿宋" w:cs="仿宋"/>
          <w:b w:val="0"/>
          <w:bCs w:val="0"/>
          <w:sz w:val="32"/>
          <w:szCs w:val="32"/>
          <w:u w:val="none"/>
          <w:lang w:eastAsia="zh-CN"/>
        </w:rPr>
        <w:t>编码： 000113003000</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二、许可事项告知部门</w:t>
      </w:r>
    </w:p>
    <w:p>
      <w:pPr>
        <w:spacing w:line="600" w:lineRule="exact"/>
        <w:ind w:firstLine="640" w:firstLineChars="200"/>
        <w:rPr>
          <w:rFonts w:hint="eastAsia" w:ascii="楷体_GB2312" w:hAnsi="宋体" w:eastAsia="楷体_GB2312" w:cs="宋体"/>
          <w:kern w:val="0"/>
          <w:sz w:val="32"/>
          <w:szCs w:val="32"/>
        </w:rPr>
      </w:pPr>
      <w:r>
        <w:rPr>
          <w:rFonts w:hint="eastAsia" w:ascii="仿宋" w:hAnsi="仿宋" w:eastAsia="仿宋" w:cs="仿宋"/>
          <w:b w:val="0"/>
          <w:bCs w:val="0"/>
          <w:sz w:val="32"/>
          <w:szCs w:val="32"/>
          <w:u w:val="none"/>
          <w:lang w:val="en-US" w:eastAsia="zh-CN"/>
        </w:rPr>
        <w:t>芷江侗族自治县财政局</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三、准予许可的条件</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（一）本行政许可事项获得批准应当具备下列条件：</w:t>
      </w:r>
    </w:p>
    <w:p>
      <w:pPr>
        <w:spacing w:line="560" w:lineRule="exact"/>
        <w:ind w:firstLine="640"/>
        <w:rPr>
          <w:rFonts w:hint="eastAsia"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val="en-US" w:eastAsia="zh-CN"/>
        </w:rPr>
        <w:t>1</w:t>
      </w:r>
      <w:r>
        <w:rPr>
          <w:rFonts w:hint="eastAsia" w:ascii="仿宋" w:hAnsi="仿宋" w:eastAsia="仿宋"/>
          <w:sz w:val="32"/>
          <w:szCs w:val="32"/>
        </w:rPr>
        <w:t>）为依法设立的企业；</w:t>
      </w:r>
    </w:p>
    <w:p>
      <w:pPr>
        <w:spacing w:line="560" w:lineRule="exact"/>
        <w:ind w:firstLine="640"/>
        <w:rPr>
          <w:rFonts w:hint="eastAsia"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val="en-US" w:eastAsia="zh-CN"/>
        </w:rPr>
        <w:t>2</w:t>
      </w:r>
      <w:r>
        <w:rPr>
          <w:rFonts w:hint="eastAsia" w:ascii="仿宋" w:hAnsi="仿宋" w:eastAsia="仿宋"/>
          <w:sz w:val="32"/>
          <w:szCs w:val="32"/>
        </w:rPr>
        <w:t>）专职从业人员不</w:t>
      </w:r>
      <w:bookmarkStart w:id="0" w:name="_GoBack"/>
      <w:bookmarkEnd w:id="0"/>
      <w:r>
        <w:rPr>
          <w:rFonts w:hint="eastAsia" w:ascii="仿宋" w:hAnsi="仿宋" w:eastAsia="仿宋"/>
          <w:sz w:val="32"/>
          <w:szCs w:val="32"/>
        </w:rPr>
        <w:t>少于3名；</w:t>
      </w:r>
    </w:p>
    <w:p>
      <w:pPr>
        <w:spacing w:line="560" w:lineRule="exact"/>
        <w:ind w:firstLine="640"/>
        <w:rPr>
          <w:rFonts w:hint="eastAsia"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val="en-US" w:eastAsia="zh-CN"/>
        </w:rPr>
        <w:t>3</w:t>
      </w:r>
      <w:r>
        <w:rPr>
          <w:rFonts w:hint="eastAsia" w:ascii="仿宋" w:hAnsi="仿宋" w:eastAsia="仿宋"/>
          <w:sz w:val="32"/>
          <w:szCs w:val="32"/>
        </w:rPr>
        <w:t>）主管代理记账业务的负责人具有会计师以上专业技术职务资格或者从事会计工作不少于三年，且为专职从业人员；</w:t>
      </w:r>
    </w:p>
    <w:p>
      <w:pPr>
        <w:spacing w:line="560" w:lineRule="exact"/>
        <w:ind w:firstLine="640"/>
        <w:rPr>
          <w:rFonts w:hint="eastAsia"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val="en-US" w:eastAsia="zh-CN"/>
        </w:rPr>
        <w:t>4</w:t>
      </w:r>
      <w:r>
        <w:rPr>
          <w:rFonts w:hint="eastAsia" w:ascii="仿宋" w:hAnsi="仿宋" w:eastAsia="仿宋"/>
          <w:sz w:val="32"/>
          <w:szCs w:val="32"/>
        </w:rPr>
        <w:t>）有健全的代理记账业务内部规范。代理记账机构从业人员应当具有会计类专业基础知识和业务技能，能够独立处理基本会计业务，并由代理记账机构自主评价认定。</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（二）应当提交的材料及期限</w:t>
      </w:r>
      <w:r>
        <w:rPr>
          <w:rFonts w:hint="eastAsia" w:ascii="Times New Roman" w:hAnsi="Times New Roman" w:eastAsia="仿宋_GB2312"/>
          <w:sz w:val="32"/>
          <w:szCs w:val="32"/>
        </w:rPr>
        <w:t>：</w:t>
      </w:r>
    </w:p>
    <w:p>
      <w:pPr>
        <w:spacing w:line="560" w:lineRule="exact"/>
        <w:ind w:firstLine="640"/>
        <w:rPr>
          <w:rFonts w:hint="eastAsia" w:ascii="仿宋" w:hAnsi="仿宋" w:eastAsia="仿宋"/>
          <w:sz w:val="32"/>
          <w:szCs w:val="32"/>
          <w:lang w:eastAsia="zh-CN"/>
        </w:rPr>
      </w:pPr>
      <w:r>
        <w:rPr>
          <w:rFonts w:hint="eastAsia" w:ascii="仿宋" w:hAnsi="仿宋" w:eastAsia="仿宋"/>
          <w:sz w:val="32"/>
          <w:szCs w:val="32"/>
          <w:lang w:eastAsia="zh-CN"/>
        </w:rPr>
        <w:t>（</w:t>
      </w:r>
      <w:r>
        <w:rPr>
          <w:rFonts w:hint="eastAsia" w:ascii="仿宋" w:hAnsi="仿宋" w:eastAsia="仿宋"/>
          <w:sz w:val="32"/>
          <w:szCs w:val="32"/>
          <w:lang w:val="en-US" w:eastAsia="zh-CN"/>
        </w:rPr>
        <w:t>1</w:t>
      </w:r>
      <w:r>
        <w:rPr>
          <w:rFonts w:hint="eastAsia" w:ascii="仿宋" w:hAnsi="仿宋" w:eastAsia="仿宋"/>
          <w:sz w:val="32"/>
          <w:szCs w:val="32"/>
          <w:lang w:eastAsia="zh-CN"/>
        </w:rPr>
        <w:t>）申请代理记账资格的报告；</w:t>
      </w:r>
    </w:p>
    <w:p>
      <w:pPr>
        <w:spacing w:line="560" w:lineRule="exact"/>
        <w:ind w:firstLine="640"/>
        <w:rPr>
          <w:rFonts w:hint="eastAsia"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val="en-US" w:eastAsia="zh-CN"/>
        </w:rPr>
        <w:t>2</w:t>
      </w:r>
      <w:r>
        <w:rPr>
          <w:rFonts w:hint="eastAsia" w:ascii="仿宋" w:hAnsi="仿宋" w:eastAsia="仿宋"/>
          <w:sz w:val="32"/>
          <w:szCs w:val="32"/>
        </w:rPr>
        <w:t>）统一社会信用代码；</w:t>
      </w:r>
    </w:p>
    <w:p>
      <w:pPr>
        <w:spacing w:line="560" w:lineRule="exact"/>
        <w:ind w:firstLine="640"/>
        <w:rPr>
          <w:rFonts w:hint="eastAsia"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val="en-US" w:eastAsia="zh-CN"/>
        </w:rPr>
        <w:t>3</w:t>
      </w:r>
      <w:r>
        <w:rPr>
          <w:rFonts w:hint="eastAsia" w:ascii="仿宋" w:hAnsi="仿宋" w:eastAsia="仿宋"/>
          <w:sz w:val="32"/>
          <w:szCs w:val="32"/>
        </w:rPr>
        <w:t>）主管代理记账业务的负责人具备会计师以上专业技术职务资格或者从事会计工作不少于三年的书面承诺；</w:t>
      </w:r>
    </w:p>
    <w:p>
      <w:pPr>
        <w:spacing w:line="560" w:lineRule="exact"/>
        <w:ind w:firstLine="640"/>
        <w:rPr>
          <w:rFonts w:hint="eastAsia"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val="en-US" w:eastAsia="zh-CN"/>
        </w:rPr>
        <w:t>4</w:t>
      </w:r>
      <w:r>
        <w:rPr>
          <w:rFonts w:hint="eastAsia" w:ascii="仿宋" w:hAnsi="仿宋" w:eastAsia="仿宋"/>
          <w:sz w:val="32"/>
          <w:szCs w:val="32"/>
        </w:rPr>
        <w:t>）专职从业人员在本机构专职从业的书面承诺；</w:t>
      </w:r>
    </w:p>
    <w:p>
      <w:pPr>
        <w:spacing w:line="560" w:lineRule="exact"/>
        <w:ind w:firstLine="640"/>
        <w:rPr>
          <w:rFonts w:hint="eastAsia" w:ascii="仿宋" w:hAnsi="仿宋" w:eastAsia="仿宋"/>
          <w:sz w:val="32"/>
          <w:szCs w:val="32"/>
          <w:lang w:eastAsia="zh-CN"/>
        </w:rPr>
      </w:pPr>
      <w:r>
        <w:rPr>
          <w:rFonts w:hint="eastAsia" w:ascii="仿宋" w:hAnsi="仿宋" w:eastAsia="仿宋"/>
          <w:sz w:val="32"/>
          <w:szCs w:val="32"/>
        </w:rPr>
        <w:t>（</w:t>
      </w:r>
      <w:r>
        <w:rPr>
          <w:rFonts w:hint="eastAsia" w:ascii="仿宋" w:hAnsi="仿宋" w:eastAsia="仿宋"/>
          <w:sz w:val="32"/>
          <w:szCs w:val="32"/>
          <w:lang w:val="en-US" w:eastAsia="zh-CN"/>
        </w:rPr>
        <w:t>5</w:t>
      </w:r>
      <w:r>
        <w:rPr>
          <w:rFonts w:hint="eastAsia" w:ascii="仿宋" w:hAnsi="仿宋" w:eastAsia="仿宋"/>
          <w:sz w:val="32"/>
          <w:szCs w:val="32"/>
        </w:rPr>
        <w:t>）代理记账业务内部规范</w:t>
      </w:r>
      <w:r>
        <w:rPr>
          <w:rFonts w:hint="eastAsia" w:ascii="仿宋" w:hAnsi="仿宋" w:eastAsia="仿宋"/>
          <w:sz w:val="32"/>
          <w:szCs w:val="32"/>
          <w:lang w:eastAsia="zh-CN"/>
        </w:rPr>
        <w:t>；</w:t>
      </w:r>
    </w:p>
    <w:p>
      <w:pPr>
        <w:spacing w:line="560" w:lineRule="exact"/>
        <w:ind w:firstLine="640"/>
        <w:rPr>
          <w:rFonts w:hint="eastAsia" w:ascii="仿宋" w:hAnsi="仿宋" w:eastAsia="仿宋"/>
          <w:sz w:val="32"/>
          <w:szCs w:val="32"/>
          <w:lang w:eastAsia="zh-CN"/>
        </w:rPr>
      </w:pPr>
      <w:r>
        <w:rPr>
          <w:rFonts w:hint="eastAsia" w:ascii="仿宋" w:hAnsi="仿宋" w:eastAsia="仿宋"/>
          <w:sz w:val="32"/>
          <w:szCs w:val="32"/>
          <w:lang w:eastAsia="zh-CN"/>
        </w:rPr>
        <w:t>（</w:t>
      </w:r>
      <w:r>
        <w:rPr>
          <w:rFonts w:hint="eastAsia" w:ascii="仿宋" w:hAnsi="仿宋" w:eastAsia="仿宋"/>
          <w:sz w:val="32"/>
          <w:szCs w:val="32"/>
          <w:lang w:val="en-US" w:eastAsia="zh-CN"/>
        </w:rPr>
        <w:t>6</w:t>
      </w:r>
      <w:r>
        <w:rPr>
          <w:rFonts w:hint="eastAsia" w:ascii="仿宋" w:hAnsi="仿宋" w:eastAsia="仿宋"/>
          <w:sz w:val="32"/>
          <w:szCs w:val="32"/>
          <w:lang w:eastAsia="zh-CN"/>
        </w:rPr>
        <w:t>）湖南省中介机构从事代理记账资格许可告知承诺书。</w:t>
      </w:r>
    </w:p>
    <w:p>
      <w:pPr>
        <w:spacing w:line="600" w:lineRule="exact"/>
        <w:ind w:firstLine="640" w:firstLineChars="200"/>
        <w:rPr>
          <w:rFonts w:hint="eastAsia" w:ascii="楷体_GB2312" w:hAnsi="宋体" w:eastAsia="楷体_GB2312" w:cs="宋体"/>
          <w:kern w:val="0"/>
          <w:sz w:val="32"/>
          <w:szCs w:val="32"/>
        </w:rPr>
      </w:pPr>
      <w:r>
        <w:rPr>
          <w:rFonts w:hint="eastAsia" w:ascii="楷体_GB2312" w:hAnsi="宋体" w:eastAsia="楷体_GB2312" w:cs="宋体"/>
          <w:kern w:val="0"/>
          <w:sz w:val="32"/>
          <w:szCs w:val="32"/>
        </w:rPr>
        <w:t>（注：由许可审批部门逐条明确）</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上述材料，申请人应当：</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□在</w:t>
      </w:r>
      <w:r>
        <w:rPr>
          <w:rFonts w:ascii="仿宋_GB2312" w:eastAsia="仿宋_GB2312"/>
          <w:sz w:val="32"/>
          <w:szCs w:val="32"/>
          <w:u w:val="single"/>
        </w:rPr>
        <w:t xml:space="preserve">  </w:t>
      </w:r>
      <w:r>
        <w:rPr>
          <w:rFonts w:hint="eastAsia" w:ascii="仿宋_GB2312" w:eastAsia="仿宋_GB2312"/>
          <w:sz w:val="32"/>
          <w:szCs w:val="32"/>
          <w:u w:val="single"/>
          <w:lang w:val="en-US" w:eastAsia="zh-CN"/>
        </w:rPr>
        <w:t>5</w:t>
      </w:r>
      <w:r>
        <w:rPr>
          <w:rFonts w:ascii="仿宋_GB2312" w:eastAsia="仿宋_GB2312"/>
          <w:sz w:val="32"/>
          <w:szCs w:val="32"/>
          <w:u w:val="single"/>
        </w:rPr>
        <w:t xml:space="preserve">  </w:t>
      </w:r>
      <w:r>
        <w:rPr>
          <w:rFonts w:hint="eastAsia" w:ascii="仿宋_GB2312" w:eastAsia="仿宋_GB2312"/>
          <w:sz w:val="32"/>
          <w:szCs w:val="32"/>
        </w:rPr>
        <w:t>个工作日内提交“应当提交的材料”中的第</w:t>
      </w:r>
      <w:r>
        <w:rPr>
          <w:rFonts w:hint="eastAsia" w:ascii="仿宋_GB2312" w:eastAsia="仿宋_GB2312"/>
          <w:sz w:val="32"/>
          <w:szCs w:val="32"/>
          <w:u w:val="single"/>
        </w:rPr>
        <w:t xml:space="preserve">  </w:t>
      </w:r>
      <w:r>
        <w:rPr>
          <w:rFonts w:hint="eastAsia" w:ascii="仿宋_GB2312" w:eastAsia="仿宋_GB2312"/>
          <w:sz w:val="32"/>
          <w:szCs w:val="32"/>
          <w:u w:val="single"/>
          <w:lang w:eastAsia="zh-CN"/>
        </w:rPr>
        <w:t>（</w:t>
      </w:r>
      <w:r>
        <w:rPr>
          <w:rFonts w:hint="eastAsia" w:ascii="仿宋_GB2312" w:eastAsia="仿宋_GB2312"/>
          <w:sz w:val="32"/>
          <w:szCs w:val="32"/>
          <w:u w:val="single"/>
          <w:lang w:val="en-US" w:eastAsia="zh-CN"/>
        </w:rPr>
        <w:t>1</w:t>
      </w:r>
      <w:r>
        <w:rPr>
          <w:rFonts w:hint="eastAsia" w:ascii="仿宋_GB2312" w:eastAsia="仿宋_GB2312"/>
          <w:sz w:val="32"/>
          <w:szCs w:val="32"/>
          <w:u w:val="single"/>
          <w:lang w:eastAsia="zh-CN"/>
        </w:rPr>
        <w:t>）</w:t>
      </w:r>
      <w:r>
        <w:rPr>
          <w:rFonts w:hint="eastAsia" w:ascii="仿宋_GB2312" w:eastAsia="仿宋_GB2312"/>
          <w:sz w:val="32"/>
          <w:szCs w:val="32"/>
        </w:rPr>
        <w:t>项</w:t>
      </w:r>
      <w:r>
        <w:rPr>
          <w:rFonts w:hint="eastAsia" w:ascii="仿宋_GB2312" w:eastAsia="仿宋_GB2312"/>
          <w:sz w:val="32"/>
          <w:szCs w:val="32"/>
          <w:lang w:val="en-US" w:eastAsia="zh-CN"/>
        </w:rPr>
        <w:t>至</w:t>
      </w:r>
      <w:r>
        <w:rPr>
          <w:rFonts w:hint="eastAsia" w:ascii="仿宋_GB2312" w:eastAsia="仿宋_GB2312"/>
          <w:sz w:val="32"/>
          <w:szCs w:val="32"/>
        </w:rPr>
        <w:t>第</w:t>
      </w:r>
      <w:r>
        <w:rPr>
          <w:rFonts w:hint="eastAsia" w:ascii="仿宋_GB2312" w:eastAsia="仿宋_GB2312"/>
          <w:sz w:val="32"/>
          <w:szCs w:val="32"/>
          <w:u w:val="single"/>
        </w:rPr>
        <w:t xml:space="preserve"> </w:t>
      </w:r>
      <w:r>
        <w:rPr>
          <w:rFonts w:hint="eastAsia" w:ascii="仿宋_GB2312" w:eastAsia="仿宋_GB2312"/>
          <w:sz w:val="32"/>
          <w:szCs w:val="32"/>
          <w:u w:val="single"/>
          <w:lang w:eastAsia="zh-CN"/>
        </w:rPr>
        <w:t>（</w:t>
      </w:r>
      <w:r>
        <w:rPr>
          <w:rFonts w:hint="eastAsia" w:ascii="仿宋_GB2312" w:eastAsia="仿宋_GB2312"/>
          <w:sz w:val="32"/>
          <w:szCs w:val="32"/>
          <w:u w:val="single"/>
          <w:lang w:val="en-US" w:eastAsia="zh-CN"/>
        </w:rPr>
        <w:t>6</w:t>
      </w:r>
      <w:r>
        <w:rPr>
          <w:rFonts w:hint="eastAsia" w:ascii="仿宋_GB2312" w:eastAsia="仿宋_GB2312"/>
          <w:sz w:val="32"/>
          <w:szCs w:val="32"/>
          <w:u w:val="single"/>
          <w:lang w:eastAsia="zh-CN"/>
        </w:rPr>
        <w:t>）</w:t>
      </w:r>
      <w:r>
        <w:rPr>
          <w:rFonts w:hint="eastAsia" w:ascii="仿宋_GB2312" w:eastAsia="仿宋_GB2312"/>
          <w:sz w:val="32"/>
          <w:szCs w:val="32"/>
          <w:u w:val="single"/>
        </w:rPr>
        <w:t xml:space="preserve"> </w:t>
      </w:r>
      <w:r>
        <w:rPr>
          <w:rFonts w:hint="eastAsia" w:ascii="仿宋_GB2312" w:eastAsia="仿宋_GB2312"/>
          <w:sz w:val="32"/>
          <w:szCs w:val="32"/>
        </w:rPr>
        <w:t>项。</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□在行政机关对申请人自愿承诺的内容是否属实进行检查时提交：上述“应当提交的材料”中的第</w:t>
      </w:r>
      <w:r>
        <w:rPr>
          <w:rFonts w:hint="eastAsia" w:ascii="仿宋_GB2312" w:eastAsia="仿宋_GB2312"/>
          <w:sz w:val="32"/>
          <w:szCs w:val="32"/>
          <w:u w:val="single"/>
        </w:rPr>
        <w:t xml:space="preserve"> </w:t>
      </w:r>
      <w:r>
        <w:rPr>
          <w:rFonts w:hint="eastAsia" w:ascii="仿宋_GB2312" w:eastAsia="仿宋_GB2312"/>
          <w:sz w:val="32"/>
          <w:szCs w:val="32"/>
          <w:u w:val="single"/>
          <w:lang w:eastAsia="zh-CN"/>
        </w:rPr>
        <w:t>（</w:t>
      </w:r>
      <w:r>
        <w:rPr>
          <w:rFonts w:hint="eastAsia" w:ascii="仿宋_GB2312" w:eastAsia="仿宋_GB2312"/>
          <w:sz w:val="32"/>
          <w:szCs w:val="32"/>
          <w:u w:val="single"/>
          <w:lang w:val="en-US" w:eastAsia="zh-CN"/>
        </w:rPr>
        <w:t>3</w:t>
      </w:r>
      <w:r>
        <w:rPr>
          <w:rFonts w:hint="eastAsia" w:ascii="仿宋_GB2312" w:eastAsia="仿宋_GB2312"/>
          <w:sz w:val="32"/>
          <w:szCs w:val="32"/>
          <w:u w:val="single"/>
          <w:lang w:eastAsia="zh-CN"/>
        </w:rPr>
        <w:t>）</w:t>
      </w:r>
      <w:r>
        <w:rPr>
          <w:rFonts w:hint="eastAsia" w:ascii="仿宋_GB2312" w:eastAsia="仿宋_GB2312"/>
          <w:sz w:val="32"/>
          <w:szCs w:val="32"/>
          <w:u w:val="single"/>
        </w:rPr>
        <w:t xml:space="preserve"> </w:t>
      </w:r>
      <w:r>
        <w:rPr>
          <w:rFonts w:hint="eastAsia" w:ascii="仿宋_GB2312" w:eastAsia="仿宋_GB2312"/>
          <w:sz w:val="32"/>
          <w:szCs w:val="32"/>
        </w:rPr>
        <w:t>项、第</w:t>
      </w:r>
      <w:r>
        <w:rPr>
          <w:rFonts w:hint="eastAsia" w:ascii="仿宋_GB2312" w:eastAsia="仿宋_GB2312"/>
          <w:sz w:val="32"/>
          <w:szCs w:val="32"/>
          <w:u w:val="single"/>
          <w:lang w:val="en-US" w:eastAsia="zh-CN"/>
        </w:rPr>
        <w:t xml:space="preserve"> </w:t>
      </w:r>
      <w:r>
        <w:rPr>
          <w:rFonts w:hint="eastAsia" w:ascii="仿宋_GB2312" w:eastAsia="仿宋_GB2312"/>
          <w:sz w:val="32"/>
          <w:szCs w:val="32"/>
          <w:u w:val="single"/>
          <w:lang w:eastAsia="zh-CN"/>
        </w:rPr>
        <w:t>（</w:t>
      </w:r>
      <w:r>
        <w:rPr>
          <w:rFonts w:hint="eastAsia" w:ascii="仿宋_GB2312" w:eastAsia="仿宋_GB2312"/>
          <w:sz w:val="32"/>
          <w:szCs w:val="32"/>
          <w:u w:val="single"/>
          <w:lang w:val="en-US" w:eastAsia="zh-CN"/>
        </w:rPr>
        <w:t>4</w:t>
      </w:r>
      <w:r>
        <w:rPr>
          <w:rFonts w:hint="eastAsia" w:ascii="仿宋_GB2312" w:eastAsia="仿宋_GB2312"/>
          <w:sz w:val="32"/>
          <w:szCs w:val="32"/>
          <w:u w:val="single"/>
          <w:lang w:eastAsia="zh-CN"/>
        </w:rPr>
        <w:t>）</w:t>
      </w:r>
      <w:r>
        <w:rPr>
          <w:rFonts w:hint="eastAsia" w:ascii="仿宋_GB2312" w:eastAsia="仿宋_GB2312"/>
          <w:sz w:val="32"/>
          <w:szCs w:val="32"/>
          <w:u w:val="single"/>
          <w:lang w:val="en-US" w:eastAsia="zh-CN"/>
        </w:rPr>
        <w:t xml:space="preserve"> </w:t>
      </w:r>
      <w:r>
        <w:rPr>
          <w:rFonts w:hint="eastAsia" w:ascii="仿宋_GB2312" w:eastAsia="仿宋_GB2312"/>
          <w:sz w:val="32"/>
          <w:szCs w:val="32"/>
        </w:rPr>
        <w:t>项。</w:t>
      </w:r>
    </w:p>
    <w:p>
      <w:pPr>
        <w:spacing w:line="600" w:lineRule="exact"/>
        <w:ind w:firstLine="640" w:firstLineChars="200"/>
        <w:rPr>
          <w:rFonts w:hint="eastAsia" w:ascii="楷体_GB2312" w:hAnsi="宋体" w:eastAsia="楷体_GB2312" w:cs="宋体"/>
          <w:kern w:val="0"/>
          <w:sz w:val="32"/>
          <w:szCs w:val="32"/>
        </w:rPr>
      </w:pPr>
      <w:r>
        <w:rPr>
          <w:rFonts w:hint="eastAsia" w:ascii="楷体_GB2312" w:hAnsi="宋体" w:eastAsia="楷体_GB2312" w:cs="宋体"/>
          <w:kern w:val="0"/>
          <w:sz w:val="32"/>
          <w:szCs w:val="32"/>
        </w:rPr>
        <w:t>（注：以上由受理人员填写）</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四、承诺的效力</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申请人作出符合许可条件的承诺，并提交签章的承诺书后，行政机关应当场作出行政许可决定。</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申请人承诺已具备经营许可条件的，领证后即可开展经营；申请人尚不具备经营许可条件，但承诺领证后一定期限内具备的，达到经营许可条件并按要求补齐材料后，方可开展经营。</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五、承诺的方式</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本行政许可事项采用书面承诺方式，申请人愿意作出承诺的，应当向行政机关提交本人或委托代理人签字后的承诺书原件。委托办理的，申请人应签署委托代理书。</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六、不实承诺的责任</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申请人在承诺书约定的期限内未提交材料或者提交材料不符合要求的，行政机关可视情撤销许可决定；发现申请人不符合承诺条件开展经营的，行政机关应当责令其限期整改。申请人逾期不整改或整改后仍达不到要求的，行政机关应当依法撤销许可决定。被撤销许可决定的，行政许可范围内的经营活动应当立即停止，申请人基于行政许可取得的利益不受法律保护。申请人相关失信行为信息将记入诚信档案，并不再适用告知承诺的审批方式。</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七、行政机关核查权力</w:t>
      </w:r>
    </w:p>
    <w:p>
      <w:pPr>
        <w:spacing w:line="560" w:lineRule="exact"/>
        <w:ind w:firstLine="640"/>
        <w:rPr>
          <w:rFonts w:hint="eastAsia" w:ascii="仿宋" w:eastAsia="仿宋"/>
          <w:sz w:val="32"/>
          <w:szCs w:val="32"/>
          <w:lang w:val="en-US" w:eastAsia="zh-CN"/>
        </w:rPr>
      </w:pPr>
      <w:r>
        <w:rPr>
          <w:rFonts w:hint="eastAsia" w:ascii="仿宋" w:eastAsia="仿宋"/>
          <w:sz w:val="32"/>
          <w:szCs w:val="32"/>
          <w:lang w:eastAsia="zh-CN"/>
        </w:rPr>
        <w:t>《</w:t>
      </w:r>
      <w:r>
        <w:rPr>
          <w:rFonts w:hint="eastAsia" w:ascii="仿宋" w:eastAsia="仿宋"/>
          <w:sz w:val="32"/>
          <w:szCs w:val="32"/>
        </w:rPr>
        <w:t>财政部令第80号、98号-代理记账管理办法</w:t>
      </w:r>
      <w:r>
        <w:rPr>
          <w:rFonts w:hint="eastAsia" w:ascii="仿宋" w:eastAsia="仿宋"/>
          <w:sz w:val="32"/>
          <w:szCs w:val="32"/>
          <w:lang w:eastAsia="zh-CN"/>
        </w:rPr>
        <w:t>》</w:t>
      </w:r>
      <w:r>
        <w:rPr>
          <w:rFonts w:hint="eastAsia" w:ascii="仿宋" w:eastAsia="仿宋"/>
          <w:sz w:val="32"/>
          <w:szCs w:val="32"/>
          <w:lang w:val="en-US" w:eastAsia="zh-CN"/>
        </w:rPr>
        <w:t>相关规定：</w:t>
      </w:r>
    </w:p>
    <w:p>
      <w:pPr>
        <w:spacing w:line="560" w:lineRule="exact"/>
        <w:ind w:firstLine="640"/>
        <w:rPr>
          <w:rFonts w:ascii="仿宋" w:hAnsi="仿宋" w:eastAsia="仿宋"/>
          <w:sz w:val="32"/>
          <w:szCs w:val="32"/>
        </w:rPr>
      </w:pPr>
      <w:r>
        <w:rPr>
          <w:rFonts w:hint="eastAsia" w:ascii="仿宋" w:hAnsi="仿宋" w:eastAsia="仿宋"/>
          <w:sz w:val="32"/>
          <w:szCs w:val="32"/>
        </w:rPr>
        <w:t>第十七条</w:t>
      </w:r>
      <w:r>
        <w:rPr>
          <w:rFonts w:ascii="仿宋" w:eastAsia="仿宋"/>
          <w:sz w:val="32"/>
          <w:szCs w:val="32"/>
        </w:rPr>
        <w:t> </w:t>
      </w:r>
      <w:r>
        <w:rPr>
          <w:rFonts w:hint="eastAsia" w:ascii="仿宋" w:hAnsi="仿宋" w:eastAsia="仿宋"/>
          <w:sz w:val="32"/>
          <w:szCs w:val="32"/>
        </w:rPr>
        <w:t>县级以上人民政府财政部门对代理记账机构及其从事代理记账业务情况实施监督，随机抽取检查对象、随机选派执法检查人员，并将抽查情况及查处结果依法及时向社会公开。对委托代理记账的企业因违反财税法律、法规受到处理处罚的，县级以上人民政府财政部门应当将其委托的代理记账机构列入重点检查对象。对其他部门移交的代理记账违法行为线索，县级以上人民政府财政部门应当及时予以查处。</w:t>
      </w:r>
      <w:r>
        <w:rPr>
          <w:rFonts w:ascii="仿宋" w:eastAsia="仿宋"/>
          <w:sz w:val="32"/>
          <w:szCs w:val="32"/>
        </w:rPr>
        <w:t>  </w:t>
      </w:r>
      <w:r>
        <w:rPr>
          <w:rFonts w:ascii="仿宋" w:hAnsi="仿宋" w:eastAsia="仿宋"/>
          <w:sz w:val="32"/>
          <w:szCs w:val="32"/>
        </w:rPr>
        <w:t xml:space="preserve"> </w:t>
      </w:r>
      <w:r>
        <w:rPr>
          <w:rFonts w:eastAsia="仿宋"/>
          <w:sz w:val="32"/>
          <w:szCs w:val="32"/>
        </w:rPr>
        <w:t> </w:t>
      </w:r>
    </w:p>
    <w:p>
      <w:pPr>
        <w:spacing w:line="560" w:lineRule="exact"/>
        <w:ind w:firstLine="640"/>
        <w:rPr>
          <w:rFonts w:ascii="仿宋" w:hAnsi="仿宋" w:eastAsia="仿宋"/>
          <w:sz w:val="32"/>
          <w:szCs w:val="32"/>
        </w:rPr>
      </w:pPr>
      <w:r>
        <w:rPr>
          <w:rFonts w:hint="eastAsia" w:ascii="仿宋" w:hAnsi="仿宋" w:eastAsia="仿宋"/>
          <w:sz w:val="32"/>
          <w:szCs w:val="32"/>
        </w:rPr>
        <w:t>第十八条</w:t>
      </w:r>
      <w:r>
        <w:rPr>
          <w:rFonts w:ascii="仿宋" w:eastAsia="仿宋"/>
          <w:sz w:val="32"/>
          <w:szCs w:val="32"/>
        </w:rPr>
        <w:t> </w:t>
      </w:r>
      <w:r>
        <w:rPr>
          <w:rFonts w:hint="eastAsia" w:ascii="仿宋" w:hAnsi="仿宋" w:eastAsia="仿宋"/>
          <w:sz w:val="32"/>
          <w:szCs w:val="32"/>
        </w:rPr>
        <w:t>公民、法人或者其他组织发现有违反本办法规定的代理记账行为，可以依法向县级以上人民政府财政部门进行举报，县级以上人民政府财政部门应当依法进行处理。</w:t>
      </w:r>
      <w:r>
        <w:rPr>
          <w:rFonts w:ascii="仿宋" w:eastAsia="仿宋"/>
          <w:sz w:val="32"/>
          <w:szCs w:val="32"/>
        </w:rPr>
        <w:t>  </w:t>
      </w:r>
      <w:r>
        <w:rPr>
          <w:rFonts w:ascii="仿宋" w:hAnsi="仿宋" w:eastAsia="仿宋"/>
          <w:sz w:val="32"/>
          <w:szCs w:val="32"/>
        </w:rPr>
        <w:t xml:space="preserve"> </w:t>
      </w:r>
      <w:r>
        <w:rPr>
          <w:rFonts w:eastAsia="仿宋"/>
          <w:sz w:val="32"/>
          <w:szCs w:val="32"/>
        </w:rPr>
        <w:t>  </w:t>
      </w:r>
      <w:r>
        <w:rPr>
          <w:rFonts w:hint="eastAsia" w:ascii="仿宋" w:hAnsi="仿宋" w:eastAsia="仿宋"/>
          <w:sz w:val="32"/>
          <w:szCs w:val="32"/>
        </w:rPr>
        <w:t xml:space="preserve">  </w:t>
      </w:r>
      <w:r>
        <w:rPr>
          <w:rFonts w:ascii="仿宋" w:eastAsia="仿宋"/>
          <w:sz w:val="32"/>
          <w:szCs w:val="32"/>
        </w:rPr>
        <w:t> </w:t>
      </w:r>
    </w:p>
    <w:p>
      <w:pPr>
        <w:spacing w:line="560" w:lineRule="exact"/>
        <w:ind w:firstLine="640"/>
        <w:rPr>
          <w:rFonts w:ascii="仿宋" w:hAnsi="仿宋" w:eastAsia="仿宋"/>
          <w:sz w:val="32"/>
          <w:szCs w:val="32"/>
        </w:rPr>
      </w:pPr>
      <w:r>
        <w:rPr>
          <w:rFonts w:hint="eastAsia" w:ascii="仿宋" w:hAnsi="仿宋" w:eastAsia="仿宋"/>
          <w:sz w:val="32"/>
          <w:szCs w:val="32"/>
        </w:rPr>
        <w:t>第十九条代理记账机构采取欺骗、贿赂等不正当手段取得代理记账资格的，由审批机关撤销其资格，并对代理记账机构及其负责人给予警告，记入会计领域违法失信记录，根据有关规定实施联合惩戒，并向社会公告。</w:t>
      </w:r>
      <w:r>
        <w:rPr>
          <w:rFonts w:ascii="仿宋" w:eastAsia="仿宋"/>
          <w:sz w:val="32"/>
          <w:szCs w:val="32"/>
        </w:rPr>
        <w:t>  </w:t>
      </w:r>
      <w:r>
        <w:rPr>
          <w:rFonts w:ascii="仿宋" w:hAnsi="仿宋" w:eastAsia="仿宋"/>
          <w:sz w:val="32"/>
          <w:szCs w:val="32"/>
        </w:rPr>
        <w:t xml:space="preserve"> </w:t>
      </w:r>
      <w:r>
        <w:rPr>
          <w:rFonts w:ascii="仿宋" w:eastAsia="仿宋"/>
          <w:sz w:val="32"/>
          <w:szCs w:val="32"/>
        </w:rPr>
        <w:t> </w:t>
      </w:r>
    </w:p>
    <w:p>
      <w:pPr>
        <w:spacing w:line="560" w:lineRule="exact"/>
        <w:ind w:firstLine="640"/>
        <w:rPr>
          <w:rFonts w:ascii="仿宋" w:hAnsi="仿宋" w:eastAsia="仿宋"/>
          <w:sz w:val="32"/>
          <w:szCs w:val="32"/>
        </w:rPr>
      </w:pPr>
      <w:r>
        <w:rPr>
          <w:rFonts w:hint="eastAsia" w:ascii="仿宋" w:hAnsi="仿宋" w:eastAsia="仿宋"/>
          <w:sz w:val="32"/>
          <w:szCs w:val="32"/>
        </w:rPr>
        <w:t>第二十条</w:t>
      </w:r>
      <w:r>
        <w:rPr>
          <w:rFonts w:ascii="仿宋" w:eastAsia="仿宋"/>
          <w:sz w:val="32"/>
          <w:szCs w:val="32"/>
        </w:rPr>
        <w:t> </w:t>
      </w:r>
      <w:r>
        <w:rPr>
          <w:rFonts w:hint="eastAsia" w:ascii="仿宋" w:hAnsi="仿宋" w:eastAsia="仿宋"/>
          <w:sz w:val="32"/>
          <w:szCs w:val="32"/>
        </w:rPr>
        <w:t>代理记账机构在经营期间达不到本办法规定的资格条件的，审批机关发现后，应当责令其在</w:t>
      </w:r>
      <w:r>
        <w:rPr>
          <w:rFonts w:ascii="仿宋" w:hAnsi="仿宋" w:eastAsia="仿宋"/>
          <w:sz w:val="32"/>
          <w:szCs w:val="32"/>
        </w:rPr>
        <w:t>60</w:t>
      </w:r>
      <w:r>
        <w:rPr>
          <w:rFonts w:hint="eastAsia" w:ascii="仿宋" w:hAnsi="仿宋" w:eastAsia="仿宋"/>
          <w:sz w:val="32"/>
          <w:szCs w:val="32"/>
        </w:rPr>
        <w:t>日内整改；逾期仍达不到规定条件的，由审批机关撤销其代理记账资格。</w:t>
      </w:r>
      <w:r>
        <w:rPr>
          <w:rFonts w:ascii="仿宋" w:eastAsia="仿宋"/>
          <w:sz w:val="32"/>
          <w:szCs w:val="32"/>
        </w:rPr>
        <w:t>  </w:t>
      </w:r>
      <w:r>
        <w:rPr>
          <w:rFonts w:ascii="仿宋" w:hAnsi="仿宋" w:eastAsia="仿宋"/>
          <w:sz w:val="32"/>
          <w:szCs w:val="32"/>
        </w:rPr>
        <w:t xml:space="preserve"> </w:t>
      </w:r>
      <w:r>
        <w:rPr>
          <w:rFonts w:eastAsia="仿宋"/>
          <w:sz w:val="32"/>
          <w:szCs w:val="32"/>
        </w:rPr>
        <w:t> </w:t>
      </w:r>
    </w:p>
    <w:p>
      <w:pPr>
        <w:spacing w:line="560" w:lineRule="exact"/>
        <w:ind w:firstLine="640"/>
        <w:rPr>
          <w:rFonts w:hint="eastAsia" w:ascii="仿宋" w:hAnsi="仿宋" w:eastAsia="仿宋"/>
          <w:sz w:val="32"/>
          <w:szCs w:val="32"/>
        </w:rPr>
      </w:pPr>
      <w:r>
        <w:rPr>
          <w:rFonts w:hint="eastAsia" w:ascii="仿宋" w:hAnsi="仿宋" w:eastAsia="仿宋"/>
          <w:sz w:val="32"/>
          <w:szCs w:val="32"/>
        </w:rPr>
        <w:t>第二十一条</w:t>
      </w:r>
      <w:r>
        <w:rPr>
          <w:rFonts w:ascii="仿宋" w:eastAsia="仿宋"/>
          <w:sz w:val="32"/>
          <w:szCs w:val="32"/>
        </w:rPr>
        <w:t> </w:t>
      </w:r>
      <w:r>
        <w:rPr>
          <w:rFonts w:hint="eastAsia" w:ascii="仿宋" w:hAnsi="仿宋" w:eastAsia="仿宋"/>
          <w:sz w:val="32"/>
          <w:szCs w:val="32"/>
        </w:rPr>
        <w:t>代理记账机构有下列情形之一的，审批机关应当办理注销手续，收回代理记账许可证书并予以公告：</w:t>
      </w:r>
    </w:p>
    <w:p>
      <w:pPr>
        <w:spacing w:line="560" w:lineRule="exact"/>
        <w:ind w:firstLine="640"/>
        <w:rPr>
          <w:rFonts w:hint="eastAsia" w:ascii="仿宋" w:hAnsi="仿宋" w:eastAsia="仿宋"/>
          <w:sz w:val="32"/>
          <w:szCs w:val="32"/>
        </w:rPr>
      </w:pPr>
      <w:r>
        <w:rPr>
          <w:rFonts w:hint="eastAsia" w:ascii="仿宋" w:hAnsi="仿宋" w:eastAsia="仿宋"/>
          <w:sz w:val="32"/>
          <w:szCs w:val="32"/>
        </w:rPr>
        <w:t>（一）代理记账机构依法终止的；</w:t>
      </w:r>
    </w:p>
    <w:p>
      <w:pPr>
        <w:spacing w:line="560" w:lineRule="exact"/>
        <w:ind w:firstLine="640"/>
        <w:rPr>
          <w:rFonts w:hint="eastAsia" w:ascii="仿宋" w:hAnsi="仿宋" w:eastAsia="仿宋"/>
          <w:sz w:val="32"/>
          <w:szCs w:val="32"/>
        </w:rPr>
      </w:pPr>
      <w:r>
        <w:rPr>
          <w:rFonts w:hint="eastAsia" w:ascii="仿宋" w:hAnsi="仿宋" w:eastAsia="仿宋"/>
          <w:sz w:val="32"/>
          <w:szCs w:val="32"/>
        </w:rPr>
        <w:t>（二）代理记账资格被依法撤销或撤回的；</w:t>
      </w:r>
    </w:p>
    <w:p>
      <w:pPr>
        <w:spacing w:line="560" w:lineRule="exact"/>
        <w:ind w:firstLine="640"/>
        <w:rPr>
          <w:rFonts w:ascii="仿宋" w:hAnsi="仿宋" w:eastAsia="仿宋"/>
          <w:sz w:val="32"/>
          <w:szCs w:val="32"/>
        </w:rPr>
      </w:pPr>
      <w:r>
        <w:rPr>
          <w:rFonts w:hint="eastAsia" w:ascii="仿宋" w:hAnsi="仿宋" w:eastAsia="仿宋"/>
          <w:sz w:val="32"/>
          <w:szCs w:val="32"/>
        </w:rPr>
        <w:t>（三）法律、法规规定的应当注销的其他情形。</w:t>
      </w:r>
      <w:r>
        <w:rPr>
          <w:rFonts w:ascii="仿宋" w:eastAsia="仿宋"/>
          <w:sz w:val="32"/>
          <w:szCs w:val="32"/>
        </w:rPr>
        <w:t>  </w:t>
      </w:r>
    </w:p>
    <w:p>
      <w:pPr>
        <w:spacing w:line="560" w:lineRule="exact"/>
        <w:ind w:firstLine="640"/>
        <w:rPr>
          <w:rFonts w:ascii="仿宋" w:hAnsi="仿宋" w:eastAsia="仿宋"/>
          <w:sz w:val="32"/>
          <w:szCs w:val="32"/>
        </w:rPr>
      </w:pPr>
      <w:r>
        <w:rPr>
          <w:rFonts w:hint="eastAsia" w:ascii="仿宋" w:hAnsi="仿宋" w:eastAsia="仿宋"/>
          <w:sz w:val="32"/>
          <w:szCs w:val="32"/>
        </w:rPr>
        <w:t>第二十二条</w:t>
      </w:r>
      <w:r>
        <w:rPr>
          <w:rFonts w:ascii="仿宋" w:eastAsia="仿宋"/>
          <w:sz w:val="32"/>
          <w:szCs w:val="32"/>
        </w:rPr>
        <w:t> </w:t>
      </w:r>
      <w:r>
        <w:rPr>
          <w:rFonts w:hint="eastAsia" w:ascii="仿宋" w:hAnsi="仿宋" w:eastAsia="仿宋"/>
          <w:sz w:val="32"/>
          <w:szCs w:val="32"/>
        </w:rPr>
        <w:t>代理记账机构违反本办法第七条、第八条、第九条、第十四条、第十六条规定，由县级以上人民政府财政部门责令其限期改正，拒不改正的，将代理记账机构及其负责人列入重点关注名单，并向社会公示，提醒其履行有关义务；情节严重的，由县级以上人民政府财政部门按照有关法律、法规给予行政处罚，并向社会公示。</w:t>
      </w:r>
      <w:r>
        <w:rPr>
          <w:rFonts w:ascii="仿宋" w:eastAsia="仿宋"/>
          <w:sz w:val="32"/>
          <w:szCs w:val="32"/>
        </w:rPr>
        <w:t>  </w:t>
      </w:r>
      <w:r>
        <w:rPr>
          <w:rFonts w:ascii="仿宋" w:hAnsi="仿宋" w:eastAsia="仿宋"/>
          <w:sz w:val="32"/>
          <w:szCs w:val="32"/>
        </w:rPr>
        <w:t xml:space="preserve"> </w:t>
      </w:r>
      <w:r>
        <w:rPr>
          <w:rFonts w:eastAsia="仿宋"/>
          <w:sz w:val="32"/>
          <w:szCs w:val="32"/>
        </w:rPr>
        <w:t> </w:t>
      </w:r>
    </w:p>
    <w:p>
      <w:pPr>
        <w:spacing w:line="560" w:lineRule="exact"/>
        <w:ind w:firstLine="640"/>
        <w:rPr>
          <w:rFonts w:ascii="仿宋" w:hAnsi="仿宋" w:eastAsia="仿宋"/>
          <w:sz w:val="32"/>
          <w:szCs w:val="32"/>
        </w:rPr>
      </w:pPr>
      <w:r>
        <w:rPr>
          <w:rFonts w:hint="eastAsia" w:ascii="仿宋" w:hAnsi="仿宋" w:eastAsia="仿宋"/>
          <w:sz w:val="32"/>
          <w:szCs w:val="32"/>
        </w:rPr>
        <w:t>第二十三条</w:t>
      </w:r>
      <w:r>
        <w:rPr>
          <w:rFonts w:ascii="仿宋" w:eastAsia="仿宋"/>
          <w:sz w:val="32"/>
          <w:szCs w:val="32"/>
        </w:rPr>
        <w:t> </w:t>
      </w:r>
      <w:r>
        <w:rPr>
          <w:rFonts w:hint="eastAsia" w:ascii="仿宋" w:hAnsi="仿宋" w:eastAsia="仿宋"/>
          <w:sz w:val="32"/>
          <w:szCs w:val="32"/>
        </w:rPr>
        <w:t>代理记账机构及其负责人、主管代理记账业务负责人及其从业人员违反规定出具虚假申请材料或者备案材料的，由县级以上人民政府财政部门给予警告，记入会计领域违法失信记录，根据有关规定实施联合惩戒，并向社会公告。</w:t>
      </w:r>
      <w:r>
        <w:rPr>
          <w:rFonts w:ascii="仿宋" w:eastAsia="仿宋"/>
          <w:sz w:val="32"/>
          <w:szCs w:val="32"/>
        </w:rPr>
        <w:t>  </w:t>
      </w:r>
      <w:r>
        <w:rPr>
          <w:rFonts w:ascii="仿宋" w:hAnsi="仿宋" w:eastAsia="仿宋"/>
          <w:sz w:val="32"/>
          <w:szCs w:val="32"/>
        </w:rPr>
        <w:t xml:space="preserve"> </w:t>
      </w:r>
      <w:r>
        <w:rPr>
          <w:rFonts w:eastAsia="仿宋"/>
          <w:sz w:val="32"/>
          <w:szCs w:val="32"/>
        </w:rPr>
        <w:t> </w:t>
      </w:r>
    </w:p>
    <w:p>
      <w:pPr>
        <w:spacing w:line="560" w:lineRule="exact"/>
        <w:ind w:firstLine="640"/>
        <w:rPr>
          <w:rFonts w:ascii="仿宋" w:hAnsi="仿宋" w:eastAsia="仿宋"/>
          <w:sz w:val="32"/>
          <w:szCs w:val="32"/>
        </w:rPr>
      </w:pPr>
      <w:r>
        <w:rPr>
          <w:rFonts w:hint="eastAsia" w:ascii="仿宋" w:hAnsi="仿宋" w:eastAsia="仿宋"/>
          <w:sz w:val="32"/>
          <w:szCs w:val="32"/>
        </w:rPr>
        <w:t>第二十四条</w:t>
      </w:r>
      <w:r>
        <w:rPr>
          <w:rFonts w:ascii="仿宋" w:eastAsia="仿宋"/>
          <w:sz w:val="32"/>
          <w:szCs w:val="32"/>
        </w:rPr>
        <w:t> </w:t>
      </w:r>
      <w:r>
        <w:rPr>
          <w:rFonts w:hint="eastAsia" w:ascii="仿宋" w:hAnsi="仿宋" w:eastAsia="仿宋"/>
          <w:sz w:val="32"/>
          <w:szCs w:val="32"/>
        </w:rPr>
        <w:t>代理记账机构从业人员在办理业务中违反会计法律、法规和国家统一的会计制度的规定，造成委托人会计核算混乱、损害国家和委托人利益的，由县级以上人民政府财政部门依据《中华人民共和国会计法》等有关法律、法规的规定处理。代理记账机构有前款行为的，县级以上人民政府财政部门应当责令其限期改正，并给予警告；有违法所得的，可以处违法所得</w:t>
      </w:r>
      <w:r>
        <w:rPr>
          <w:rFonts w:ascii="仿宋" w:hAnsi="仿宋" w:eastAsia="仿宋"/>
          <w:sz w:val="32"/>
          <w:szCs w:val="32"/>
        </w:rPr>
        <w:t>3</w:t>
      </w:r>
      <w:r>
        <w:rPr>
          <w:rFonts w:hint="eastAsia" w:ascii="仿宋" w:hAnsi="仿宋" w:eastAsia="仿宋"/>
          <w:sz w:val="32"/>
          <w:szCs w:val="32"/>
        </w:rPr>
        <w:t>倍以下罚款，但最高不得超过</w:t>
      </w:r>
      <w:r>
        <w:rPr>
          <w:rFonts w:ascii="仿宋" w:hAnsi="仿宋" w:eastAsia="仿宋"/>
          <w:sz w:val="32"/>
          <w:szCs w:val="32"/>
        </w:rPr>
        <w:t>3</w:t>
      </w:r>
      <w:r>
        <w:rPr>
          <w:rFonts w:hint="eastAsia" w:ascii="仿宋" w:hAnsi="仿宋" w:eastAsia="仿宋"/>
          <w:sz w:val="32"/>
          <w:szCs w:val="32"/>
        </w:rPr>
        <w:t>万元；没有违法所得的，可以处</w:t>
      </w:r>
      <w:r>
        <w:rPr>
          <w:rFonts w:ascii="仿宋" w:hAnsi="仿宋" w:eastAsia="仿宋"/>
          <w:sz w:val="32"/>
          <w:szCs w:val="32"/>
        </w:rPr>
        <w:t>1</w:t>
      </w:r>
      <w:r>
        <w:rPr>
          <w:rFonts w:hint="eastAsia" w:ascii="仿宋" w:hAnsi="仿宋" w:eastAsia="仿宋"/>
          <w:sz w:val="32"/>
          <w:szCs w:val="32"/>
        </w:rPr>
        <w:t>万元以下罚款。</w:t>
      </w:r>
      <w:r>
        <w:rPr>
          <w:rFonts w:ascii="仿宋" w:eastAsia="仿宋"/>
          <w:sz w:val="32"/>
          <w:szCs w:val="32"/>
        </w:rPr>
        <w:t>  </w:t>
      </w:r>
      <w:r>
        <w:rPr>
          <w:rFonts w:ascii="仿宋" w:hAnsi="仿宋" w:eastAsia="仿宋"/>
          <w:sz w:val="32"/>
          <w:szCs w:val="32"/>
        </w:rPr>
        <w:t xml:space="preserve"> </w:t>
      </w:r>
      <w:r>
        <w:rPr>
          <w:rFonts w:eastAsia="仿宋"/>
          <w:sz w:val="32"/>
          <w:szCs w:val="32"/>
        </w:rPr>
        <w:t> </w:t>
      </w:r>
    </w:p>
    <w:p>
      <w:pPr>
        <w:spacing w:line="560" w:lineRule="exact"/>
        <w:ind w:firstLine="640"/>
        <w:rPr>
          <w:rFonts w:ascii="仿宋" w:hAnsi="仿宋" w:eastAsia="仿宋"/>
          <w:sz w:val="32"/>
          <w:szCs w:val="32"/>
        </w:rPr>
      </w:pPr>
      <w:r>
        <w:rPr>
          <w:rFonts w:hint="eastAsia" w:ascii="仿宋" w:hAnsi="仿宋" w:eastAsia="仿宋"/>
          <w:sz w:val="32"/>
          <w:szCs w:val="32"/>
        </w:rPr>
        <w:t>第二十五条</w:t>
      </w:r>
      <w:r>
        <w:rPr>
          <w:rFonts w:ascii="仿宋" w:eastAsia="仿宋"/>
          <w:sz w:val="32"/>
          <w:szCs w:val="32"/>
        </w:rPr>
        <w:t> </w:t>
      </w:r>
      <w:r>
        <w:rPr>
          <w:rFonts w:hint="eastAsia" w:ascii="仿宋" w:hAnsi="仿宋" w:eastAsia="仿宋"/>
          <w:sz w:val="32"/>
          <w:szCs w:val="32"/>
        </w:rPr>
        <w:t>委托人向代理记账机构隐瞒真实情况或者委托人会同代理记账机构共同提供虚假会计资料的，应当承担相应法律责任。</w:t>
      </w:r>
      <w:r>
        <w:rPr>
          <w:rFonts w:ascii="仿宋" w:eastAsia="仿宋"/>
          <w:sz w:val="32"/>
          <w:szCs w:val="32"/>
        </w:rPr>
        <w:t>  </w:t>
      </w:r>
      <w:r>
        <w:rPr>
          <w:rFonts w:ascii="仿宋" w:hAnsi="仿宋" w:eastAsia="仿宋"/>
          <w:sz w:val="32"/>
          <w:szCs w:val="32"/>
        </w:rPr>
        <w:t xml:space="preserve"> </w:t>
      </w:r>
      <w:r>
        <w:rPr>
          <w:rFonts w:eastAsia="仿宋"/>
          <w:sz w:val="32"/>
          <w:szCs w:val="32"/>
        </w:rPr>
        <w:t>  </w:t>
      </w:r>
    </w:p>
    <w:p>
      <w:pPr>
        <w:spacing w:line="560" w:lineRule="exact"/>
        <w:ind w:firstLine="640"/>
        <w:rPr>
          <w:rFonts w:ascii="仿宋" w:hAnsi="仿宋" w:eastAsia="仿宋"/>
          <w:sz w:val="32"/>
          <w:szCs w:val="32"/>
        </w:rPr>
      </w:pPr>
      <w:r>
        <w:rPr>
          <w:rFonts w:hint="eastAsia" w:ascii="仿宋" w:hAnsi="仿宋" w:eastAsia="仿宋"/>
          <w:sz w:val="32"/>
          <w:szCs w:val="32"/>
        </w:rPr>
        <w:t>第二十六条</w:t>
      </w:r>
      <w:r>
        <w:rPr>
          <w:rFonts w:ascii="仿宋" w:eastAsia="仿宋"/>
          <w:sz w:val="32"/>
          <w:szCs w:val="32"/>
        </w:rPr>
        <w:t> </w:t>
      </w:r>
      <w:r>
        <w:rPr>
          <w:rFonts w:hint="eastAsia" w:ascii="仿宋" w:hAnsi="仿宋" w:eastAsia="仿宋"/>
          <w:sz w:val="32"/>
          <w:szCs w:val="32"/>
        </w:rPr>
        <w:t>未经批准从事代理记账业务的单位或者个人，由县级以上人民政府财政部门按照《中华人民共和国行政许可法》及有关规定予以查处。</w:t>
      </w:r>
      <w:r>
        <w:rPr>
          <w:rFonts w:ascii="仿宋" w:eastAsia="仿宋"/>
          <w:sz w:val="32"/>
          <w:szCs w:val="32"/>
        </w:rPr>
        <w:t>  </w:t>
      </w:r>
      <w:r>
        <w:rPr>
          <w:rFonts w:ascii="仿宋" w:hAnsi="仿宋" w:eastAsia="仿宋"/>
          <w:sz w:val="32"/>
          <w:szCs w:val="32"/>
        </w:rPr>
        <w:t xml:space="preserve"> </w:t>
      </w:r>
      <w:r>
        <w:rPr>
          <w:rFonts w:eastAsia="仿宋"/>
          <w:sz w:val="32"/>
          <w:szCs w:val="32"/>
        </w:rPr>
        <w:t>  </w:t>
      </w:r>
    </w:p>
    <w:p>
      <w:pPr>
        <w:spacing w:line="560" w:lineRule="exact"/>
        <w:ind w:firstLine="640"/>
        <w:rPr>
          <w:rFonts w:hint="eastAsia" w:ascii="楷体_GB2312" w:hAnsi="宋体" w:eastAsia="楷体_GB2312" w:cs="宋体"/>
          <w:kern w:val="0"/>
          <w:sz w:val="32"/>
          <w:szCs w:val="32"/>
        </w:rPr>
      </w:pPr>
      <w:r>
        <w:rPr>
          <w:rFonts w:hint="eastAsia" w:ascii="仿宋" w:hAnsi="仿宋" w:eastAsia="仿宋"/>
          <w:sz w:val="32"/>
          <w:szCs w:val="32"/>
        </w:rPr>
        <w:t>第二十七条</w:t>
      </w:r>
      <w:r>
        <w:rPr>
          <w:rFonts w:ascii="仿宋" w:eastAsia="仿宋"/>
          <w:sz w:val="32"/>
          <w:szCs w:val="32"/>
        </w:rPr>
        <w:t> </w:t>
      </w:r>
      <w:r>
        <w:rPr>
          <w:rFonts w:hint="eastAsia" w:ascii="仿宋" w:hAnsi="仿宋" w:eastAsia="仿宋"/>
          <w:sz w:val="32"/>
          <w:szCs w:val="32"/>
        </w:rPr>
        <w:t>县级以上人民政府财政部门及其工作人员在代理记账资格管理过程中，滥用职权、玩忽职守、徇私舞弊的，依法给予行政处分；涉嫌犯罪的，移送司法机关处理。</w:t>
      </w:r>
      <w:r>
        <w:rPr>
          <w:rFonts w:ascii="仿宋" w:eastAsia="仿宋"/>
          <w:sz w:val="32"/>
          <w:szCs w:val="32"/>
        </w:rPr>
        <w:t>  </w:t>
      </w:r>
      <w:r>
        <w:rPr>
          <w:rFonts w:ascii="仿宋" w:hAnsi="仿宋" w:eastAsia="仿宋"/>
          <w:sz w:val="32"/>
          <w:szCs w:val="32"/>
        </w:rPr>
        <w:t xml:space="preserve"> </w:t>
      </w:r>
      <w:r>
        <w:rPr>
          <w:rFonts w:eastAsia="仿宋"/>
          <w:sz w:val="32"/>
          <w:szCs w:val="32"/>
        </w:rPr>
        <w:t> </w:t>
      </w:r>
      <w:r>
        <w:rPr>
          <w:rFonts w:hint="eastAsia" w:ascii="仿宋" w:hAnsi="仿宋" w:eastAsia="仿宋"/>
          <w:sz w:val="32"/>
          <w:szCs w:val="32"/>
        </w:rPr>
        <w:t>第二十八条代理记账机构依法成立的行业组织，应当维护会员合法权益，建立会员诚信档案，规范会员代理记账行为，推动代理记账信息化建设。代理记账行业组织应当接受县级以上人民政府财政部门的指导和监督。</w:t>
      </w:r>
      <w:r>
        <w:rPr>
          <w:rFonts w:ascii="仿宋" w:eastAsia="仿宋"/>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075B8D"/>
    <w:multiLevelType w:val="multilevel"/>
    <w:tmpl w:val="4C075B8D"/>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2YjYwODA4MmQwOGUyMzYzNmIyYjZhYjY3NDI0NjIifQ=="/>
  </w:docVars>
  <w:rsids>
    <w:rsidRoot w:val="45CD09C6"/>
    <w:rsid w:val="06B95D3B"/>
    <w:rsid w:val="0AA96DC2"/>
    <w:rsid w:val="22EF2F0D"/>
    <w:rsid w:val="270F3C15"/>
    <w:rsid w:val="366D0850"/>
    <w:rsid w:val="45CD09C6"/>
    <w:rsid w:val="4F065803"/>
    <w:rsid w:val="529334C3"/>
    <w:rsid w:val="576378C6"/>
    <w:rsid w:val="747556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2291</Words>
  <Characters>2319</Characters>
  <Lines>0</Lines>
  <Paragraphs>0</Paragraphs>
  <TotalTime>18</TotalTime>
  <ScaleCrop>false</ScaleCrop>
  <LinksUpToDate>false</LinksUpToDate>
  <CharactersWithSpaces>2344</CharactersWithSpaces>
  <Application>WPS Office_11.1.0.12353_F1E327BC-269C-435d-A152-05C5408002CA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2021-06-30T03:28:00Z</dcterms:created>
  <dc:creator>D1</dc:creator>
  <cp:lastModifiedBy>Administrator</cp:lastModifiedBy>
  <dcterms:modified xsi:type="dcterms:W3CDTF">2022-08-31T08:25:37Z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2052-11.1.0.12353</vt:lpwstr>
  </property>
  <property fmtid="{D5CDD505-2E9C-101B-9397-08002B2CF9AE}" pid="3" name="ICV">
    <vt:lpwstr>A571DA202C38492393EFB9F490C3518D</vt:lpwstr>
  </property>
</Properties>
</file>