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2</w:t>
      </w:r>
    </w:p>
    <w:p>
      <w:pPr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无证经营</w:t>
      </w:r>
      <w:r>
        <w:rPr>
          <w:rFonts w:ascii="黑体" w:eastAsia="黑体"/>
          <w:sz w:val="32"/>
          <w:szCs w:val="30"/>
        </w:rPr>
        <w:t>涉企检查</w:t>
      </w:r>
      <w:r>
        <w:rPr>
          <w:rFonts w:hint="eastAsia" w:ascii="黑体" w:eastAsia="黑体"/>
          <w:sz w:val="32"/>
          <w:szCs w:val="30"/>
          <w:lang w:eastAsia="zh-CN"/>
        </w:rPr>
        <w:t>专项行动</w:t>
      </w:r>
      <w:r>
        <w:rPr>
          <w:rFonts w:ascii="黑体" w:eastAsia="黑体"/>
          <w:sz w:val="32"/>
          <w:szCs w:val="30"/>
        </w:rPr>
        <w:t>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对无烟草专卖零售许可证从事烟草制品零售业务的检查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2.是否存在使用非法转让的烟草专卖零售许可证的行为。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</w:t>
            </w:r>
            <w:r>
              <w:rPr>
                <w:rFonts w:hint="eastAsia" w:ascii="CESI仿宋-GB2312" w:eastAsia="CESI仿宋-GB231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</w:t>
            </w:r>
            <w:r>
              <w:rPr>
                <w:rFonts w:hint="default" w:ascii="CESI仿宋-GB2312" w:eastAsia="CESI仿宋-GB2312"/>
                <w:shd w:val="clear" w:color="auto" w:fill="auto"/>
                <w:lang w:val="en"/>
              </w:rPr>
              <w:t>10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日-</w:t>
            </w:r>
            <w:r>
              <w:rPr>
                <w:rFonts w:ascii="CESI仿宋-GB2312" w:eastAsia="CESI仿宋-GB2312"/>
                <w:shd w:val="clear" w:color="auto" w:fill="auto"/>
              </w:rPr>
              <w:t xml:space="preserve"> 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2026年</w:t>
            </w:r>
            <w:r>
              <w:rPr>
                <w:rFonts w:hint="default" w:ascii="CESI仿宋-GB2312" w:eastAsia="CESI仿宋-GB2312"/>
                <w:shd w:val="clear" w:color="auto" w:fill="auto"/>
                <w:lang w:val="en"/>
              </w:rPr>
              <w:t>12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</w:t>
            </w:r>
            <w:r>
              <w:rPr>
                <w:rFonts w:hint="default" w:ascii="CESI仿宋-GB2312" w:eastAsia="CESI仿宋-GB2312"/>
                <w:shd w:val="clear" w:color="auto" w:fill="auto"/>
                <w:lang w:val="en"/>
              </w:rPr>
              <w:t>30</w:t>
            </w:r>
            <w:bookmarkStart w:id="0" w:name="_GoBack"/>
            <w:bookmarkEnd w:id="0"/>
            <w:r>
              <w:rPr>
                <w:rFonts w:hint="eastAsia" w:ascii="CESI仿宋-GB2312" w:eastAsia="CESI仿宋-GB2312"/>
                <w:shd w:val="clear" w:color="auto" w:fill="auto"/>
              </w:rPr>
              <w:t>日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2025年</w:t>
            </w:r>
            <w:r>
              <w:rPr>
                <w:rFonts w:hint="eastAsia" w:ascii="CESI仿宋-GB2312" w:eastAsia="CESI仿宋-GB231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月1日至2026 年</w:t>
            </w:r>
            <w:r>
              <w:rPr>
                <w:rFonts w:hint="eastAsia" w:ascii="CESI仿宋-GB2312" w:eastAsia="CESI仿宋-GB231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月1日（近半年）内有违法记录及接投诉、举报处理的无证经营主体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现场检查与非现场检查相结合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专卖监督管理股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3FAD672E"/>
    <w:rsid w:val="7EFF4F09"/>
    <w:rsid w:val="9FFF44B1"/>
    <w:rsid w:val="F63E0FDF"/>
    <w:rsid w:val="FFF76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205</Characters>
  <Lines>0</Lines>
  <Paragraphs>5</Paragraphs>
  <TotalTime>192</TotalTime>
  <ScaleCrop>false</ScaleCrop>
  <LinksUpToDate>false</LinksUpToDate>
  <CharactersWithSpaces>274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2026-03-11T15:08:00Z</dcterms:created>
  <dc:creator>kylin</dc:creator>
  <cp:lastModifiedBy>kylin</cp:lastModifiedBy>
  <cp:lastPrinted>2026-04-17T23:00:00Z</cp:lastPrinted>
  <dcterms:modified xsi:type="dcterms:W3CDTF">2026-06-10T10:30:47Z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