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附件6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连锁便利店</w:t>
      </w:r>
      <w:r>
        <w:rPr>
          <w:rFonts w:hint="eastAsia" w:ascii="黑体" w:eastAsia="黑体"/>
          <w:sz w:val="32"/>
          <w:szCs w:val="32"/>
        </w:rPr>
        <w:t>涉企检查</w:t>
      </w:r>
      <w:r>
        <w:rPr>
          <w:rFonts w:ascii="黑体" w:eastAsia="黑体"/>
          <w:sz w:val="32"/>
          <w:szCs w:val="32"/>
        </w:rPr>
        <w:t>专项行动计划</w:t>
      </w:r>
    </w:p>
    <w:p/>
    <w:tbl>
      <w:tblPr>
        <w:tblStyle w:val="5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对连锁便利店从事烟草专卖品经营业务的检查</w:t>
            </w:r>
          </w:p>
        </w:tc>
        <w:tc>
          <w:tcPr>
            <w:tcW w:w="1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烟草专卖局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2.是否在当地的烟草专卖批发企业进货，并接受烟草专卖许可证发证机关的监督管理。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3.是否存在销售伪劣的烟草专卖品的行为。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4.是否存在销售未使用注册商标、假冒他人注册商标烟草制品。</w:t>
            </w:r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2026年</w:t>
            </w:r>
            <w:r>
              <w:rPr>
                <w:rFonts w:hint="eastAsia" w:ascii="CESI仿宋-GB2312" w:eastAsia="CESI仿宋-GB231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月-2026年</w:t>
            </w:r>
            <w:r>
              <w:rPr>
                <w:rFonts w:hint="default" w:ascii="CESI仿宋-GB2312" w:eastAsia="CESI仿宋-GB2312"/>
                <w:shd w:val="clear" w:color="auto" w:fill="auto"/>
                <w:lang w:val="en"/>
              </w:rPr>
              <w:t>12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月</w:t>
            </w:r>
            <w:bookmarkStart w:id="0" w:name="_GoBack"/>
            <w:bookmarkEnd w:id="0"/>
          </w:p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</w:p>
        </w:tc>
        <w:tc>
          <w:tcPr>
            <w:tcW w:w="3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</w:t>
            </w:r>
            <w:r>
              <w:rPr>
                <w:rFonts w:hint="eastAsia" w:ascii="CESI仿宋-GB2312" w:eastAsia="CESI仿宋-GB2312"/>
                <w:shd w:val="clear" w:color="auto" w:fill="auto"/>
              </w:rPr>
              <w:t>范围内经营模式为连锁便利店的烟草制品零售经营主体</w:t>
            </w:r>
          </w:p>
        </w:tc>
        <w:tc>
          <w:tcPr>
            <w:tcW w:w="15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</w:rPr>
            </w:pPr>
            <w:r>
              <w:rPr>
                <w:rFonts w:hint="eastAsia" w:ascii="CESI仿宋-GB2312" w:eastAsia="CESI仿宋-GB2312"/>
                <w:shd w:val="clear" w:color="auto" w:fill="auto"/>
              </w:rPr>
              <w:t>现场检查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  <w:lang w:eastAsia="zh-CN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芷江侗族自治县烟草专卖局专卖监督管理股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ESI仿宋-GB2312" w:eastAsia="CESI仿宋-GB2312"/>
                <w:shd w:val="clear" w:color="auto" w:fill="auto"/>
                <w:lang w:eastAsia="zh-CN"/>
              </w:rPr>
            </w:pPr>
            <w:r>
              <w:rPr>
                <w:rFonts w:hint="eastAsia" w:ascii="CESI仿宋-GB2312" w:eastAsia="CESI仿宋-GB2312"/>
                <w:shd w:val="clear" w:color="auto" w:fill="auto"/>
                <w:lang w:eastAsia="zh-CN"/>
              </w:rPr>
              <w:t>芷江侗族自治县</w:t>
            </w: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1EED0444"/>
    <w:rsid w:val="3B9E40F2"/>
    <w:rsid w:val="3D97DF6F"/>
    <w:rsid w:val="F677F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265</Words>
  <Characters>279</Characters>
  <Lines>44</Lines>
  <Paragraphs>21</Paragraphs>
  <TotalTime>404</TotalTime>
  <ScaleCrop>false</ScaleCrop>
  <LinksUpToDate>false</LinksUpToDate>
  <CharactersWithSpaces>279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2026-03-11T07:08:00Z</dcterms:created>
  <dc:creator>kylin</dc:creator>
  <cp:lastModifiedBy>kylin</cp:lastModifiedBy>
  <cp:lastPrinted>2026-04-22T15:10:00Z</cp:lastPrinted>
  <dcterms:modified xsi:type="dcterms:W3CDTF">2026-06-10T10:31:38Z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