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cs="方正大标宋_GBK"/>
          <w:sz w:val="44"/>
          <w:szCs w:val="44"/>
        </w:rPr>
      </w:pPr>
      <w:bookmarkStart w:id="0" w:name="_GoBack"/>
      <w:bookmarkEnd w:id="0"/>
    </w:p>
    <w:p>
      <w:pPr>
        <w:jc w:val="center"/>
        <w:rPr>
          <w:rFonts w:hint="eastAsia" w:ascii="黑体" w:hAnsi="黑体" w:eastAsia="黑体" w:cs="黑体"/>
          <w:b/>
          <w:w w:val="90"/>
          <w:sz w:val="44"/>
          <w:szCs w:val="44"/>
        </w:rPr>
      </w:pPr>
      <w:r>
        <w:rPr>
          <w:rFonts w:hint="eastAsia" w:ascii="黑体" w:hAnsi="黑体" w:eastAsia="黑体" w:cs="黑体"/>
          <w:b/>
          <w:w w:val="90"/>
          <w:sz w:val="44"/>
          <w:szCs w:val="44"/>
        </w:rPr>
        <w:t>芷江县201</w:t>
      </w:r>
      <w:r>
        <w:rPr>
          <w:rFonts w:hint="eastAsia" w:ascii="黑体" w:hAnsi="黑体" w:eastAsia="黑体" w:cs="黑体"/>
          <w:b/>
          <w:w w:val="90"/>
          <w:sz w:val="44"/>
          <w:szCs w:val="44"/>
          <w:lang w:val="en-US" w:eastAsia="zh-CN"/>
        </w:rPr>
        <w:t>8</w:t>
      </w:r>
      <w:r>
        <w:rPr>
          <w:rFonts w:hint="eastAsia" w:ascii="黑体" w:hAnsi="黑体" w:eastAsia="黑体" w:cs="黑体"/>
          <w:b/>
          <w:w w:val="90"/>
          <w:sz w:val="44"/>
          <w:szCs w:val="44"/>
        </w:rPr>
        <w:t>年妇女事业发展项目支出绩效评价</w:t>
      </w:r>
    </w:p>
    <w:p>
      <w:pPr>
        <w:jc w:val="center"/>
        <w:rPr>
          <w:rFonts w:hint="eastAsia" w:ascii="黑体" w:hAnsi="黑体" w:eastAsia="黑体" w:cs="黑体"/>
          <w:b/>
          <w:w w:val="90"/>
          <w:sz w:val="44"/>
          <w:szCs w:val="44"/>
        </w:rPr>
      </w:pPr>
      <w:r>
        <w:rPr>
          <w:rFonts w:hint="eastAsia" w:ascii="黑体" w:hAnsi="黑体" w:eastAsia="黑体" w:cs="黑体"/>
          <w:b/>
          <w:w w:val="90"/>
          <w:sz w:val="44"/>
          <w:szCs w:val="44"/>
        </w:rPr>
        <w:t>报  告</w:t>
      </w:r>
    </w:p>
    <w:p>
      <w:pPr>
        <w:pStyle w:val="2"/>
        <w:rPr>
          <w:rFonts w:hint="eastAsia" w:ascii="黑体" w:hAnsi="黑体" w:eastAsia="黑体" w:cs="黑体"/>
          <w:w w:val="90"/>
          <w:sz w:val="44"/>
          <w:szCs w:val="44"/>
        </w:rPr>
      </w:pPr>
    </w:p>
    <w:p>
      <w:pPr>
        <w:snapToGrid w:val="0"/>
        <w:spacing w:line="6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一、项目基本情况</w:t>
      </w:r>
    </w:p>
    <w:p>
      <w:pPr>
        <w:snapToGrid w:val="0"/>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、项目概况：维护妇女儿童合法权益，促进男女平等；深化妇女创业就业，促进妇女增收致富；加大宣传力度，开展各类活动，加快妇女儿童事业发展。</w:t>
      </w:r>
    </w:p>
    <w:p>
      <w:pPr>
        <w:snapToGrid w:val="0"/>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、项目绩效总目标为：要求</w:t>
      </w:r>
      <w:r>
        <w:rPr>
          <w:rFonts w:ascii="仿宋" w:hAnsi="仿宋" w:eastAsia="仿宋" w:cs="仿宋_GB2312"/>
          <w:sz w:val="32"/>
          <w:szCs w:val="32"/>
        </w:rPr>
        <w:t>201</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年做好“三八”“六一”主题活动，开展巾帼志愿者服务活动</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次以上</w:t>
      </w:r>
      <w:r>
        <w:rPr>
          <w:rFonts w:hint="eastAsia" w:ascii="仿宋" w:hAnsi="仿宋" w:eastAsia="仿宋" w:cs="仿宋_GB2312"/>
          <w:sz w:val="32"/>
          <w:szCs w:val="32"/>
          <w:lang w:eastAsia="zh-CN"/>
        </w:rPr>
        <w:t>，教育宣传培训</w:t>
      </w:r>
      <w:r>
        <w:rPr>
          <w:rFonts w:hint="eastAsia" w:ascii="仿宋" w:hAnsi="仿宋" w:eastAsia="仿宋" w:cs="仿宋_GB2312"/>
          <w:sz w:val="32"/>
          <w:szCs w:val="32"/>
          <w:lang w:val="en-US" w:eastAsia="zh-CN"/>
        </w:rPr>
        <w:t>4次以上</w:t>
      </w:r>
      <w:r>
        <w:rPr>
          <w:rFonts w:hint="eastAsia" w:ascii="仿宋" w:hAnsi="仿宋" w:eastAsia="仿宋" w:cs="仿宋_GB2312"/>
          <w:sz w:val="32"/>
          <w:szCs w:val="32"/>
        </w:rPr>
        <w:t>，完成全县村妇代会改妇联工作，完成1000人的妇女技能培训和理论培训，完成两癌免费检查任务，创建市级妇女之家1个，开展评选 “最美家庭”“最美女性”“最美创业”活动，加大宣传力度，促进男女平等。</w:t>
      </w:r>
    </w:p>
    <w:p>
      <w:pPr>
        <w:snapToGrid w:val="0"/>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、项目实施情况：根据年初预算、项目资金在年初就已经安排到位，在资金管理和组织上都能按照相关政策和规定执行，没有因管理不善出现资金上的损失。</w:t>
      </w:r>
    </w:p>
    <w:p>
      <w:pPr>
        <w:snapToGrid w:val="0"/>
        <w:spacing w:line="6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二、绩效评价工作情况</w:t>
      </w:r>
    </w:p>
    <w:p>
      <w:pPr>
        <w:snapToGrid w:val="0"/>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、绩效评价目的：</w:t>
      </w:r>
      <w:r>
        <w:rPr>
          <w:rFonts w:hint="eastAsia" w:ascii="仿宋" w:hAnsi="仿宋" w:eastAsia="仿宋"/>
          <w:sz w:val="32"/>
          <w:szCs w:val="32"/>
        </w:rPr>
        <w:t>加强专项资金管理，促进财政资金的合理利用，提高资金使用效益，确保妇女儿童事业专项资金的安全性、规范性和有效性</w:t>
      </w:r>
    </w:p>
    <w:p>
      <w:pPr>
        <w:snapToGrid w:val="0"/>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、绩效评价工作过程：年初就制定好相应的工作计划，提出具体的工作目标，把目标任务分解到各乡镇，实行目标管理责任制，年终按目标要求进行严格考核。</w:t>
      </w:r>
    </w:p>
    <w:p>
      <w:pPr>
        <w:snapToGrid w:val="0"/>
        <w:spacing w:line="6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三、综合评价情况及评论结论</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经过自评得分为</w:t>
      </w:r>
      <w:r>
        <w:rPr>
          <w:rFonts w:hint="eastAsia" w:ascii="仿宋" w:hAnsi="仿宋" w:eastAsia="仿宋" w:cs="仿宋_GB2312"/>
          <w:sz w:val="32"/>
          <w:szCs w:val="32"/>
          <w:lang w:val="en-US" w:eastAsia="zh-CN"/>
        </w:rPr>
        <w:t>94</w:t>
      </w:r>
      <w:r>
        <w:rPr>
          <w:rFonts w:hint="eastAsia" w:ascii="仿宋" w:hAnsi="仿宋" w:eastAsia="仿宋" w:cs="仿宋_GB2312"/>
          <w:sz w:val="32"/>
          <w:szCs w:val="32"/>
        </w:rPr>
        <w:t>分，为优秀等次。</w:t>
      </w:r>
    </w:p>
    <w:p>
      <w:pPr>
        <w:snapToGrid w:val="0"/>
        <w:spacing w:line="6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四、项目主要绩效情况分析</w:t>
      </w:r>
    </w:p>
    <w:p>
      <w:pPr>
        <w:snapToGrid w:val="0"/>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、项目经济性分析，根据财政预算项目资金安排，规模上没有突破，</w:t>
      </w:r>
      <w:r>
        <w:rPr>
          <w:rFonts w:hint="eastAsia" w:ascii="仿宋" w:hAnsi="仿宋" w:eastAsia="仿宋"/>
          <w:color w:val="000000"/>
          <w:sz w:val="32"/>
          <w:szCs w:val="32"/>
        </w:rPr>
        <w:t>节约部分全额结转下年使用。</w:t>
      </w:r>
    </w:p>
    <w:p>
      <w:pPr>
        <w:snapToGrid w:val="0"/>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、项目的效果性分析，全年工作都能按进度完成，全年开展各类活动</w:t>
      </w:r>
      <w:r>
        <w:rPr>
          <w:rFonts w:hint="eastAsia" w:ascii="仿宋" w:hAnsi="仿宋" w:eastAsia="仿宋" w:cs="仿宋_GB2312"/>
          <w:sz w:val="32"/>
          <w:szCs w:val="32"/>
          <w:lang w:val="en-US" w:eastAsia="zh-CN"/>
        </w:rPr>
        <w:t>35</w:t>
      </w:r>
      <w:r>
        <w:rPr>
          <w:rFonts w:hint="eastAsia" w:ascii="仿宋" w:hAnsi="仿宋" w:eastAsia="仿宋" w:cs="仿宋_GB2312"/>
          <w:sz w:val="32"/>
          <w:szCs w:val="32"/>
        </w:rPr>
        <w:t>次，超出预算25%，宣传报道200余次，超出预算25%，各类评选活动和创建活动都按时保质保量的完成。</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ascii="仿宋" w:hAnsi="仿宋" w:eastAsia="仿宋" w:cs="仿宋_GB2312"/>
          <w:sz w:val="32"/>
          <w:szCs w:val="32"/>
          <w:highlight w:val="yellow"/>
        </w:rPr>
      </w:pPr>
      <w:r>
        <w:rPr>
          <w:rFonts w:ascii="仿宋" w:hAnsi="仿宋" w:eastAsia="仿宋" w:cs="仿宋_GB2312"/>
          <w:sz w:val="32"/>
          <w:szCs w:val="32"/>
        </w:rPr>
        <w:t>3</w:t>
      </w:r>
      <w:r>
        <w:rPr>
          <w:rFonts w:hint="eastAsia" w:ascii="仿宋" w:hAnsi="仿宋" w:eastAsia="仿宋" w:cs="仿宋_GB2312"/>
          <w:sz w:val="32"/>
          <w:szCs w:val="32"/>
        </w:rPr>
        <w:t>、项目的效益性分析，通过一年来项目的实施，全县妇女儿童事业上了一个新的台阶。</w:t>
      </w:r>
      <w:r>
        <w:rPr>
          <w:rFonts w:hint="eastAsia" w:ascii="仿宋" w:hAnsi="仿宋" w:eastAsia="仿宋" w:cs="仿宋_GB2312"/>
          <w:sz w:val="32"/>
          <w:szCs w:val="32"/>
          <w:lang w:val="en-US" w:eastAsia="zh-CN"/>
        </w:rPr>
        <w:t>2018年，</w:t>
      </w:r>
      <w:r>
        <w:rPr>
          <w:rFonts w:hint="eastAsia" w:ascii="仿宋" w:hAnsi="仿宋" w:eastAsia="仿宋" w:cs="仿宋_GB2312"/>
          <w:sz w:val="32"/>
          <w:szCs w:val="32"/>
          <w:lang w:eastAsia="zh-CN"/>
        </w:rPr>
        <w:t>全面完成了县级妇联改革，</w:t>
      </w:r>
      <w:r>
        <w:rPr>
          <w:rFonts w:hint="eastAsia" w:ascii="仿宋" w:hAnsi="仿宋" w:eastAsia="仿宋" w:cs="仿宋_GB2312"/>
          <w:sz w:val="32"/>
          <w:szCs w:val="32"/>
        </w:rPr>
        <w:t>在已有1名主席和2名专职副主席的基础上，</w:t>
      </w:r>
      <w:r>
        <w:rPr>
          <w:rFonts w:hint="eastAsia" w:ascii="仿宋" w:hAnsi="仿宋" w:eastAsia="仿宋" w:cs="仿宋_GB2312"/>
          <w:sz w:val="32"/>
          <w:szCs w:val="32"/>
          <w:lang w:eastAsia="zh-CN"/>
        </w:rPr>
        <w:t>配备了</w:t>
      </w:r>
      <w:r>
        <w:rPr>
          <w:rFonts w:hint="eastAsia" w:ascii="仿宋" w:hAnsi="仿宋" w:eastAsia="仿宋" w:cs="仿宋_GB2312"/>
          <w:sz w:val="32"/>
          <w:szCs w:val="32"/>
        </w:rPr>
        <w:t>3位兼职副主席和1位挂职副主席，打造专职、挂职、兼职相结合的机关干部队伍。全面推动18个乡镇妇联区域化改革工作，整合资源在18个乡镇打造了“一家一校四中心”（一个妇女儿童之家、一所女子培训学校、妇女儿童维权服务中心、妇女儿童文体活动中心、巾帼志愿者服务中心、文明家教家风普及中心），在每个乡镇确立1个示范村开展“妇女儿童之家”规范化建设</w:t>
      </w:r>
      <w:r>
        <w:rPr>
          <w:rFonts w:hint="eastAsia" w:ascii="仿宋" w:hAnsi="仿宋" w:eastAsia="仿宋" w:cs="Arial"/>
          <w:sz w:val="32"/>
          <w:szCs w:val="32"/>
        </w:rPr>
        <w:t>。</w:t>
      </w:r>
      <w:r>
        <w:rPr>
          <w:rFonts w:hint="eastAsia" w:ascii="仿宋" w:hAnsi="仿宋" w:eastAsia="仿宋" w:cs="仿宋"/>
          <w:sz w:val="32"/>
          <w:szCs w:val="32"/>
        </w:rPr>
        <w:t>开通了微信公众号，建立乡镇妇联主席微信群、乡镇执委工作群、村执委工作群、村妇联主席工作群、执委联系</w:t>
      </w:r>
      <w:r>
        <w:rPr>
          <w:rFonts w:hint="eastAsia" w:ascii="仿宋" w:hAnsi="仿宋" w:eastAsia="仿宋" w:cs="仿宋_GB2312"/>
          <w:sz w:val="32"/>
          <w:szCs w:val="32"/>
        </w:rPr>
        <w:t>群众群等微信工作群，形成了妇联新媒体工作网络。</w:t>
      </w:r>
      <w:r>
        <w:rPr>
          <w:rFonts w:hint="eastAsia" w:ascii="仿宋" w:hAnsi="仿宋" w:eastAsia="仿宋" w:cs="Arial"/>
          <w:sz w:val="32"/>
          <w:szCs w:val="32"/>
        </w:rPr>
        <w:t>2018年创建市级巾帼脱贫示范基地1个——芷江春知蓝笋业开发有限公司，发动基地为辐射范围内的贫困妇女提供支持和帮助，</w:t>
      </w:r>
      <w:r>
        <w:rPr>
          <w:rFonts w:hint="eastAsia" w:ascii="仿宋" w:hAnsi="仿宋" w:eastAsia="仿宋" w:cs="Arial"/>
          <w:sz w:val="32"/>
          <w:szCs w:val="32"/>
          <w:lang w:eastAsia="zh-CN"/>
        </w:rPr>
        <w:t>并建立</w:t>
      </w:r>
      <w:r>
        <w:rPr>
          <w:rFonts w:hint="eastAsia" w:ascii="仿宋" w:hAnsi="仿宋" w:eastAsia="仿宋" w:cs="Arial"/>
          <w:sz w:val="32"/>
          <w:szCs w:val="32"/>
          <w:lang w:val="en-US" w:eastAsia="zh-CN"/>
        </w:rPr>
        <w:t>1个“巾帼扶贫车间”，</w:t>
      </w:r>
      <w:r>
        <w:rPr>
          <w:rFonts w:hint="eastAsia" w:ascii="仿宋" w:hAnsi="仿宋" w:eastAsia="仿宋" w:cs="Arial"/>
          <w:sz w:val="32"/>
          <w:szCs w:val="32"/>
          <w:lang w:eastAsia="zh-CN"/>
        </w:rPr>
        <w:t>帮助</w:t>
      </w:r>
      <w:r>
        <w:rPr>
          <w:rFonts w:hint="eastAsia" w:ascii="仿宋" w:hAnsi="仿宋" w:eastAsia="仿宋" w:cs="Arial"/>
          <w:sz w:val="32"/>
          <w:szCs w:val="32"/>
          <w:lang w:val="en-US" w:eastAsia="zh-CN"/>
        </w:rPr>
        <w:t>338名贫困妇女就业，</w:t>
      </w:r>
      <w:r>
        <w:rPr>
          <w:rFonts w:hint="eastAsia" w:ascii="仿宋" w:hAnsi="仿宋" w:eastAsia="仿宋" w:cs="Arial"/>
          <w:sz w:val="32"/>
          <w:szCs w:val="32"/>
        </w:rPr>
        <w:t>带动周边100户群众增收致富</w:t>
      </w:r>
      <w:r>
        <w:rPr>
          <w:rFonts w:hint="eastAsia" w:ascii="仿宋" w:hAnsi="仿宋" w:eastAsia="仿宋" w:cs="Arial"/>
          <w:sz w:val="32"/>
          <w:szCs w:val="32"/>
          <w:lang w:eastAsia="zh-CN"/>
        </w:rPr>
        <w:t>。</w:t>
      </w:r>
      <w:r>
        <w:rPr>
          <w:rFonts w:hint="eastAsia" w:ascii="仿宋" w:hAnsi="仿宋" w:eastAsia="仿宋" w:cs="Times New Roman"/>
          <w:color w:val="000000"/>
          <w:sz w:val="32"/>
          <w:szCs w:val="32"/>
        </w:rPr>
        <w:t>联合芷江同诚职业培训学校开展妇女技能培训5期，培训妇女132人，获得人社部门职业资格证103人，其中建档立卡贫困妇女33人</w:t>
      </w:r>
      <w:r>
        <w:rPr>
          <w:rFonts w:hint="eastAsia" w:ascii="仿宋" w:hAnsi="仿宋" w:eastAsia="仿宋" w:cs="Times New Roman"/>
          <w:color w:val="000000"/>
          <w:sz w:val="32"/>
          <w:szCs w:val="32"/>
          <w:lang w:val="en-US" w:eastAsia="zh-CN"/>
        </w:rPr>
        <w:t>,全年共</w:t>
      </w:r>
      <w:r>
        <w:rPr>
          <w:rFonts w:hint="eastAsia" w:ascii="仿宋" w:hAnsi="仿宋" w:eastAsia="仿宋" w:cs="仿宋_GB2312"/>
          <w:sz w:val="32"/>
          <w:szCs w:val="32"/>
        </w:rPr>
        <w:t>开展</w:t>
      </w:r>
      <w:r>
        <w:rPr>
          <w:rFonts w:hint="eastAsia" w:ascii="仿宋" w:hAnsi="仿宋" w:eastAsia="仿宋" w:cs="仿宋_GB2312"/>
          <w:sz w:val="32"/>
          <w:szCs w:val="32"/>
          <w:lang w:eastAsia="zh-CN"/>
        </w:rPr>
        <w:t>各类</w:t>
      </w:r>
      <w:r>
        <w:rPr>
          <w:rFonts w:hint="eastAsia" w:ascii="仿宋" w:hAnsi="仿宋" w:eastAsia="仿宋" w:cs="仿宋_GB2312"/>
          <w:sz w:val="32"/>
          <w:szCs w:val="32"/>
        </w:rPr>
        <w:t>妇女技能培训</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期1000余人次</w:t>
      </w:r>
      <w:r>
        <w:rPr>
          <w:rFonts w:hint="eastAsia" w:ascii="仿宋" w:hAnsi="仿宋" w:eastAsia="仿宋" w:cs="仿宋_GB2312"/>
          <w:sz w:val="32"/>
          <w:szCs w:val="32"/>
          <w:lang w:eastAsia="zh-CN"/>
        </w:rPr>
        <w:t>。</w:t>
      </w:r>
      <w:r>
        <w:rPr>
          <w:rFonts w:hint="eastAsia" w:ascii="仿宋" w:hAnsi="仿宋" w:eastAsia="仿宋" w:cs="Arial"/>
          <w:sz w:val="32"/>
          <w:szCs w:val="32"/>
        </w:rPr>
        <w:t>2018年2月，与人社部门共同开展“春风行动”大型招聘会，</w:t>
      </w:r>
      <w:r>
        <w:rPr>
          <w:rFonts w:hint="eastAsia" w:ascii="仿宋" w:hAnsi="仿宋" w:eastAsia="仿宋" w:cs="Arial"/>
          <w:color w:val="auto"/>
          <w:sz w:val="32"/>
          <w:szCs w:val="32"/>
        </w:rPr>
        <w:t>参加招聘企业达40多家，提供岗位3000余个，参加求职10000余人，成功输送就业人员3000多人，其中女性1000余名。</w:t>
      </w:r>
      <w:r>
        <w:rPr>
          <w:rFonts w:hint="eastAsia" w:ascii="仿宋" w:hAnsi="仿宋" w:eastAsia="仿宋" w:cs="仿宋_GB2312"/>
          <w:sz w:val="32"/>
          <w:szCs w:val="32"/>
        </w:rPr>
        <w:t>全年开展巾帼志愿者服务活动10多次，关爱贫困妇女和儿童200余人，救助资金达</w:t>
      </w:r>
      <w:r>
        <w:rPr>
          <w:rFonts w:hint="eastAsia" w:ascii="仿宋" w:hAnsi="仿宋" w:eastAsia="仿宋" w:cs="仿宋_GB2312"/>
          <w:sz w:val="32"/>
          <w:szCs w:val="32"/>
          <w:lang w:val="en-US" w:eastAsia="zh-CN"/>
        </w:rPr>
        <w:t>18.5</w:t>
      </w:r>
      <w:r>
        <w:rPr>
          <w:rFonts w:hint="eastAsia" w:ascii="仿宋" w:hAnsi="仿宋" w:eastAsia="仿宋" w:cs="仿宋_GB2312"/>
          <w:sz w:val="32"/>
          <w:szCs w:val="32"/>
        </w:rPr>
        <w:t>万元；开展县级“最美家庭、最美女性、最美创业”评选活动，成功推荐县地方税务局阙小舜家庭为全市“最美家庭”；全县开展普法宣传活动10余场次，发放宣传资料8300余份，成立妈妈禁毒联盟1个，招募禁毒妈妈30名。</w:t>
      </w:r>
      <w:r>
        <w:rPr>
          <w:rFonts w:hint="eastAsia" w:ascii="仿宋" w:hAnsi="仿宋" w:eastAsia="仿宋" w:cs="仿宋_GB2312"/>
          <w:sz w:val="32"/>
          <w:szCs w:val="32"/>
          <w:lang w:val="en-US" w:eastAsia="zh-CN"/>
        </w:rPr>
        <w:t>2018年</w:t>
      </w:r>
      <w:r>
        <w:rPr>
          <w:rFonts w:hint="eastAsia" w:ascii="仿宋" w:hAnsi="仿宋" w:eastAsia="仿宋" w:cs="仿宋_GB2312"/>
          <w:sz w:val="32"/>
          <w:szCs w:val="32"/>
        </w:rPr>
        <w:t>组织巾帼志愿者服务队到各乡镇设立宣传点，向广大妇女宣传新《妇女权益保障法》、《反家暴决议》等妇女儿童法律法规，为她们提供法律咨询和法律援助，解答群众诉求50多人次，发放宣传资料10000余份。同时，我们开展了家庭律师“五进”活动，</w:t>
      </w:r>
      <w:r>
        <w:rPr>
          <w:rFonts w:hint="eastAsia" w:ascii="仿宋" w:hAnsi="仿宋" w:eastAsia="仿宋" w:cs="仿宋_GB2312"/>
          <w:sz w:val="32"/>
          <w:szCs w:val="32"/>
          <w:lang w:eastAsia="zh-CN"/>
        </w:rPr>
        <w:t>全</w:t>
      </w:r>
      <w:r>
        <w:rPr>
          <w:rFonts w:hint="eastAsia" w:ascii="仿宋" w:hAnsi="仿宋" w:eastAsia="仿宋" w:cs="仿宋_GB2312"/>
          <w:sz w:val="32"/>
          <w:szCs w:val="32"/>
        </w:rPr>
        <w:t>年共举办普法讲座</w:t>
      </w:r>
      <w:r>
        <w:rPr>
          <w:rFonts w:hint="eastAsia" w:ascii="仿宋" w:hAnsi="仿宋" w:eastAsia="仿宋" w:cs="仿宋_GB2312"/>
          <w:sz w:val="32"/>
          <w:szCs w:val="32"/>
          <w:lang w:val="en-US" w:eastAsia="zh-CN"/>
        </w:rPr>
        <w:t>100</w:t>
      </w:r>
      <w:r>
        <w:rPr>
          <w:rFonts w:hint="eastAsia" w:ascii="仿宋" w:hAnsi="仿宋" w:eastAsia="仿宋" w:cs="仿宋_GB2312"/>
          <w:sz w:val="32"/>
          <w:szCs w:val="32"/>
        </w:rPr>
        <w:t>余场次，累计发放宣传资料</w:t>
      </w:r>
      <w:r>
        <w:rPr>
          <w:rFonts w:hint="eastAsia" w:ascii="仿宋" w:hAnsi="仿宋" w:eastAsia="仿宋" w:cs="仿宋_GB2312"/>
          <w:sz w:val="32"/>
          <w:szCs w:val="32"/>
          <w:lang w:val="en-US" w:eastAsia="zh-CN"/>
        </w:rPr>
        <w:t>10000</w:t>
      </w:r>
      <w:r>
        <w:rPr>
          <w:rFonts w:hint="eastAsia" w:ascii="仿宋" w:hAnsi="仿宋" w:eastAsia="仿宋" w:cs="仿宋_GB2312"/>
          <w:sz w:val="32"/>
          <w:szCs w:val="32"/>
        </w:rPr>
        <w:t>余册。超额完成了农村妇女两癌免费检查工作，并成功创建市级“妇女之家”1个，在新闻媒体网络等宣传报道妇女儿童工作200余次，促进了男女平等、家庭和睦、社会和谐。通过开展各类活动，各类培训，宣传报道等，提高了妇女的素质，推动了妇女增收致富能力，维护了妇女儿童的合法权益，促进了家庭和睦、社会和谐，全县妇女儿童事业得到了发展，得到了党委、政府和人民群众的高度认可。</w:t>
      </w:r>
    </w:p>
    <w:p>
      <w:pPr>
        <w:snapToGrid w:val="0"/>
        <w:spacing w:line="6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五、存在的问题</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一是在项目资金管理制度方面还欠完善，专项资金和公用资金有交叉使用现象，在帐务方面没有完全分开。二是在维权方面还做得不够。三是社会对妇女事业发展工作的支持率和满意率还达不到要求。</w:t>
      </w:r>
    </w:p>
    <w:p>
      <w:pPr>
        <w:snapToGrid w:val="0"/>
        <w:spacing w:line="6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六、有关建议</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一是完善现有的管理制度，做到监管有力。二是增加人员，充实队伍，在维权方面安排专人。三是加大宣传力度，增加妇女事业发展的影响力，让社会各界都来关注、支持、参与。</w:t>
      </w:r>
    </w:p>
    <w:p>
      <w:pPr>
        <w:snapToGrid w:val="0"/>
        <w:spacing w:line="600" w:lineRule="exact"/>
        <w:rPr>
          <w:rFonts w:ascii="仿宋" w:hAnsi="仿宋" w:eastAsia="仿宋" w:cs="仿宋_GB2312"/>
          <w:sz w:val="32"/>
          <w:szCs w:val="32"/>
        </w:rPr>
      </w:pPr>
    </w:p>
    <w:p>
      <w:pPr>
        <w:pStyle w:val="2"/>
      </w:pPr>
    </w:p>
    <w:p>
      <w:pPr>
        <w:snapToGrid w:val="0"/>
        <w:spacing w:line="600" w:lineRule="exact"/>
        <w:ind w:firstLine="5600" w:firstLineChars="1750"/>
        <w:rPr>
          <w:rFonts w:ascii="仿宋" w:hAnsi="仿宋" w:eastAsia="仿宋" w:cs="仿宋_GB2312"/>
          <w:sz w:val="32"/>
          <w:szCs w:val="32"/>
        </w:rPr>
      </w:pPr>
      <w:r>
        <w:rPr>
          <w:rFonts w:hint="eastAsia" w:ascii="仿宋" w:hAnsi="仿宋" w:eastAsia="仿宋" w:cs="仿宋_GB2312"/>
          <w:sz w:val="32"/>
          <w:szCs w:val="32"/>
        </w:rPr>
        <w:t>芷江县妇女联合会</w:t>
      </w:r>
    </w:p>
    <w:p>
      <w:pPr>
        <w:snapToGrid w:val="0"/>
        <w:spacing w:line="600" w:lineRule="exact"/>
        <w:ind w:firstLine="960" w:firstLineChars="300"/>
        <w:rPr>
          <w:rFonts w:hint="eastAsia" w:ascii="仿宋" w:hAnsi="仿宋" w:eastAsia="仿宋" w:cs="仿宋_GB2312"/>
          <w:sz w:val="32"/>
          <w:szCs w:val="32"/>
        </w:rPr>
      </w:pPr>
      <w:r>
        <w:rPr>
          <w:rFonts w:ascii="仿宋" w:hAnsi="仿宋" w:eastAsia="仿宋" w:cs="仿宋_GB2312"/>
          <w:sz w:val="32"/>
          <w:szCs w:val="32"/>
        </w:rPr>
        <w:t xml:space="preserve">                            </w:t>
      </w:r>
      <w:r>
        <w:rPr>
          <w:rFonts w:ascii="仿宋_GB2312" w:hAnsi="仿宋_GB2312" w:eastAsia="仿宋_GB2312" w:cs="仿宋_GB2312"/>
          <w:sz w:val="32"/>
          <w:szCs w:val="32"/>
        </w:rPr>
        <w:t xml:space="preserve">  </w:t>
      </w:r>
      <w:r>
        <w:rPr>
          <w:rFonts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年5月</w:t>
      </w:r>
      <w:r>
        <w:rPr>
          <w:rFonts w:ascii="仿宋" w:hAnsi="仿宋" w:eastAsia="仿宋" w:cs="仿宋_GB2312"/>
          <w:sz w:val="32"/>
          <w:szCs w:val="32"/>
        </w:rPr>
        <w:t>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日</w:t>
      </w:r>
    </w:p>
    <w:p>
      <w:pPr>
        <w:pStyle w:val="2"/>
        <w:rPr>
          <w:rFonts w:hint="eastAsia" w:ascii="仿宋" w:hAnsi="仿宋" w:eastAsia="仿宋" w:cs="仿宋_GB2312"/>
          <w:sz w:val="32"/>
          <w:szCs w:val="32"/>
        </w:rPr>
      </w:pPr>
    </w:p>
    <w:tbl>
      <w:tblPr>
        <w:tblW w:w="11085" w:type="dxa"/>
        <w:tblInd w:w="0" w:type="dxa"/>
        <w:shd w:val="clear"/>
        <w:tblLayout w:type="fixed"/>
        <w:tblCellMar>
          <w:top w:w="0" w:type="dxa"/>
          <w:left w:w="0" w:type="dxa"/>
          <w:bottom w:w="0" w:type="dxa"/>
          <w:right w:w="0" w:type="dxa"/>
        </w:tblCellMar>
      </w:tblPr>
      <w:tblGrid>
        <w:gridCol w:w="660"/>
        <w:gridCol w:w="675"/>
        <w:gridCol w:w="705"/>
        <w:gridCol w:w="525"/>
        <w:gridCol w:w="1440"/>
        <w:gridCol w:w="690"/>
        <w:gridCol w:w="1875"/>
        <w:gridCol w:w="2251"/>
        <w:gridCol w:w="1634"/>
        <w:gridCol w:w="630"/>
      </w:tblGrid>
      <w:tr>
        <w:tblPrEx>
          <w:shd w:val="clear"/>
          <w:tblLayout w:type="fixed"/>
          <w:tblCellMar>
            <w:top w:w="0" w:type="dxa"/>
            <w:left w:w="0" w:type="dxa"/>
            <w:bottom w:w="0" w:type="dxa"/>
            <w:right w:w="0" w:type="dxa"/>
          </w:tblCellMar>
        </w:tblPrEx>
        <w:trPr>
          <w:trHeight w:val="720" w:hRule="atLeast"/>
        </w:trPr>
        <w:tc>
          <w:tcPr>
            <w:tcW w:w="11085" w:type="dxa"/>
            <w:gridSpan w:val="10"/>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bdr w:val="none" w:color="auto" w:sz="0" w:space="0"/>
                <w:lang w:val="en-US" w:eastAsia="zh-CN" w:bidi="ar"/>
              </w:rPr>
              <w:t>芷江侗族自治县妇联妇女事业发展项目绩效评价指标</w:t>
            </w:r>
          </w:p>
        </w:tc>
      </w:tr>
      <w:tr>
        <w:tblPrEx>
          <w:tblLayout w:type="fixed"/>
          <w:tblCellMar>
            <w:top w:w="0" w:type="dxa"/>
            <w:left w:w="0" w:type="dxa"/>
            <w:bottom w:w="0" w:type="dxa"/>
            <w:right w:w="0" w:type="dxa"/>
          </w:tblCellMar>
        </w:tblPrEx>
        <w:trPr>
          <w:trHeight w:val="720" w:hRule="atLeast"/>
        </w:trPr>
        <w:tc>
          <w:tcPr>
            <w:tcW w:w="11085" w:type="dxa"/>
            <w:gridSpan w:val="10"/>
            <w:tcBorders>
              <w:top w:val="nil"/>
              <w:left w:val="nil"/>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填报单位：中共芷江侗族自治县妇女联合会</w:t>
            </w:r>
          </w:p>
        </w:tc>
      </w:tr>
      <w:tr>
        <w:tblPrEx>
          <w:tblLayout w:type="fixed"/>
          <w:tblCellMar>
            <w:top w:w="0" w:type="dxa"/>
            <w:left w:w="0" w:type="dxa"/>
            <w:bottom w:w="0" w:type="dxa"/>
            <w:right w:w="0" w:type="dxa"/>
          </w:tblCellMar>
        </w:tblPrEx>
        <w:trPr>
          <w:trHeight w:val="915" w:hRule="atLeast"/>
        </w:trPr>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一级指标</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分值</w:t>
            </w:r>
          </w:p>
        </w:tc>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二级指标</w:t>
            </w:r>
          </w:p>
        </w:tc>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分值</w:t>
            </w: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三级指标</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分值</w:t>
            </w:r>
          </w:p>
        </w:tc>
        <w:tc>
          <w:tcPr>
            <w:tcW w:w="18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指标解释</w:t>
            </w: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评价标准</w:t>
            </w: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评分</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133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投入</w:t>
            </w:r>
          </w:p>
        </w:tc>
        <w:tc>
          <w:tcPr>
            <w:tcW w:w="6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7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 cy="0"/>
                  <wp:effectExtent l="0" t="0" r="0" b="0"/>
                  <wp:wrapNone/>
                  <wp:docPr id="4" name="Line_1"/>
                  <wp:cNvGraphicFramePr/>
                  <a:graphic xmlns:a="http://schemas.openxmlformats.org/drawingml/2006/main">
                    <a:graphicData uri="http://schemas.openxmlformats.org/drawingml/2006/picture">
                      <pic:pic xmlns:pic="http://schemas.openxmlformats.org/drawingml/2006/picture">
                        <pic:nvPicPr>
                          <pic:cNvPr id="4" name="Line_1"/>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color w:val="000000"/>
                <w:kern w:val="0"/>
                <w:sz w:val="18"/>
                <w:szCs w:val="18"/>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 cy="0"/>
                  <wp:effectExtent l="0" t="0" r="0" b="0"/>
                  <wp:wrapNone/>
                  <wp:docPr id="3" name="Line_3"/>
                  <wp:cNvGraphicFramePr/>
                  <a:graphic xmlns:a="http://schemas.openxmlformats.org/drawingml/2006/main">
                    <a:graphicData uri="http://schemas.openxmlformats.org/drawingml/2006/picture">
                      <pic:pic xmlns:pic="http://schemas.openxmlformats.org/drawingml/2006/picture">
                        <pic:nvPicPr>
                          <pic:cNvPr id="3" name="Line_3"/>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color w:val="000000"/>
                <w:kern w:val="0"/>
                <w:sz w:val="18"/>
                <w:szCs w:val="18"/>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 cy="0"/>
                  <wp:effectExtent l="0" t="0" r="0" b="0"/>
                  <wp:wrapNone/>
                  <wp:docPr id="6" name="Line_3_SpCnt_1"/>
                  <wp:cNvGraphicFramePr/>
                  <a:graphic xmlns:a="http://schemas.openxmlformats.org/drawingml/2006/main">
                    <a:graphicData uri="http://schemas.openxmlformats.org/drawingml/2006/picture">
                      <pic:pic xmlns:pic="http://schemas.openxmlformats.org/drawingml/2006/picture">
                        <pic:nvPicPr>
                          <pic:cNvPr id="6" name="Line_3_SpCnt_1"/>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color w:val="000000"/>
                <w:kern w:val="0"/>
                <w:sz w:val="18"/>
                <w:szCs w:val="18"/>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 cy="0"/>
                  <wp:effectExtent l="0" t="0" r="0" b="0"/>
                  <wp:wrapNone/>
                  <wp:docPr id="5" name="Line_2"/>
                  <wp:cNvGraphicFramePr/>
                  <a:graphic xmlns:a="http://schemas.openxmlformats.org/drawingml/2006/main">
                    <a:graphicData uri="http://schemas.openxmlformats.org/drawingml/2006/picture">
                      <pic:pic xmlns:pic="http://schemas.openxmlformats.org/drawingml/2006/picture">
                        <pic:nvPicPr>
                          <pic:cNvPr id="5" name="Line_2"/>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color w:val="000000"/>
                <w:kern w:val="0"/>
                <w:sz w:val="18"/>
                <w:szCs w:val="18"/>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 cy="0"/>
                  <wp:effectExtent l="0" t="0" r="0" b="0"/>
                  <wp:wrapNone/>
                  <wp:docPr id="8" name="Line_5"/>
                  <wp:cNvGraphicFramePr/>
                  <a:graphic xmlns:a="http://schemas.openxmlformats.org/drawingml/2006/main">
                    <a:graphicData uri="http://schemas.openxmlformats.org/drawingml/2006/picture">
                      <pic:pic xmlns:pic="http://schemas.openxmlformats.org/drawingml/2006/picture">
                        <pic:nvPicPr>
                          <pic:cNvPr id="8" name="Line_5"/>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color w:val="000000"/>
                <w:kern w:val="0"/>
                <w:sz w:val="18"/>
                <w:szCs w:val="18"/>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 cy="0"/>
                  <wp:effectExtent l="0" t="0" r="0" b="0"/>
                  <wp:wrapNone/>
                  <wp:docPr id="7" name="Line_1_SpCnt_1"/>
                  <wp:cNvGraphicFramePr/>
                  <a:graphic xmlns:a="http://schemas.openxmlformats.org/drawingml/2006/main">
                    <a:graphicData uri="http://schemas.openxmlformats.org/drawingml/2006/picture">
                      <pic:pic xmlns:pic="http://schemas.openxmlformats.org/drawingml/2006/picture">
                        <pic:nvPicPr>
                          <pic:cNvPr id="7" name="Line_1_SpCnt_1"/>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color w:val="000000"/>
                <w:kern w:val="0"/>
                <w:sz w:val="18"/>
                <w:szCs w:val="18"/>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 cy="0"/>
                  <wp:effectExtent l="0" t="0" r="0" b="0"/>
                  <wp:wrapNone/>
                  <wp:docPr id="2" name="Line_2_SpCnt_1"/>
                  <wp:cNvGraphicFramePr/>
                  <a:graphic xmlns:a="http://schemas.openxmlformats.org/drawingml/2006/main">
                    <a:graphicData uri="http://schemas.openxmlformats.org/drawingml/2006/picture">
                      <pic:pic xmlns:pic="http://schemas.openxmlformats.org/drawingml/2006/picture">
                        <pic:nvPicPr>
                          <pic:cNvPr id="2" name="Line_2_SpCnt_1"/>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color w:val="000000"/>
                <w:kern w:val="0"/>
                <w:sz w:val="18"/>
                <w:szCs w:val="18"/>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 cy="0"/>
                  <wp:effectExtent l="0" t="0" r="0" b="0"/>
                  <wp:wrapNone/>
                  <wp:docPr id="1" name="Line_5_SpCnt_1"/>
                  <wp:cNvGraphicFramePr/>
                  <a:graphic xmlns:a="http://schemas.openxmlformats.org/drawingml/2006/main">
                    <a:graphicData uri="http://schemas.openxmlformats.org/drawingml/2006/picture">
                      <pic:pic xmlns:pic="http://schemas.openxmlformats.org/drawingml/2006/picture">
                        <pic:nvPicPr>
                          <pic:cNvPr id="1" name="Line_5_SpCnt_1"/>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color w:val="000000"/>
                <w:kern w:val="0"/>
                <w:sz w:val="18"/>
                <w:szCs w:val="18"/>
                <w:u w:val="none"/>
                <w:bdr w:val="none" w:color="auto" w:sz="0" w:space="0"/>
                <w:lang w:val="en-US" w:eastAsia="zh-CN" w:bidi="ar"/>
              </w:rPr>
              <w:t>项目立项</w:t>
            </w:r>
          </w:p>
        </w:tc>
        <w:tc>
          <w:tcPr>
            <w:tcW w:w="5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项目立项规范性</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项目的申请、设立过程是否符合相关要求，用以反映和考核项目立项的规范情况。</w:t>
            </w: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①项目按照规定的程序设立1分，否则不记分；                                   ②所提交的文件、材料是否符合相关要求记1分，否则不记分；                                          ③事前经过必要的可行性研究、专家论证、风险评估、集体决策等记1分，否则不记分。                                 </w:t>
            </w: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30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绩效目标合理性</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项目所设定的绩效目标是否依据充分，是否符合客观实际，用以反映和考核项目绩效目标与项目实施的相符情况。</w:t>
            </w: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①符合国家相关法律法规、国民经济发展规划和党委政府决策记1分，否则不记分；             ②与项目实施单位或委托单位职责密切相关记1分，否则不记分；                              ③项目能促进事业发展所需要记1分，否则不记分；                                     ④项目预期产出效益和效果符合正常的业绩水平记1分，否则不记分。</w:t>
            </w: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41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绩效指标明确性</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依据绩效目标设定的绩效指标是否清晰、细化、可衡量等，用以反映和考核项目绩效目标的明细化情况。</w:t>
            </w: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①将项目绩效目标细化分解为具体的绩效指标记1分，否则不记分；                        ②目标能通过清晰、可衡量的指标值予以体现记1分，否则不记分；                                    ③与项目年度任务数或计划数相对应记0.5分，否则不记分；                                            ④与预算确定的项目投资额或资金量相匹配记0.5分，否则不记分。</w:t>
            </w: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79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资金落实</w:t>
            </w:r>
          </w:p>
        </w:tc>
        <w:tc>
          <w:tcPr>
            <w:tcW w:w="5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资金到位率</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资金到位率＝（实际到位资金/计划投入资金）×100%</w:t>
            </w: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资金足额到位记5分，未足额到位按比例计分。</w:t>
            </w: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0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到位及时率</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到位及时率＝（及时到位资金/应到位资金）×100%</w:t>
            </w: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资金按时到位记5分，未按时按比例计分。</w:t>
            </w: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20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过程</w:t>
            </w:r>
          </w:p>
        </w:tc>
        <w:tc>
          <w:tcPr>
            <w:tcW w:w="6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7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业务管理</w:t>
            </w:r>
          </w:p>
        </w:tc>
        <w:tc>
          <w:tcPr>
            <w:tcW w:w="5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管理制度健全性</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项目实施单位的业务管理制度是否健全，用以反映和考核业务管理制度对项目顺利实施的保障情况。</w:t>
            </w: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①已制定或具有相应的业务管理制度记2.5分， 不制定不记分；                                        ②业务管理制度合法、合规、完整记2.5分；不合法、不合规、不完整不记分。</w:t>
            </w: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3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制度执行有效性</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项目实施是否符合相关业务管理规定，用以反映和考核业务管理制度的有效执行情况。</w:t>
            </w: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遵守相关法律法规和业务管理规定记5分，否则不记分。</w:t>
            </w: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4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项目质量可控性</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项目实施至位是否为达到项目质量要求而采取了必需的措施，用以反映和考核项目实施单位对项目质量的控制情况。</w:t>
            </w: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①制定或有相应的项目质量要求或标准记2.5分，否则不记分；                                          ②采取了相应的项目质量检查、验收等必需的控制措施或手段记2.5分，否则不记分。</w:t>
            </w: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1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财务管理</w:t>
            </w:r>
          </w:p>
        </w:tc>
        <w:tc>
          <w:tcPr>
            <w:tcW w:w="5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管理制度健全性</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项目实施单位的财务制度是否健全，用以反映和考核财务管理制度对资金规范、安全运行的保障情况。</w:t>
            </w: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①已制定或具有相应的项目资金管理办法记2.5分，否则不记分；                                           ②项目资金管理办法符合相关财务会计制定记2.5分，否则不记分。</w:t>
            </w: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6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资金使用合规性</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项目资金使用是否符合相关的财务管理制度规定，用以反映和考核项目资金的规范运行情况。</w:t>
            </w: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①符合国家财经法规和财务管理制度以及有关专项资金管理办法的规定记1分,否则不记分；                                                           ②资金的拨付有完整的审批程序和手续记1分,否则不记分；                         ③项目的重大开支经过评估认证记1分,否则不记分；                               ④符合项目预算批复或合同规定的用途记1分,否则不记分；                     </w:t>
            </w: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05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财务监控有效性</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项目单位是否为保障资金的安全、规范运行而采取了必要的监控措施，用以反映和考核项目单位对资金运行的控制情况。</w:t>
            </w: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①已制定或具有相应的监控机制记2.5分，否则不记分；                                       ②采取了相应的财务检查等必要的监控措施或手段记2.5分，否则不记分。</w:t>
            </w: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15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产出</w:t>
            </w:r>
          </w:p>
        </w:tc>
        <w:tc>
          <w:tcPr>
            <w:tcW w:w="6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7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项目产出</w:t>
            </w:r>
          </w:p>
        </w:tc>
        <w:tc>
          <w:tcPr>
            <w:tcW w:w="5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组织网络健全率</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各乡（镇）村（社区）有组织领导，有专人负责，有阵地建设，100%创建“妇女之家”，并开展活动</w:t>
            </w: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达到绩效目标得5分，没达到目标每减少一个百分点扣0.1分。</w:t>
            </w: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0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宣传报道率</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875"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在电视台、怀化妇女网、潇湘女性网等媒体网站宣传报道我县妇女儿童工作动态和成效100次以上</w:t>
            </w: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达到绩效目标得5分，没达到目标每减少一个百分点扣0.1分。</w:t>
            </w: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0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维权率</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帮助贫困妇女和儿童解决实际困难，维护妇女儿童合法权益</w:t>
            </w: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达到绩效目标得5分，没达到目标每减少一个百分点扣0.1分。</w:t>
            </w: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社会参与率</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组织社会各界人士参加巾帼志愿者服务活动4次以上</w:t>
            </w: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达到绩效目标得5分，没达到目标每减少一个百分点扣0.1分。</w:t>
            </w: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1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效果</w:t>
            </w:r>
          </w:p>
        </w:tc>
        <w:tc>
          <w:tcPr>
            <w:tcW w:w="6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7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项目效益</w:t>
            </w:r>
          </w:p>
        </w:tc>
        <w:tc>
          <w:tcPr>
            <w:tcW w:w="5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社会效益</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全县社会各界都来关注和支持妇女儿童事业</w:t>
            </w: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100%为10分，每减少一个百分点扣0.2分。</w:t>
            </w: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1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可持续影响</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全县妇女儿童事业得到发展</w:t>
            </w: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100%稳定为10分，每减少一个百分点扣0.3分。</w:t>
            </w: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公众满意度</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群众知晓度（问卷调查）和满意度（问卷调查）是否关注和支持妇女儿童事业</w:t>
            </w: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群众知晓度＝知晓对象/被调查对象*100%（3分）；群众满意度＝满意对象/被调查对象*100%（3分）；无重大侵害妇女儿童合法权益案件发生（4分）</w:t>
            </w: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90" w:hRule="atLeast"/>
        </w:trPr>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总分</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100</w:t>
            </w:r>
          </w:p>
        </w:tc>
        <w:tc>
          <w:tcPr>
            <w:tcW w:w="18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1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94</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b/>
                <w:i w:val="0"/>
                <w:color w:val="000000"/>
                <w:sz w:val="24"/>
                <w:szCs w:val="24"/>
                <w:u w:val="none"/>
              </w:rPr>
            </w:pPr>
          </w:p>
        </w:tc>
      </w:tr>
    </w:tbl>
    <w:p>
      <w:pPr>
        <w:pStyle w:val="2"/>
        <w:ind w:left="0" w:leftChars="0" w:firstLine="0" w:firstLineChars="0"/>
        <w:rPr>
          <w:rFonts w:hint="eastAsia" w:ascii="仿宋" w:hAnsi="仿宋" w:eastAsia="仿宋" w:cs="仿宋_GB2312"/>
          <w:sz w:val="32"/>
          <w:szCs w:val="32"/>
        </w:rPr>
      </w:pPr>
    </w:p>
    <w:sectPr>
      <w:pgSz w:w="11906" w:h="16838"/>
      <w:pgMar w:top="1587" w:right="1417"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_GBK">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C786D6C"/>
    <w:rsid w:val="00016347"/>
    <w:rsid w:val="000D1F30"/>
    <w:rsid w:val="00146EAF"/>
    <w:rsid w:val="0017014A"/>
    <w:rsid w:val="001A442C"/>
    <w:rsid w:val="001C04E6"/>
    <w:rsid w:val="00223E32"/>
    <w:rsid w:val="002348F6"/>
    <w:rsid w:val="002760B2"/>
    <w:rsid w:val="00280D8E"/>
    <w:rsid w:val="002D35E3"/>
    <w:rsid w:val="002E08E5"/>
    <w:rsid w:val="002F4F03"/>
    <w:rsid w:val="00325832"/>
    <w:rsid w:val="00403C6D"/>
    <w:rsid w:val="00403FDC"/>
    <w:rsid w:val="00471B02"/>
    <w:rsid w:val="004B05E0"/>
    <w:rsid w:val="00581CD2"/>
    <w:rsid w:val="005A5670"/>
    <w:rsid w:val="005D40B1"/>
    <w:rsid w:val="005F1CBD"/>
    <w:rsid w:val="005F56BF"/>
    <w:rsid w:val="00640504"/>
    <w:rsid w:val="006571C0"/>
    <w:rsid w:val="00713A97"/>
    <w:rsid w:val="00783A21"/>
    <w:rsid w:val="007B3FEA"/>
    <w:rsid w:val="007C5A1B"/>
    <w:rsid w:val="00843482"/>
    <w:rsid w:val="008803E9"/>
    <w:rsid w:val="008A126F"/>
    <w:rsid w:val="008E3759"/>
    <w:rsid w:val="009260A4"/>
    <w:rsid w:val="00927DE1"/>
    <w:rsid w:val="00996C94"/>
    <w:rsid w:val="009E1DA0"/>
    <w:rsid w:val="00A67B2E"/>
    <w:rsid w:val="00A969EB"/>
    <w:rsid w:val="00AF0F95"/>
    <w:rsid w:val="00AF28EA"/>
    <w:rsid w:val="00B3081B"/>
    <w:rsid w:val="00B608F8"/>
    <w:rsid w:val="00B949C3"/>
    <w:rsid w:val="00BD6E10"/>
    <w:rsid w:val="00C873F4"/>
    <w:rsid w:val="00CB1234"/>
    <w:rsid w:val="00CE29FA"/>
    <w:rsid w:val="00D03322"/>
    <w:rsid w:val="00EA1485"/>
    <w:rsid w:val="00EA5884"/>
    <w:rsid w:val="00F705FA"/>
    <w:rsid w:val="00FB220A"/>
    <w:rsid w:val="00FC14B6"/>
    <w:rsid w:val="00FE1654"/>
    <w:rsid w:val="00FE3A51"/>
    <w:rsid w:val="09441C74"/>
    <w:rsid w:val="09C25B9F"/>
    <w:rsid w:val="0A2D541E"/>
    <w:rsid w:val="0C624A04"/>
    <w:rsid w:val="0E13498A"/>
    <w:rsid w:val="1B9E2340"/>
    <w:rsid w:val="1C786D6C"/>
    <w:rsid w:val="1CEC69B7"/>
    <w:rsid w:val="208A5127"/>
    <w:rsid w:val="24462512"/>
    <w:rsid w:val="29594B87"/>
    <w:rsid w:val="2B433027"/>
    <w:rsid w:val="41280B04"/>
    <w:rsid w:val="4C7D36E9"/>
    <w:rsid w:val="524B4A94"/>
    <w:rsid w:val="53D50B22"/>
    <w:rsid w:val="5469332B"/>
    <w:rsid w:val="55681745"/>
    <w:rsid w:val="55981AA3"/>
    <w:rsid w:val="5CF64668"/>
    <w:rsid w:val="5DAC1804"/>
    <w:rsid w:val="5E5472EA"/>
    <w:rsid w:val="678C22B1"/>
    <w:rsid w:val="684A6A82"/>
    <w:rsid w:val="698E10E5"/>
    <w:rsid w:val="6EE1642E"/>
    <w:rsid w:val="77681263"/>
    <w:rsid w:val="7A6E7D3A"/>
    <w:rsid w:val="7B366D02"/>
    <w:rsid w:val="7CFA2CE2"/>
    <w:rsid w:val="7FE56E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FollowedHyperlink"/>
    <w:basedOn w:val="8"/>
    <w:semiHidden/>
    <w:unhideWhenUsed/>
    <w:qFormat/>
    <w:uiPriority w:val="99"/>
    <w:rPr>
      <w:color w:val="000000"/>
      <w:u w:val="none"/>
    </w:rPr>
  </w:style>
  <w:style w:type="character" w:styleId="10">
    <w:name w:val="Emphasis"/>
    <w:basedOn w:val="8"/>
    <w:qFormat/>
    <w:locked/>
    <w:uiPriority w:val="0"/>
  </w:style>
  <w:style w:type="character" w:styleId="11">
    <w:name w:val="HTML Definition"/>
    <w:basedOn w:val="8"/>
    <w:semiHidden/>
    <w:unhideWhenUsed/>
    <w:uiPriority w:val="99"/>
  </w:style>
  <w:style w:type="character" w:styleId="12">
    <w:name w:val="HTML Variable"/>
    <w:basedOn w:val="8"/>
    <w:semiHidden/>
    <w:unhideWhenUsed/>
    <w:qFormat/>
    <w:uiPriority w:val="99"/>
  </w:style>
  <w:style w:type="character" w:styleId="13">
    <w:name w:val="Hyperlink"/>
    <w:basedOn w:val="8"/>
    <w:semiHidden/>
    <w:unhideWhenUsed/>
    <w:uiPriority w:val="99"/>
    <w:rPr>
      <w:color w:val="000000"/>
      <w:u w:val="none"/>
    </w:rPr>
  </w:style>
  <w:style w:type="character" w:styleId="14">
    <w:name w:val="HTML Cite"/>
    <w:basedOn w:val="8"/>
    <w:semiHidden/>
    <w:unhideWhenUsed/>
    <w:uiPriority w:val="99"/>
  </w:style>
  <w:style w:type="character" w:customStyle="1" w:styleId="15">
    <w:name w:val="页眉 Char"/>
    <w:basedOn w:val="8"/>
    <w:link w:val="5"/>
    <w:semiHidden/>
    <w:qFormat/>
    <w:uiPriority w:val="99"/>
    <w:rPr>
      <w:sz w:val="18"/>
      <w:szCs w:val="18"/>
    </w:rPr>
  </w:style>
  <w:style w:type="character" w:customStyle="1" w:styleId="16">
    <w:name w:val="页脚 Char"/>
    <w:basedOn w:val="8"/>
    <w:link w:val="4"/>
    <w:semiHidden/>
    <w:qFormat/>
    <w:uiPriority w:val="99"/>
    <w:rPr>
      <w:sz w:val="18"/>
      <w:szCs w:val="18"/>
    </w:rPr>
  </w:style>
  <w:style w:type="character" w:customStyle="1" w:styleId="17">
    <w:name w:val="bsharetext"/>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205</Words>
  <Characters>1170</Characters>
  <Lines>9</Lines>
  <Paragraphs>2</Paragraphs>
  <TotalTime>3</TotalTime>
  <ScaleCrop>false</ScaleCrop>
  <LinksUpToDate>false</LinksUpToDate>
  <CharactersWithSpaces>1373</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2017-03-13T08:56:00Z</dcterms:created>
  <dc:creator>Administrator</dc:creator>
  <cp:lastModifiedBy>Administrator</cp:lastModifiedBy>
  <cp:lastPrinted>2017-05-06T11:33:00Z</cp:lastPrinted>
  <dcterms:modified xsi:type="dcterms:W3CDTF">2019-07-05T03:38:20Z</dcterms:modified>
  <dc:title>芷江县政协常委会会议经费专项资金绩效评价报告</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