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cs="方正大标宋_GBK"/>
          <w:sz w:val="44"/>
          <w:szCs w:val="44"/>
        </w:rPr>
      </w:pPr>
    </w:p>
    <w:p>
      <w:pPr>
        <w:jc w:val="center"/>
        <w:rPr>
          <w:rFonts w:hint="eastAsia" w:ascii="黑体" w:hAnsi="黑体" w:eastAsia="黑体" w:cs="黑体"/>
          <w:b/>
          <w:sz w:val="44"/>
          <w:szCs w:val="44"/>
        </w:rPr>
      </w:pPr>
      <w:r>
        <w:rPr>
          <w:rFonts w:hint="eastAsia" w:ascii="黑体" w:hAnsi="黑体" w:eastAsia="黑体" w:cs="黑体"/>
          <w:b/>
          <w:sz w:val="44"/>
          <w:szCs w:val="44"/>
        </w:rPr>
        <w:t>芷江县201</w:t>
      </w:r>
      <w:r>
        <w:rPr>
          <w:rFonts w:hint="eastAsia" w:ascii="黑体" w:hAnsi="黑体" w:eastAsia="黑体" w:cs="黑体"/>
          <w:b/>
          <w:sz w:val="44"/>
          <w:szCs w:val="44"/>
          <w:lang w:val="en-US" w:eastAsia="zh-CN"/>
        </w:rPr>
        <w:t>8</w:t>
      </w:r>
      <w:r>
        <w:rPr>
          <w:rFonts w:hint="eastAsia" w:ascii="黑体" w:hAnsi="黑体" w:eastAsia="黑体" w:cs="黑体"/>
          <w:b/>
          <w:sz w:val="44"/>
          <w:szCs w:val="44"/>
        </w:rPr>
        <w:t>年妇儿工委项目支出绩效评价</w:t>
      </w:r>
    </w:p>
    <w:p>
      <w:pPr>
        <w:jc w:val="center"/>
        <w:rPr>
          <w:rFonts w:hint="eastAsia" w:ascii="黑体" w:hAnsi="黑体" w:eastAsia="黑体" w:cs="黑体"/>
          <w:b/>
          <w:sz w:val="44"/>
          <w:szCs w:val="44"/>
        </w:rPr>
      </w:pPr>
      <w:r>
        <w:rPr>
          <w:rFonts w:hint="eastAsia" w:ascii="黑体" w:hAnsi="黑体" w:eastAsia="黑体" w:cs="黑体"/>
          <w:b/>
          <w:sz w:val="44"/>
          <w:szCs w:val="44"/>
        </w:rPr>
        <w:t>报  告</w:t>
      </w:r>
    </w:p>
    <w:p>
      <w:pPr>
        <w:pStyle w:val="2"/>
        <w:rPr>
          <w:rFonts w:hint="eastAsia"/>
        </w:rPr>
      </w:pP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一、项目基本情况</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、项目概况：维护妇女儿童合法权益，促进男女平等。</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、项目绩效总目标为：</w:t>
      </w:r>
      <w:r>
        <w:rPr>
          <w:rFonts w:hint="eastAsia" w:ascii="仿宋" w:hAnsi="仿宋" w:eastAsia="仿宋" w:cs="仿宋_GB2312"/>
          <w:sz w:val="32"/>
          <w:szCs w:val="32"/>
          <w:lang w:eastAsia="zh-CN"/>
        </w:rPr>
        <w:t>推动</w:t>
      </w:r>
      <w:r>
        <w:rPr>
          <w:rFonts w:hint="eastAsia" w:ascii="仿宋" w:hAnsi="仿宋" w:eastAsia="仿宋" w:cs="仿宋_GB2312"/>
          <w:sz w:val="32"/>
          <w:szCs w:val="32"/>
        </w:rPr>
        <w:t>《2016－2020芷江侗簇自治县妇女儿童发展规划》</w:t>
      </w:r>
      <w:r>
        <w:rPr>
          <w:rFonts w:hint="eastAsia" w:ascii="仿宋" w:hAnsi="仿宋" w:eastAsia="仿宋" w:cs="仿宋_GB2312"/>
          <w:sz w:val="32"/>
          <w:szCs w:val="32"/>
          <w:lang w:eastAsia="zh-CN"/>
        </w:rPr>
        <w:t>顺利实施</w:t>
      </w:r>
      <w:r>
        <w:rPr>
          <w:rFonts w:hint="eastAsia" w:ascii="仿宋" w:hAnsi="仿宋" w:eastAsia="仿宋" w:cs="仿宋_GB2312"/>
          <w:sz w:val="32"/>
          <w:szCs w:val="32"/>
        </w:rPr>
        <w:t>，推进妇女儿童事业与经济社会同步发展</w:t>
      </w:r>
      <w:r>
        <w:rPr>
          <w:rFonts w:hint="eastAsia" w:ascii="仿宋" w:hAnsi="仿宋" w:eastAsia="仿宋" w:cs="仿宋_GB2312"/>
          <w:sz w:val="32"/>
          <w:szCs w:val="32"/>
          <w:lang w:eastAsia="zh-CN"/>
        </w:rPr>
        <w:t>，</w:t>
      </w:r>
      <w:r>
        <w:rPr>
          <w:rFonts w:hint="eastAsia" w:ascii="仿宋" w:hAnsi="仿宋" w:eastAsia="仿宋" w:cs="仿宋_GB2312"/>
          <w:sz w:val="32"/>
          <w:szCs w:val="32"/>
        </w:rPr>
        <w:t>加大宣传力度，促进男女平等</w:t>
      </w:r>
      <w:r>
        <w:rPr>
          <w:rFonts w:hint="eastAsia" w:ascii="仿宋" w:hAnsi="仿宋" w:eastAsia="仿宋" w:cs="仿宋_GB2312"/>
          <w:sz w:val="32"/>
          <w:szCs w:val="32"/>
          <w:lang w:eastAsia="zh-CN"/>
        </w:rPr>
        <w:t>，</w:t>
      </w:r>
      <w:r>
        <w:rPr>
          <w:rFonts w:hint="eastAsia" w:ascii="仿宋" w:hAnsi="仿宋" w:eastAsia="仿宋" w:cs="仿宋_GB2312"/>
          <w:sz w:val="32"/>
          <w:szCs w:val="32"/>
        </w:rPr>
        <w:t>结对帮扶儿童20名，救助贫困妇女10人。</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、项目实施情况：根据年初预算、项目资金在年初就已经安排到位，在资金管理和组织上都能按照相关政策和规定执行，没有因管理不善出现资金上的损失。</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二、绩效评价工作情况</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、绩效评价目的：</w:t>
      </w:r>
      <w:r>
        <w:rPr>
          <w:rFonts w:hint="eastAsia" w:ascii="仿宋" w:hAnsi="仿宋" w:eastAsia="仿宋"/>
          <w:sz w:val="32"/>
          <w:szCs w:val="32"/>
        </w:rPr>
        <w:t>加强专项资金管理，促进财政资金的合理利用，提高资金使用效益，确保妇儿工委专项资金的安全性、规范性和有效性。</w:t>
      </w:r>
    </w:p>
    <w:p>
      <w:pPr>
        <w:snapToGrid w:val="0"/>
        <w:spacing w:line="600" w:lineRule="exact"/>
        <w:ind w:firstLine="800" w:firstLineChars="25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、绩效评价工作过程：年初就制定好相应的工作计划，提出具体的工作目标，把目标任务分解到各乡镇，实行目标管理责任制，年终按目标要求进行严格考核。</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三、综合评价情况及评论结论</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经过自评得分为</w:t>
      </w:r>
      <w:r>
        <w:rPr>
          <w:rFonts w:hint="eastAsia" w:ascii="仿宋" w:hAnsi="仿宋" w:eastAsia="仿宋" w:cs="仿宋_GB2312"/>
          <w:sz w:val="32"/>
          <w:szCs w:val="32"/>
          <w:lang w:val="en-US" w:eastAsia="zh-CN"/>
        </w:rPr>
        <w:t>94</w:t>
      </w:r>
      <w:r>
        <w:rPr>
          <w:rFonts w:hint="eastAsia" w:ascii="仿宋" w:hAnsi="仿宋" w:eastAsia="仿宋" w:cs="仿宋_GB2312"/>
          <w:sz w:val="32"/>
          <w:szCs w:val="32"/>
        </w:rPr>
        <w:t>分，为优秀等次。</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四、项目主要绩效情况分析</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1、项目经济性分析，根据财政预算项目资金安排，规模上没有突破，</w:t>
      </w:r>
      <w:r>
        <w:rPr>
          <w:rFonts w:hint="eastAsia" w:ascii="仿宋" w:hAnsi="仿宋" w:eastAsia="仿宋" w:cs="仿宋"/>
          <w:color w:val="000000"/>
          <w:sz w:val="32"/>
          <w:szCs w:val="32"/>
        </w:rPr>
        <w:t>节约部分全额结转下年使用。</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2、项目的效果性分析，全年工作都能按进度完成，有力促进男女平等。</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28"/>
          <w:szCs w:val="28"/>
          <w:highlight w:val="yellow"/>
        </w:rPr>
      </w:pPr>
      <w:r>
        <w:rPr>
          <w:rFonts w:hint="eastAsia" w:ascii="仿宋" w:hAnsi="仿宋" w:eastAsia="仿宋" w:cs="仿宋"/>
          <w:sz w:val="32"/>
          <w:szCs w:val="32"/>
        </w:rPr>
        <w:t>3、</w:t>
      </w:r>
      <w:r>
        <w:rPr>
          <w:rFonts w:hint="eastAsia" w:ascii="仿宋" w:hAnsi="仿宋" w:eastAsia="仿宋" w:cs="仿宋"/>
          <w:color w:val="000000"/>
          <w:sz w:val="32"/>
          <w:szCs w:val="32"/>
        </w:rPr>
        <w:t>项目的效益性分析，通过一年来项目的实施，全县妇女儿童工作上了一个新的台阶。全年围绕《芷江侗族自治县妇女发展规划（2016-2020年）》和《芷江侗族自治县儿童发展规划（2016-2020年）》</w:t>
      </w:r>
      <w:r>
        <w:rPr>
          <w:rFonts w:hint="eastAsia" w:ascii="仿宋" w:hAnsi="仿宋" w:eastAsia="仿宋" w:cs="仿宋"/>
          <w:color w:val="000000"/>
          <w:sz w:val="32"/>
          <w:szCs w:val="32"/>
          <w:lang w:eastAsia="zh-CN"/>
        </w:rPr>
        <w:t>的目标要求开展工作，</w:t>
      </w:r>
      <w:r>
        <w:rPr>
          <w:rFonts w:hint="eastAsia" w:ascii="仿宋" w:hAnsi="仿宋" w:eastAsia="仿宋" w:cs="仿宋"/>
          <w:color w:val="000000"/>
          <w:sz w:val="32"/>
          <w:szCs w:val="32"/>
        </w:rPr>
        <w:t>全面梳理各领域指标，对各成员单位的责任进行了分解，并根据规划目标任务的设置，就重点指标和成员单位进行沟通，为新一轮“两纲”监测统计做了充分准备。积极宣传新规划</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编印了新规划宣传册，印发至各成员单位及街道，同时运用各种形式加强宣传，如结合“三八”妇女节和</w:t>
      </w:r>
      <w:r>
        <w:rPr>
          <w:rFonts w:hint="eastAsia" w:ascii="仿宋" w:hAnsi="仿宋" w:eastAsia="仿宋" w:cs="仿宋"/>
          <w:color w:val="000000"/>
          <w:sz w:val="32"/>
          <w:szCs w:val="32"/>
          <w:lang w:eastAsia="zh-CN"/>
        </w:rPr>
        <w:t>“六一”儿童节</w:t>
      </w:r>
      <w:r>
        <w:rPr>
          <w:rFonts w:hint="eastAsia" w:ascii="仿宋" w:hAnsi="仿宋" w:eastAsia="仿宋" w:cs="仿宋"/>
          <w:color w:val="000000"/>
          <w:sz w:val="32"/>
          <w:szCs w:val="32"/>
        </w:rPr>
        <w:t>等节假日，组织志愿者和宣传队上街头、入企业、进社区，采取法律咨询、文艺演出和专题讲座等形式，大力开展男女平等基本国策和有关妇女儿童法律法规的宣传，有效扩大了新规划的知晓率。大力推进女性就业创业及社会保障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联合</w:t>
      </w:r>
      <w:r>
        <w:rPr>
          <w:rFonts w:hint="eastAsia" w:ascii="仿宋" w:hAnsi="仿宋" w:eastAsia="仿宋" w:cs="仿宋"/>
          <w:color w:val="000000"/>
          <w:sz w:val="32"/>
          <w:szCs w:val="32"/>
          <w:lang w:eastAsia="zh-CN"/>
        </w:rPr>
        <w:t>多</w:t>
      </w:r>
      <w:r>
        <w:rPr>
          <w:rFonts w:hint="eastAsia" w:ascii="仿宋" w:hAnsi="仿宋" w:eastAsia="仿宋" w:cs="仿宋"/>
          <w:color w:val="000000"/>
          <w:sz w:val="32"/>
          <w:szCs w:val="32"/>
        </w:rPr>
        <w:t>部门举办了芷江县“春风行动”就业扶贫专场招聘大会，参加招聘企业达40多家，提供岗位3000余个，参加求职10000余人，成功输送就业人员3000多人，其中女性1000余名。联合芷江同诚职业培训学校开展妇女技能培训5期，培训妇女132人，获得人社部门职业资格证103人，其中建档立卡贫困妇女33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全年共</w:t>
      </w:r>
      <w:r>
        <w:rPr>
          <w:rFonts w:hint="eastAsia" w:ascii="仿宋" w:hAnsi="仿宋" w:eastAsia="仿宋" w:cs="仿宋"/>
          <w:sz w:val="32"/>
          <w:szCs w:val="32"/>
        </w:rPr>
        <w:t>开展</w:t>
      </w:r>
      <w:r>
        <w:rPr>
          <w:rFonts w:hint="eastAsia" w:ascii="仿宋" w:hAnsi="仿宋" w:eastAsia="仿宋" w:cs="仿宋"/>
          <w:sz w:val="32"/>
          <w:szCs w:val="32"/>
          <w:lang w:eastAsia="zh-CN"/>
        </w:rPr>
        <w:t>各类</w:t>
      </w:r>
      <w:r>
        <w:rPr>
          <w:rFonts w:hint="eastAsia" w:ascii="仿宋" w:hAnsi="仿宋" w:eastAsia="仿宋" w:cs="仿宋"/>
          <w:sz w:val="32"/>
          <w:szCs w:val="32"/>
        </w:rPr>
        <w:t>妇女技能培训</w:t>
      </w:r>
      <w:r>
        <w:rPr>
          <w:rFonts w:hint="eastAsia" w:ascii="仿宋" w:hAnsi="仿宋" w:eastAsia="仿宋" w:cs="仿宋"/>
          <w:sz w:val="32"/>
          <w:szCs w:val="32"/>
          <w:lang w:val="en-US" w:eastAsia="zh-CN"/>
        </w:rPr>
        <w:t>10</w:t>
      </w:r>
      <w:r>
        <w:rPr>
          <w:rFonts w:hint="eastAsia" w:ascii="仿宋" w:hAnsi="仿宋" w:eastAsia="仿宋" w:cs="仿宋"/>
          <w:sz w:val="32"/>
          <w:szCs w:val="32"/>
        </w:rPr>
        <w:t>期1000余人次</w:t>
      </w:r>
      <w:r>
        <w:rPr>
          <w:rFonts w:hint="eastAsia" w:ascii="仿宋" w:hAnsi="仿宋" w:eastAsia="仿宋" w:cs="仿宋"/>
          <w:sz w:val="32"/>
          <w:szCs w:val="32"/>
          <w:lang w:eastAsia="zh-CN"/>
        </w:rPr>
        <w:t>。</w:t>
      </w:r>
      <w:r>
        <w:rPr>
          <w:rFonts w:hint="eastAsia" w:ascii="仿宋" w:hAnsi="仿宋" w:eastAsia="仿宋" w:cs="仿宋"/>
          <w:color w:val="000000"/>
          <w:sz w:val="32"/>
          <w:szCs w:val="32"/>
        </w:rPr>
        <w:t>创建市级巾帼脱贫示范基地1个——芷江春知蓝笋业开发有限公司，发动基地为辐射范围内的贫困妇女提供支持和帮助，带动周边100户群众增收致富。大力开展农村适龄妇女“两癌”免费检查工作，</w:t>
      </w:r>
      <w:r>
        <w:rPr>
          <w:rFonts w:hint="eastAsia" w:ascii="仿宋" w:hAnsi="仿宋" w:eastAsia="仿宋" w:cs="仿宋"/>
          <w:color w:val="000000"/>
          <w:sz w:val="32"/>
          <w:szCs w:val="32"/>
          <w:lang w:eastAsia="zh-CN"/>
        </w:rPr>
        <w:t>全年</w:t>
      </w:r>
      <w:r>
        <w:rPr>
          <w:rFonts w:hint="eastAsia" w:ascii="仿宋" w:hAnsi="仿宋" w:eastAsia="仿宋" w:cs="仿宋"/>
          <w:color w:val="000000"/>
          <w:sz w:val="32"/>
          <w:szCs w:val="32"/>
        </w:rPr>
        <w:t>完成检查任务5178人，完成率103.56%</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积极争取上级资金13.6万元，救助了13名两癌的贫困</w:t>
      </w:r>
      <w:r>
        <w:rPr>
          <w:rFonts w:hint="eastAsia" w:ascii="仿宋" w:hAnsi="仿宋" w:eastAsia="仿宋" w:cs="仿宋"/>
          <w:color w:val="000000"/>
          <w:sz w:val="32"/>
          <w:szCs w:val="32"/>
          <w:lang w:eastAsia="zh-CN"/>
        </w:rPr>
        <w:t>妇女</w:t>
      </w:r>
      <w:r>
        <w:rPr>
          <w:rFonts w:hint="eastAsia" w:ascii="仿宋" w:hAnsi="仿宋" w:eastAsia="仿宋" w:cs="仿宋"/>
          <w:color w:val="000000"/>
          <w:sz w:val="32"/>
          <w:szCs w:val="32"/>
        </w:rPr>
        <w:t>。同时从单位的办公经费中挤出2万余元对其他40名没有得到上级救助的两癌患者进行了适当的救助。全年开展巾帼志愿者服务活动10多次，积极联系长沙爱心女企业家解红艳女士，在芷江资助</w:t>
      </w: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位贫困学生，每年为</w:t>
      </w: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位学生捐资助学</w:t>
      </w:r>
      <w:r>
        <w:rPr>
          <w:rFonts w:hint="eastAsia" w:ascii="仿宋" w:hAnsi="仿宋" w:eastAsia="仿宋" w:cs="仿宋"/>
          <w:color w:val="000000"/>
          <w:sz w:val="32"/>
          <w:szCs w:val="32"/>
          <w:lang w:val="en-US" w:eastAsia="zh-CN"/>
        </w:rPr>
        <w:t>8.4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；在荷花池小学</w:t>
      </w:r>
      <w:r>
        <w:rPr>
          <w:rFonts w:hint="eastAsia" w:ascii="仿宋" w:hAnsi="仿宋" w:eastAsia="仿宋" w:cs="仿宋"/>
          <w:color w:val="000000"/>
          <w:sz w:val="32"/>
          <w:szCs w:val="32"/>
        </w:rPr>
        <w:t>举办"</w:t>
      </w:r>
      <w:r>
        <w:rPr>
          <w:rFonts w:hint="eastAsia" w:ascii="仿宋" w:hAnsi="仿宋" w:eastAsia="仿宋" w:cs="仿宋"/>
          <w:color w:val="000000"/>
          <w:sz w:val="32"/>
          <w:szCs w:val="32"/>
          <w:lang w:eastAsia="zh-CN"/>
        </w:rPr>
        <w:t>一家衣善</w:t>
      </w:r>
      <w:r>
        <w:rPr>
          <w:rFonts w:hint="eastAsia" w:ascii="仿宋" w:hAnsi="仿宋" w:eastAsia="仿宋" w:cs="仿宋"/>
          <w:color w:val="000000"/>
          <w:sz w:val="32"/>
          <w:szCs w:val="32"/>
        </w:rPr>
        <w:t>”爱心</w:t>
      </w:r>
      <w:r>
        <w:rPr>
          <w:rFonts w:hint="eastAsia" w:ascii="仿宋" w:hAnsi="仿宋" w:eastAsia="仿宋" w:cs="仿宋"/>
          <w:color w:val="000000"/>
          <w:sz w:val="32"/>
          <w:szCs w:val="32"/>
          <w:lang w:eastAsia="zh-CN"/>
        </w:rPr>
        <w:t>捐助活动</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募集爱心衣物</w:t>
      </w:r>
      <w:r>
        <w:rPr>
          <w:rFonts w:hint="eastAsia" w:ascii="仿宋" w:hAnsi="仿宋" w:eastAsia="仿宋" w:cs="仿宋"/>
          <w:color w:val="000000"/>
          <w:sz w:val="32"/>
          <w:szCs w:val="32"/>
          <w:lang w:val="en-US" w:eastAsia="zh-CN"/>
        </w:rPr>
        <w:t>2万余件</w:t>
      </w:r>
      <w:r>
        <w:rPr>
          <w:rFonts w:hint="eastAsia" w:ascii="仿宋" w:hAnsi="仿宋" w:eastAsia="仿宋" w:cs="仿宋"/>
          <w:color w:val="000000"/>
          <w:sz w:val="32"/>
          <w:szCs w:val="32"/>
        </w:rPr>
        <w:t>；全年累计帮助贫困儿童、贫困家庭200余户，捐资助学5万余元。充分利用“知心屋”这个载体，深切关注农村留守儿童的心理健康问题，聘请社会心理工作者</w:t>
      </w:r>
      <w:r>
        <w:rPr>
          <w:rFonts w:hint="eastAsia" w:ascii="仿宋" w:hAnsi="仿宋" w:eastAsia="仿宋" w:cs="仿宋"/>
          <w:color w:val="000000"/>
          <w:sz w:val="32"/>
          <w:szCs w:val="32"/>
          <w:lang w:eastAsia="zh-CN"/>
        </w:rPr>
        <w:t>朱贝珍</w:t>
      </w:r>
      <w:r>
        <w:rPr>
          <w:rFonts w:hint="eastAsia" w:ascii="仿宋" w:hAnsi="仿宋" w:eastAsia="仿宋" w:cs="仿宋"/>
          <w:color w:val="000000"/>
          <w:sz w:val="32"/>
          <w:szCs w:val="32"/>
        </w:rPr>
        <w:t>在项目点学校为学生开展8次团体辅导活动，对16名学生进行了个别咨询。在新闻媒体网络等宣传报道妇女儿童工作200余次，促进了男女平等、家庭和睦、社会和谐。</w:t>
      </w:r>
      <w:r>
        <w:rPr>
          <w:rFonts w:hint="eastAsia" w:ascii="仿宋" w:hAnsi="仿宋" w:eastAsia="仿宋" w:cs="仿宋"/>
          <w:color w:val="auto"/>
          <w:spacing w:val="-4"/>
          <w:kern w:val="0"/>
          <w:sz w:val="32"/>
          <w:szCs w:val="32"/>
        </w:rPr>
        <w:t>全</w:t>
      </w:r>
      <w:r>
        <w:rPr>
          <w:rFonts w:hint="eastAsia" w:ascii="仿宋" w:hAnsi="仿宋" w:eastAsia="仿宋" w:cs="仿宋"/>
          <w:color w:val="auto"/>
          <w:spacing w:val="-4"/>
          <w:kern w:val="0"/>
          <w:sz w:val="32"/>
          <w:szCs w:val="32"/>
          <w:lang w:eastAsia="zh-CN"/>
        </w:rPr>
        <w:t>年</w:t>
      </w:r>
      <w:r>
        <w:rPr>
          <w:rFonts w:hint="eastAsia" w:ascii="仿宋" w:hAnsi="仿宋" w:eastAsia="仿宋" w:cs="仿宋"/>
          <w:color w:val="auto"/>
          <w:spacing w:val="-4"/>
          <w:kern w:val="0"/>
          <w:sz w:val="32"/>
          <w:szCs w:val="32"/>
        </w:rPr>
        <w:t>开展普法宣传活动10余场次，发放宣传资料8300余份，成立妈妈禁毒联盟1个，招募禁毒妈妈30名</w:t>
      </w:r>
      <w:r>
        <w:rPr>
          <w:rFonts w:hint="eastAsia" w:ascii="仿宋" w:hAnsi="仿宋" w:eastAsia="仿宋" w:cs="仿宋"/>
          <w:color w:val="auto"/>
          <w:spacing w:val="-4"/>
          <w:kern w:val="0"/>
          <w:sz w:val="32"/>
          <w:szCs w:val="32"/>
          <w:lang w:eastAsia="zh-CN"/>
        </w:rPr>
        <w:t>，</w:t>
      </w:r>
      <w:r>
        <w:rPr>
          <w:rFonts w:hint="eastAsia" w:ascii="仿宋" w:hAnsi="仿宋" w:eastAsia="仿宋" w:cs="仿宋"/>
          <w:color w:val="000000"/>
          <w:sz w:val="32"/>
          <w:szCs w:val="32"/>
        </w:rPr>
        <w:t>维护了妇女儿童的合法权益，促进了家庭和睦、社会和谐，全县妇女儿童事业得到了发展，得到了党委、政府和人民群众的高度认可。</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五、存在的问题</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一是在项目资金管理制度方面还欠完善，专项资金和公用资金有交叉使用现象，在帐务方面没有完全分开。二是在维权方面还做得不够。三是社会对妇女事业发展工作的支持率和满意率还达不到要求。</w:t>
      </w:r>
    </w:p>
    <w:p>
      <w:pPr>
        <w:snapToGrid w:val="0"/>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六、有关建议</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一是完善现有的管理制度，做到监管有力。二是增加人员，充实队伍，在维权方面安排专人。三是加大宣传力度，增加妇女事业发展的影响力，让社会各界都来关注、支持、参与。</w:t>
      </w:r>
    </w:p>
    <w:p>
      <w:pPr>
        <w:snapToGrid w:val="0"/>
        <w:spacing w:line="600" w:lineRule="exact"/>
        <w:rPr>
          <w:rFonts w:ascii="仿宋" w:hAnsi="仿宋" w:eastAsia="仿宋" w:cs="仿宋_GB2312"/>
          <w:sz w:val="32"/>
          <w:szCs w:val="32"/>
        </w:rPr>
      </w:pPr>
    </w:p>
    <w:p>
      <w:pPr>
        <w:pStyle w:val="2"/>
        <w:rPr>
          <w:rFonts w:ascii="仿宋" w:hAnsi="仿宋" w:eastAsia="仿宋" w:cs="仿宋_GB2312"/>
          <w:sz w:val="32"/>
          <w:szCs w:val="32"/>
        </w:rPr>
      </w:pPr>
    </w:p>
    <w:p>
      <w:pPr>
        <w:pStyle w:val="2"/>
        <w:rPr>
          <w:rFonts w:ascii="仿宋" w:hAnsi="仿宋" w:eastAsia="仿宋" w:cs="仿宋_GB2312"/>
          <w:sz w:val="32"/>
          <w:szCs w:val="32"/>
        </w:rPr>
      </w:pPr>
    </w:p>
    <w:p>
      <w:pPr>
        <w:snapToGrid w:val="0"/>
        <w:spacing w:line="600" w:lineRule="exact"/>
        <w:ind w:firstLine="5600" w:firstLineChars="1750"/>
        <w:rPr>
          <w:rFonts w:ascii="仿宋" w:hAnsi="仿宋" w:eastAsia="仿宋" w:cs="仿宋_GB2312"/>
          <w:sz w:val="32"/>
          <w:szCs w:val="32"/>
        </w:rPr>
      </w:pPr>
      <w:r>
        <w:rPr>
          <w:rFonts w:hint="eastAsia" w:ascii="仿宋" w:hAnsi="仿宋" w:eastAsia="仿宋" w:cs="仿宋_GB2312"/>
          <w:sz w:val="32"/>
          <w:szCs w:val="32"/>
        </w:rPr>
        <w:t>芷江县妇女联合会</w:t>
      </w:r>
    </w:p>
    <w:p>
      <w:pPr>
        <w:snapToGrid w:val="0"/>
        <w:spacing w:line="600"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 xml:space="preserve">                            </w:t>
      </w:r>
      <w:r>
        <w:rPr>
          <w:rFonts w:ascii="仿宋_GB2312" w:hAnsi="仿宋_GB2312" w:eastAsia="仿宋_GB2312" w:cs="仿宋_GB2312"/>
          <w:sz w:val="32"/>
          <w:szCs w:val="32"/>
        </w:rPr>
        <w:t xml:space="preserve">  </w:t>
      </w: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年5月</w:t>
      </w:r>
      <w:r>
        <w:rPr>
          <w:rFonts w:ascii="仿宋" w:hAnsi="仿宋" w:eastAsia="仿宋" w:cs="仿宋_GB2312"/>
          <w:sz w:val="32"/>
          <w:szCs w:val="32"/>
        </w:rPr>
        <w:t>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日</w:t>
      </w:r>
    </w:p>
    <w:p>
      <w:pPr>
        <w:pStyle w:val="2"/>
        <w:rPr>
          <w:rFonts w:hint="eastAsia" w:ascii="仿宋" w:hAnsi="仿宋" w:eastAsia="仿宋" w:cs="仿宋_GB2312"/>
          <w:sz w:val="32"/>
          <w:szCs w:val="32"/>
        </w:rPr>
      </w:pPr>
    </w:p>
    <w:tbl>
      <w:tblPr>
        <w:tblW w:w="10815" w:type="dxa"/>
        <w:tblInd w:w="0" w:type="dxa"/>
        <w:shd w:val="clear"/>
        <w:tblLayout w:type="fixed"/>
        <w:tblCellMar>
          <w:top w:w="0" w:type="dxa"/>
          <w:left w:w="0" w:type="dxa"/>
          <w:bottom w:w="0" w:type="dxa"/>
          <w:right w:w="0" w:type="dxa"/>
        </w:tblCellMar>
      </w:tblPr>
      <w:tblGrid>
        <w:gridCol w:w="660"/>
        <w:gridCol w:w="675"/>
        <w:gridCol w:w="705"/>
        <w:gridCol w:w="525"/>
        <w:gridCol w:w="1440"/>
        <w:gridCol w:w="690"/>
        <w:gridCol w:w="2220"/>
        <w:gridCol w:w="2280"/>
        <w:gridCol w:w="990"/>
        <w:gridCol w:w="630"/>
      </w:tblGrid>
      <w:tr>
        <w:tblPrEx>
          <w:shd w:val="clear"/>
          <w:tblLayout w:type="fixed"/>
          <w:tblCellMar>
            <w:top w:w="0" w:type="dxa"/>
            <w:left w:w="0" w:type="dxa"/>
            <w:bottom w:w="0" w:type="dxa"/>
            <w:right w:w="0" w:type="dxa"/>
          </w:tblCellMar>
        </w:tblPrEx>
        <w:trPr>
          <w:trHeight w:val="720" w:hRule="atLeast"/>
        </w:trPr>
        <w:tc>
          <w:tcPr>
            <w:tcW w:w="10815" w:type="dxa"/>
            <w:gridSpan w:val="10"/>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bdr w:val="none" w:color="auto" w:sz="0" w:space="0"/>
                <w:lang w:val="en-US" w:eastAsia="zh-CN" w:bidi="ar"/>
              </w:rPr>
              <w:t>芷江侗族自治县妇联妇儿工委项目绩效评价指标</w:t>
            </w:r>
          </w:p>
        </w:tc>
      </w:tr>
      <w:tr>
        <w:tblPrEx>
          <w:tblLayout w:type="fixed"/>
          <w:tblCellMar>
            <w:top w:w="0" w:type="dxa"/>
            <w:left w:w="0" w:type="dxa"/>
            <w:bottom w:w="0" w:type="dxa"/>
            <w:right w:w="0" w:type="dxa"/>
          </w:tblCellMar>
        </w:tblPrEx>
        <w:trPr>
          <w:trHeight w:val="720" w:hRule="atLeast"/>
        </w:trPr>
        <w:tc>
          <w:tcPr>
            <w:tcW w:w="10815" w:type="dxa"/>
            <w:gridSpan w:val="10"/>
            <w:tcBorders>
              <w:top w:val="nil"/>
              <w:left w:val="nil"/>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填报单位：中共芷江侗族自治县妇女联合会</w:t>
            </w:r>
          </w:p>
        </w:tc>
      </w:tr>
      <w:tr>
        <w:tblPrEx>
          <w:tblLayout w:type="fixed"/>
          <w:tblCellMar>
            <w:top w:w="0" w:type="dxa"/>
            <w:left w:w="0" w:type="dxa"/>
            <w:bottom w:w="0" w:type="dxa"/>
            <w:right w:w="0" w:type="dxa"/>
          </w:tblCellMar>
        </w:tblPrEx>
        <w:trPr>
          <w:trHeight w:val="915"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分值</w:t>
            </w:r>
          </w:p>
        </w:tc>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二级指标</w:t>
            </w: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分值</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三级指标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分值</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指标解释</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评价标准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评分</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33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投入</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4" name="Line_1"/>
                  <wp:cNvGraphicFramePr/>
                  <a:graphic xmlns:a="http://schemas.openxmlformats.org/drawingml/2006/main">
                    <a:graphicData uri="http://schemas.openxmlformats.org/drawingml/2006/picture">
                      <pic:pic xmlns:pic="http://schemas.openxmlformats.org/drawingml/2006/picture">
                        <pic:nvPicPr>
                          <pic:cNvPr id="4" name="Line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6" name="Line_3"/>
                  <wp:cNvGraphicFramePr/>
                  <a:graphic xmlns:a="http://schemas.openxmlformats.org/drawingml/2006/main">
                    <a:graphicData uri="http://schemas.openxmlformats.org/drawingml/2006/picture">
                      <pic:pic xmlns:pic="http://schemas.openxmlformats.org/drawingml/2006/picture">
                        <pic:nvPicPr>
                          <pic:cNvPr id="6" name="Line_3"/>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5" name="Line_3_SpCnt_1"/>
                  <wp:cNvGraphicFramePr/>
                  <a:graphic xmlns:a="http://schemas.openxmlformats.org/drawingml/2006/main">
                    <a:graphicData uri="http://schemas.openxmlformats.org/drawingml/2006/picture">
                      <pic:pic xmlns:pic="http://schemas.openxmlformats.org/drawingml/2006/picture">
                        <pic:nvPicPr>
                          <pic:cNvPr id="5" name="Line_3_SpCnt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7" name="Line_2"/>
                  <wp:cNvGraphicFramePr/>
                  <a:graphic xmlns:a="http://schemas.openxmlformats.org/drawingml/2006/main">
                    <a:graphicData uri="http://schemas.openxmlformats.org/drawingml/2006/picture">
                      <pic:pic xmlns:pic="http://schemas.openxmlformats.org/drawingml/2006/picture">
                        <pic:nvPicPr>
                          <pic:cNvPr id="7" name="Line_2"/>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3" name="Line_5"/>
                  <wp:cNvGraphicFramePr/>
                  <a:graphic xmlns:a="http://schemas.openxmlformats.org/drawingml/2006/main">
                    <a:graphicData uri="http://schemas.openxmlformats.org/drawingml/2006/picture">
                      <pic:pic xmlns:pic="http://schemas.openxmlformats.org/drawingml/2006/picture">
                        <pic:nvPicPr>
                          <pic:cNvPr id="3" name="Line_5"/>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1" name="Line_1_SpCnt_1"/>
                  <wp:cNvGraphicFramePr/>
                  <a:graphic xmlns:a="http://schemas.openxmlformats.org/drawingml/2006/main">
                    <a:graphicData uri="http://schemas.openxmlformats.org/drawingml/2006/picture">
                      <pic:pic xmlns:pic="http://schemas.openxmlformats.org/drawingml/2006/picture">
                        <pic:nvPicPr>
                          <pic:cNvPr id="1" name="Line_1_SpCnt_1"/>
                          <pic:cNvPicPr/>
                        </pic:nvPicPr>
                        <pic:blipFill>
                          <a:blip r:embed="rId4"/>
                          <a:stretch>
                            <a:fillRect/>
                          </a:stretch>
                        </pic:blipFill>
                        <pic:spPr>
                          <a:xfrm>
                            <a:off x="0" y="0"/>
                            <a:ext cx="635" cy="0"/>
                          </a:xfrm>
                          <a:prstGeom prst="rect">
                            <a:avLst/>
                          </a:prstGeom>
                          <a:noFill/>
                          <a:ln>
                            <a:noFill/>
                          </a:ln>
                        </pic:spPr>
                      </pic:pic>
                    </a:graphicData>
                  </a:graphic>
                </wp:anchor>
              </w:drawing>
            </w:r>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2" name="Line_2_SpCnt_1"/>
                  <wp:cNvGraphicFramePr/>
                  <a:graphic xmlns:a="http://schemas.openxmlformats.org/drawingml/2006/main">
                    <a:graphicData uri="http://schemas.openxmlformats.org/drawingml/2006/picture">
                      <pic:pic xmlns:pic="http://schemas.openxmlformats.org/drawingml/2006/picture">
                        <pic:nvPicPr>
                          <pic:cNvPr id="2" name="Line_2_SpCnt_1"/>
                          <pic:cNvPicPr/>
                        </pic:nvPicPr>
                        <pic:blipFill>
                          <a:blip r:embed="rId4"/>
                          <a:stretch>
                            <a:fillRect/>
                          </a:stretch>
                        </pic:blipFill>
                        <pic:spPr>
                          <a:xfrm>
                            <a:off x="0" y="0"/>
                            <a:ext cx="635" cy="0"/>
                          </a:xfrm>
                          <a:prstGeom prst="rect">
                            <a:avLst/>
                          </a:prstGeom>
                          <a:noFill/>
                          <a:ln>
                            <a:noFill/>
                          </a:ln>
                        </pic:spPr>
                      </pic:pic>
                    </a:graphicData>
                  </a:graphic>
                </wp:anchor>
              </w:drawing>
            </w:r>
            <w:bookmarkStart w:id="0" w:name="_GoBack"/>
            <w:r>
              <w:rPr>
                <w:rFonts w:hint="eastAsia" w:ascii="宋体" w:hAnsi="宋体" w:eastAsia="宋体" w:cs="宋体"/>
                <w:i w:val="0"/>
                <w:color w:val="000000"/>
                <w:kern w:val="0"/>
                <w:sz w:val="18"/>
                <w:szCs w:val="1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0" t="0" r="0" b="0"/>
                  <wp:wrapNone/>
                  <wp:docPr id="8" name="Line_5_SpCnt_1"/>
                  <wp:cNvGraphicFramePr/>
                  <a:graphic xmlns:a="http://schemas.openxmlformats.org/drawingml/2006/main">
                    <a:graphicData uri="http://schemas.openxmlformats.org/drawingml/2006/picture">
                      <pic:pic xmlns:pic="http://schemas.openxmlformats.org/drawingml/2006/picture">
                        <pic:nvPicPr>
                          <pic:cNvPr id="8" name="Line_5_SpCnt_1"/>
                          <pic:cNvPicPr/>
                        </pic:nvPicPr>
                        <pic:blipFill>
                          <a:blip r:embed="rId4"/>
                          <a:stretch>
                            <a:fillRect/>
                          </a:stretch>
                        </pic:blipFill>
                        <pic:spPr>
                          <a:xfrm>
                            <a:off x="0" y="0"/>
                            <a:ext cx="635" cy="0"/>
                          </a:xfrm>
                          <a:prstGeom prst="rect">
                            <a:avLst/>
                          </a:prstGeom>
                          <a:noFill/>
                          <a:ln>
                            <a:noFill/>
                          </a:ln>
                        </pic:spPr>
                      </pic:pic>
                    </a:graphicData>
                  </a:graphic>
                </wp:anchor>
              </w:drawing>
            </w:r>
            <w:bookmarkEnd w:id="0"/>
            <w:r>
              <w:rPr>
                <w:rFonts w:hint="eastAsia" w:ascii="宋体" w:hAnsi="宋体" w:eastAsia="宋体" w:cs="宋体"/>
                <w:i w:val="0"/>
                <w:color w:val="000000"/>
                <w:kern w:val="0"/>
                <w:sz w:val="18"/>
                <w:szCs w:val="18"/>
                <w:u w:val="none"/>
                <w:bdr w:val="none" w:color="auto" w:sz="0" w:space="0"/>
                <w:lang w:val="en-US" w:eastAsia="zh-CN" w:bidi="ar"/>
              </w:rPr>
              <w:t>项目立项</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项目立项规范性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项目的申请、设立过程是否符合相关要求，用以反映和考核项目立项的规范情况。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①项目按照规定的程序设立1分，否则不记分；                                   ②所提交的文件、材料是否符合相关要求记1分，否则不记分；                                          ③事前经过必要的可行性研究、专家论证、风险评估、集体决策等记1分，否则不记分。                                 </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30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绩效目标合理性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项目所设定的绩效目标是否依据充分，是否符合客观实际，用以反映和考核项目绩效目标与项目实施的相符情况。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①符合国家相关法律法规、国民经济发展规划和党委政府决策记1分，否则不记分；             ②与项目实施单位或委托单位职责密切相关记1分，否则不记分；                              ③项目能促进事业发展所需要记1分，否则不记分；                                     ④项目预期产出效益和效果符合正常的业绩水平记1分，否则不记分。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绩效指标明确性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依据绩效目标设定的绩效指标是否清晰、细化、可衡量等，用以反映和考核项目绩效目标的明细化情况。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①将项目绩效目标细化分解为具体的绩效指标记1分，否则不记分；                        ②目标能通过清晰、可衡量的指标值予以体现记1分，否则不记分；                                    ③与项目年度任务数或计划数相对应记0.5分，否则不记分；                                            ④与预算确定的项目投资额或资金量相匹配记0.5分，否则不记分。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79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资金落实</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资金到位率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资金到位率＝（实际到位资金/计划投入资金）×100%</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资金足额到位记5分，未足额到位按比例计分。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到位及时率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到位及时率＝（及时到位资金/应到位资金）×100%</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资金按时到位记5分，未按时按比例计分。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20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过程</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业务管理</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管理制度健全性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项目实施单位的业务管理制度是否健全，用以反映和考核业务管理制度对项目顺利实施的保障情况。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①已制定或具有相应的业务管理制度记2.5分， 不制定不记分；                                        ②业务管理制度合法、合规、完整记2.5分；不合法、不合规、不完整不记分。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3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制度执行有效性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项目实施是否符合相关业务管理规定，用以反映和考核业务管理制度的有效执行情况。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遵守相关法律法规和业务管理规定记5分，否则不记分。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4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项目质量可控性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项目实施至位是否为达到项目质量要求而采取了必需的措施，用以反映和考核项目实施单位对项目质量的控制情况。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①制定或有相应的项目质量要求或标准记2.5分，否则不记分；                                          ②采取了相应的项目质量检查、验收等必需的控制措施或手段记2.5分，否则不记分。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1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财务管理</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管理制度健全性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项目实施单位的财务制度是否健全，用以反映和考核财务管理制度对资金规范、安全运行的保障情况。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①已制定或具有相应的项目资金管理办法记2.5分，否则不记分；                                           ②项目资金管理办法符合相关财务会计制定记2.5分，否则不记分。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6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资金使用合规性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项目资金使用是否符合相关的财务管理制度规定，用以反映和考核项目资金的规范运行情况。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①符合国家财经法规和财务管理制度以及有关专项资金管理办法的规定记1分,否则不记分；                                                           ②资金的拨付有完整的审批程序和手续记1分,否则不记分；                         ③项目的重大开支经过评估认证记1分,否则不记分；                               ④符合项目预算批复或合同规定的用途记1分,否则不记分；                     </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财务监控有效性</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项目单位是否为保障资金的安全、规范运行而采取了必要的监控措施，用以反映和考核项目单位对资金运行的控制情况。</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①已制定或具有相应的监控机制记2.5分，否则不记分；                                       ②采取了相应的财务检查等必要的监控措施或手段记2.5分，否则不记分。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155"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产出</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项目产出</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组织网络健全率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各乡（镇）村（社区）有组织领导，有专人负责，有阵地建设，100%创建“妇女之家”，并开展活动</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达到绩效目标得5分，没达到目标每减少一个百分点扣0.1分。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宣传报道率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在电视台、怀化妇女网、潇湘女性网等媒体网站宣传报道我县妇女儿童工作动态和成效100次以上</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达到绩效目标得5分，没达到目标每减少一个百分点扣0.1分。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10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维权率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帮助贫困妇女和儿童解决实际困难，维护妇女儿童合法权益</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达到绩效目标得5分，没达到目标每减少一个百分点扣0.1分。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社会参与率</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组织社会各界人士参加巾帼志愿者服务活动4次以上</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达到绩效目标得5分，没达到目标每减少一个百分点扣0.1分。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1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效果</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70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项目效益</w:t>
            </w:r>
          </w:p>
        </w:tc>
        <w:tc>
          <w:tcPr>
            <w:tcW w:w="52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全县社会各界都来关注和支持妇女儿童事业</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100%为10分，每减少一个百分点扣0.2分。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全县妇女儿童事业得到发展</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100%稳定为10分，每减少一个百分点扣0.3分。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88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公众满意度</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群众知晓度（问卷调查）和满意度（问卷调查）是否关注和支持妇女儿童事业</w:t>
            </w: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群众知晓度＝知晓对象/被调查对象*100%（3分）；群众满意度＝满意对象/被调查对象*100%（3分）；无重大侵害妇女儿童合法权益案件发生（4分）</w:t>
            </w: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90" w:hRule="atLeast"/>
        </w:trPr>
        <w:tc>
          <w:tcPr>
            <w:tcW w:w="6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总分</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100</w:t>
            </w:r>
          </w:p>
        </w:tc>
        <w:tc>
          <w:tcPr>
            <w:tcW w:w="14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100</w:t>
            </w:r>
          </w:p>
        </w:tc>
        <w:tc>
          <w:tcPr>
            <w:tcW w:w="22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94</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b/>
                <w:i w:val="0"/>
                <w:color w:val="000000"/>
                <w:sz w:val="24"/>
                <w:szCs w:val="24"/>
                <w:u w:val="none"/>
              </w:rPr>
            </w:pPr>
          </w:p>
        </w:tc>
      </w:tr>
    </w:tbl>
    <w:p>
      <w:pPr>
        <w:pStyle w:val="2"/>
        <w:ind w:left="0" w:leftChars="0" w:firstLine="0" w:firstLineChars="0"/>
        <w:rPr>
          <w:rFonts w:hint="eastAsia" w:ascii="仿宋" w:hAnsi="仿宋" w:eastAsia="仿宋" w:cs="仿宋_GB2312"/>
          <w:sz w:val="32"/>
          <w:szCs w:val="32"/>
        </w:rPr>
      </w:pPr>
    </w:p>
    <w:sectPr>
      <w:pgSz w:w="11906" w:h="16838"/>
      <w:pgMar w:top="1587" w:right="141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_GBK">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C786D6C"/>
    <w:rsid w:val="00016347"/>
    <w:rsid w:val="000D1F30"/>
    <w:rsid w:val="00146EAF"/>
    <w:rsid w:val="0017014A"/>
    <w:rsid w:val="001A442C"/>
    <w:rsid w:val="001C04E6"/>
    <w:rsid w:val="00223E32"/>
    <w:rsid w:val="002348F6"/>
    <w:rsid w:val="002760B2"/>
    <w:rsid w:val="00280D8E"/>
    <w:rsid w:val="002D35E3"/>
    <w:rsid w:val="002F4F03"/>
    <w:rsid w:val="00325832"/>
    <w:rsid w:val="00403C6D"/>
    <w:rsid w:val="00403FDC"/>
    <w:rsid w:val="00471B02"/>
    <w:rsid w:val="004B05E0"/>
    <w:rsid w:val="00581CD2"/>
    <w:rsid w:val="005A2458"/>
    <w:rsid w:val="005A5670"/>
    <w:rsid w:val="005C07A9"/>
    <w:rsid w:val="005D40B1"/>
    <w:rsid w:val="005F1CBD"/>
    <w:rsid w:val="005F56BF"/>
    <w:rsid w:val="00640504"/>
    <w:rsid w:val="006571C0"/>
    <w:rsid w:val="00713A97"/>
    <w:rsid w:val="00783A21"/>
    <w:rsid w:val="007B3FEA"/>
    <w:rsid w:val="007C5A1B"/>
    <w:rsid w:val="00843482"/>
    <w:rsid w:val="008803E9"/>
    <w:rsid w:val="008A126F"/>
    <w:rsid w:val="008E3759"/>
    <w:rsid w:val="009260A4"/>
    <w:rsid w:val="00927DE1"/>
    <w:rsid w:val="00996C94"/>
    <w:rsid w:val="009E1DA0"/>
    <w:rsid w:val="00A67B2E"/>
    <w:rsid w:val="00A969EB"/>
    <w:rsid w:val="00AA32BD"/>
    <w:rsid w:val="00AF0F95"/>
    <w:rsid w:val="00AF28EA"/>
    <w:rsid w:val="00B3081B"/>
    <w:rsid w:val="00B608F8"/>
    <w:rsid w:val="00B949C3"/>
    <w:rsid w:val="00BD6E10"/>
    <w:rsid w:val="00C15137"/>
    <w:rsid w:val="00C873F4"/>
    <w:rsid w:val="00CB1234"/>
    <w:rsid w:val="00CE29FA"/>
    <w:rsid w:val="00D03322"/>
    <w:rsid w:val="00EA1485"/>
    <w:rsid w:val="00EA5884"/>
    <w:rsid w:val="00F705FA"/>
    <w:rsid w:val="00FB220A"/>
    <w:rsid w:val="00FC14B6"/>
    <w:rsid w:val="00FE1654"/>
    <w:rsid w:val="00FE3A51"/>
    <w:rsid w:val="04FA1618"/>
    <w:rsid w:val="0C624A04"/>
    <w:rsid w:val="182B06D0"/>
    <w:rsid w:val="1B9E2340"/>
    <w:rsid w:val="1C786D6C"/>
    <w:rsid w:val="1CEC69B7"/>
    <w:rsid w:val="208A5127"/>
    <w:rsid w:val="29594B87"/>
    <w:rsid w:val="2EB33967"/>
    <w:rsid w:val="3AFB661D"/>
    <w:rsid w:val="3D9021C5"/>
    <w:rsid w:val="4C7D36E9"/>
    <w:rsid w:val="524B4A94"/>
    <w:rsid w:val="53D50B22"/>
    <w:rsid w:val="55981AA3"/>
    <w:rsid w:val="5DAC1804"/>
    <w:rsid w:val="5E5472EA"/>
    <w:rsid w:val="5EB87F55"/>
    <w:rsid w:val="62D675F8"/>
    <w:rsid w:val="63D218B8"/>
    <w:rsid w:val="678C22B1"/>
    <w:rsid w:val="684A6A82"/>
    <w:rsid w:val="698E10E5"/>
    <w:rsid w:val="6B9D06FF"/>
    <w:rsid w:val="6EE1642E"/>
    <w:rsid w:val="77681263"/>
    <w:rsid w:val="7B366D02"/>
    <w:rsid w:val="7CFA2C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208</Words>
  <Characters>1191</Characters>
  <Lines>9</Lines>
  <Paragraphs>2</Paragraphs>
  <TotalTime>1</TotalTime>
  <ScaleCrop>false</ScaleCrop>
  <LinksUpToDate>false</LinksUpToDate>
  <CharactersWithSpaces>1397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2018-05-27T10:54:00Z</dcterms:created>
  <dc:creator>Administrator</dc:creator>
  <cp:lastModifiedBy>Administrator</cp:lastModifiedBy>
  <cp:lastPrinted>2017-05-06T11:33:00Z</cp:lastPrinted>
  <dcterms:modified xsi:type="dcterms:W3CDTF">2019-07-05T03:36:41Z</dcterms:modified>
  <dc:title>芷江县政协常委会会议经费专项资金绩效评价报告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