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default" w:ascii="宋体" w:hAnsi="宋体" w:eastAsia="宋体"/>
          <w:b/>
          <w:bCs/>
          <w:spacing w:val="0"/>
          <w:sz w:val="44"/>
          <w:szCs w:val="44"/>
          <w:lang w:val="en-US" w:eastAsia="zh-CN"/>
        </w:rPr>
      </w:pPr>
      <w:r>
        <w:rPr>
          <w:rFonts w:ascii="宋体" w:hAnsi="宋体" w:eastAsia="宋体"/>
          <w:b/>
          <w:bCs/>
          <w:spacing w:val="0"/>
          <w:sz w:val="44"/>
          <w:szCs w:val="44"/>
        </w:rPr>
        <w:t>202</w:t>
      </w:r>
      <w:r>
        <w:rPr>
          <w:rFonts w:hint="eastAsia" w:ascii="宋体" w:hAnsi="宋体" w:eastAsia="宋体"/>
          <w:b/>
          <w:bCs/>
          <w:spacing w:val="0"/>
          <w:sz w:val="44"/>
          <w:szCs w:val="44"/>
          <w:lang w:val="en-US" w:eastAsia="zh-CN"/>
        </w:rPr>
        <w:t>5</w:t>
      </w:r>
      <w:r>
        <w:rPr>
          <w:rFonts w:hint="eastAsia" w:ascii="宋体" w:hAnsi="宋体" w:eastAsia="宋体"/>
          <w:b/>
          <w:bCs/>
          <w:spacing w:val="0"/>
          <w:sz w:val="44"/>
          <w:szCs w:val="44"/>
        </w:rPr>
        <w:t>年预算绩效管理工作总结</w:t>
      </w:r>
    </w:p>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仿宋" w:hAnsi="仿宋" w:eastAsia="仿宋" w:cs="仿宋"/>
          <w:sz w:val="32"/>
          <w:szCs w:val="32"/>
        </w:rPr>
        <w:t>绩效</w:t>
      </w:r>
      <w:r>
        <w:rPr>
          <w:rFonts w:hint="eastAsia" w:ascii="仿宋" w:hAnsi="仿宋" w:eastAsia="仿宋" w:cs="仿宋"/>
          <w:sz w:val="32"/>
          <w:szCs w:val="32"/>
          <w:lang w:val="en-US" w:eastAsia="zh-CN"/>
        </w:rPr>
        <w:t>评价</w:t>
      </w:r>
      <w:r>
        <w:rPr>
          <w:rFonts w:hint="eastAsia" w:ascii="仿宋" w:hAnsi="仿宋" w:eastAsia="仿宋" w:cs="仿宋"/>
          <w:sz w:val="32"/>
          <w:szCs w:val="32"/>
        </w:rPr>
        <w:t>股</w:t>
      </w:r>
      <w:r>
        <w:rPr>
          <w:rFonts w:hint="eastAsia" w:ascii="仿宋" w:hAnsi="仿宋" w:eastAsia="仿宋" w:cs="仿宋"/>
          <w:b w:val="0"/>
          <w:bCs w:val="0"/>
          <w:sz w:val="32"/>
          <w:szCs w:val="32"/>
        </w:rPr>
        <w:t>按照省、市全面实施预算绩效管理决策部署和工作要求</w:t>
      </w:r>
      <w:r>
        <w:rPr>
          <w:rFonts w:hint="eastAsia" w:ascii="仿宋" w:hAnsi="仿宋" w:eastAsia="仿宋" w:cs="仿宋"/>
          <w:b w:val="0"/>
          <w:bCs w:val="0"/>
          <w:sz w:val="32"/>
          <w:szCs w:val="32"/>
          <w:lang w:eastAsia="zh-CN"/>
        </w:rPr>
        <w:t>，</w:t>
      </w:r>
      <w:r>
        <w:rPr>
          <w:rFonts w:hint="default" w:ascii="Times New Roman" w:hAnsi="Times New Roman" w:eastAsia="仿宋_GB2312" w:cs="Times New Roman"/>
          <w:sz w:val="32"/>
          <w:szCs w:val="32"/>
          <w:lang w:val="en-US" w:eastAsia="zh-CN"/>
        </w:rPr>
        <w:t>坚持高质量落实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筑牢绩效意识，全力推动预算绩效管理提质增效，</w:t>
      </w:r>
      <w:r>
        <w:rPr>
          <w:rFonts w:hint="eastAsia" w:ascii="仿宋" w:hAnsi="仿宋" w:eastAsia="仿宋" w:cs="仿宋"/>
          <w:sz w:val="32"/>
          <w:szCs w:val="32"/>
        </w:rPr>
        <w:t>现将工作情况总结如下：</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30" w:leftChars="0" w:firstLine="600" w:firstLineChars="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年围绕事前绩效评估、绩效目标管理、绩效监控管理、绩效评价管理和绩效结果应用管理预算绩效管理五大环节定向展开工作，集中力量推评估、强目标、抓监控、扩评价、重应用，预算绩效管理工作实现了阶段性质的跃升，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预算单位绩效意识进一步增强，财政资源配置进一步优化，资金使用效益进一步提升。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事前绩效评估管理</w:t>
      </w:r>
    </w:p>
    <w:p>
      <w:pPr>
        <w:pStyle w:val="3"/>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积极推动事前绩效评估，把好预算安排前置关口。在具体工作推进中坚持绩效导向、科学规范、客观公正、精简高效的原则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特别关注项目绩效和项目成本两个核心，把投入、产出和效果作为评估重点，注重成本效益，从立项必要性、投入经济性、绩效目标合理性、实施方案可行性和筹资合规性进行综合评估</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绩效目标管理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强化绩效目标管理，提升绩效编制目标水平。</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做到先立事项和绩效目标，后安排预算，将绩效目标审核结果作为预算安排的前置条件，做到与预算同步布置、同步编制、同步审核、同步批复、同步公开。</w:t>
      </w:r>
      <w:r>
        <w:rPr>
          <w:rFonts w:hint="eastAsia" w:ascii="仿宋_GB2312" w:hAnsi="仿宋_GB2312" w:eastAsia="仿宋_GB2312" w:cs="仿宋_GB2312"/>
          <w:color w:val="000000"/>
          <w:sz w:val="32"/>
          <w:szCs w:val="32"/>
          <w:lang w:val="en-US" w:eastAsia="zh-CN"/>
        </w:rPr>
        <w:t>2025年批复全县96个部门预算单位（一级预算单位）、467个项目预算绩效目标，</w:t>
      </w:r>
      <w:r>
        <w:rPr>
          <w:rFonts w:hint="eastAsia" w:ascii="仿宋_GB2312" w:hAnsi="仿宋_GB2312" w:eastAsia="仿宋_GB2312" w:cs="仿宋_GB2312"/>
          <w:bCs/>
          <w:color w:val="000000"/>
          <w:sz w:val="32"/>
          <w:szCs w:val="32"/>
        </w:rPr>
        <w:t>涉及资金</w:t>
      </w:r>
      <w:r>
        <w:rPr>
          <w:rFonts w:hint="eastAsia" w:ascii="仿宋_GB2312" w:hAnsi="仿宋_GB2312" w:eastAsia="仿宋_GB2312" w:cs="仿宋_GB2312"/>
          <w:color w:val="000000"/>
          <w:sz w:val="32"/>
          <w:szCs w:val="32"/>
          <w:lang w:val="en-US" w:eastAsia="zh-CN"/>
        </w:rPr>
        <w:t>136947.99万元</w:t>
      </w:r>
      <w:r>
        <w:rPr>
          <w:rFonts w:hint="eastAsia" w:ascii="仿宋_GB2312" w:hAnsi="仿宋_GB2312" w:eastAsia="仿宋_GB2312" w:cs="仿宋_GB2312"/>
          <w:bCs/>
          <w:color w:val="000000"/>
          <w:sz w:val="32"/>
          <w:szCs w:val="32"/>
          <w:lang w:val="en-US" w:eastAsia="zh-CN"/>
        </w:rPr>
        <w:t>（其中项目资金</w:t>
      </w:r>
      <w:r>
        <w:rPr>
          <w:rFonts w:hint="eastAsia" w:ascii="仿宋_GB2312" w:hAnsi="仿宋_GB2312" w:eastAsia="仿宋_GB2312" w:cs="仿宋_GB2312"/>
          <w:color w:val="000000"/>
          <w:sz w:val="32"/>
          <w:szCs w:val="32"/>
          <w:lang w:val="en-US" w:eastAsia="zh-CN"/>
        </w:rPr>
        <w:t>43414.71万元</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 w:val="0"/>
          <w:bCs w:val="0"/>
          <w:color w:val="000000"/>
          <w:sz w:val="32"/>
          <w:szCs w:val="32"/>
        </w:rPr>
        <w:t>并在政府门户网站公开，接受社会公众监督。</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是</w:t>
      </w:r>
      <w:r>
        <w:rPr>
          <w:rFonts w:hint="eastAsia" w:ascii="仿宋" w:hAnsi="仿宋" w:eastAsia="仿宋" w:cs="仿宋"/>
          <w:color w:val="000000" w:themeColor="text1"/>
          <w:sz w:val="32"/>
          <w:szCs w:val="32"/>
          <w14:textFill>
            <w14:solidFill>
              <w14:schemeClr w14:val="tx1"/>
            </w14:solidFill>
          </w14:textFill>
        </w:rPr>
        <w:t>组织</w:t>
      </w:r>
      <w:r>
        <w:rPr>
          <w:rFonts w:hint="eastAsia" w:ascii="仿宋" w:hAnsi="仿宋" w:eastAsia="仿宋" w:cs="仿宋"/>
          <w:color w:val="000000" w:themeColor="text1"/>
          <w:sz w:val="32"/>
          <w:szCs w:val="32"/>
          <w:lang w:val="en-US" w:eastAsia="zh-CN"/>
          <w14:textFill>
            <w14:solidFill>
              <w14:schemeClr w14:val="tx1"/>
            </w14:solidFill>
          </w14:textFill>
        </w:rPr>
        <w:t>全县160</w:t>
      </w:r>
      <w:r>
        <w:rPr>
          <w:rFonts w:hint="eastAsia" w:ascii="仿宋" w:hAnsi="仿宋" w:eastAsia="仿宋" w:cs="仿宋"/>
          <w:color w:val="000000" w:themeColor="text1"/>
          <w:sz w:val="32"/>
          <w:szCs w:val="32"/>
          <w14:textFill>
            <w14:solidFill>
              <w14:schemeClr w14:val="tx1"/>
            </w14:solidFill>
          </w14:textFill>
        </w:rPr>
        <w:t>个预算单位开展</w:t>
      </w:r>
      <w:r>
        <w:rPr>
          <w:rFonts w:hint="eastAsia" w:ascii="仿宋" w:hAnsi="仿宋" w:eastAsia="仿宋" w:cs="仿宋"/>
          <w:color w:val="000000" w:themeColor="text1"/>
          <w:sz w:val="32"/>
          <w:szCs w:val="32"/>
          <w:lang w:val="en-US" w:eastAsia="zh-CN"/>
          <w14:textFill>
            <w14:solidFill>
              <w14:schemeClr w14:val="tx1"/>
            </w14:solidFill>
          </w14:textFill>
        </w:rPr>
        <w:t>预算</w:t>
      </w:r>
      <w:r>
        <w:rPr>
          <w:rFonts w:hint="eastAsia" w:ascii="仿宋" w:hAnsi="仿宋" w:eastAsia="仿宋" w:cs="仿宋"/>
          <w:color w:val="000000" w:themeColor="text1"/>
          <w:sz w:val="32"/>
          <w:szCs w:val="32"/>
          <w14:textFill>
            <w14:solidFill>
              <w14:schemeClr w14:val="tx1"/>
            </w14:solidFill>
          </w14:textFill>
        </w:rPr>
        <w:t>绩效</w:t>
      </w:r>
      <w:r>
        <w:rPr>
          <w:rFonts w:hint="eastAsia" w:ascii="仿宋" w:hAnsi="仿宋" w:eastAsia="仿宋" w:cs="仿宋"/>
          <w:color w:val="000000" w:themeColor="text1"/>
          <w:sz w:val="32"/>
          <w:szCs w:val="32"/>
          <w:lang w:val="en-US" w:eastAsia="zh-CN"/>
          <w14:textFill>
            <w14:solidFill>
              <w14:schemeClr w14:val="tx1"/>
            </w14:solidFill>
          </w14:textFill>
        </w:rPr>
        <w:t>业务</w:t>
      </w:r>
      <w:r>
        <w:rPr>
          <w:rFonts w:hint="eastAsia" w:ascii="仿宋" w:hAnsi="仿宋" w:eastAsia="仿宋" w:cs="仿宋"/>
          <w:color w:val="000000" w:themeColor="text1"/>
          <w:sz w:val="32"/>
          <w:szCs w:val="32"/>
          <w14:textFill>
            <w14:solidFill>
              <w14:schemeClr w14:val="tx1"/>
            </w14:solidFill>
          </w14:textFill>
        </w:rPr>
        <w:t>管理培训，财政部门、预算部门各履其责，增强绩效目标编制的科学性、合理性、规范性，强化预算支出责任，提高财政资源配置效率和资金使用效益。</w:t>
      </w:r>
      <w:r>
        <w:rPr>
          <w:rFonts w:hint="eastAsia" w:ascii="Times New Roman" w:hAnsi="Times New Roman" w:eastAsia="仿宋_GB2312" w:cs="Times New Roman"/>
          <w:b/>
          <w:bCs/>
          <w:sz w:val="32"/>
          <w:szCs w:val="32"/>
          <w:lang w:val="en-US" w:eastAsia="zh-CN"/>
        </w:rPr>
        <w:t>三是</w:t>
      </w:r>
      <w:r>
        <w:rPr>
          <w:rFonts w:hint="eastAsia" w:ascii="仿宋_GB2312" w:hAnsi="宋体" w:eastAsia="仿宋_GB2312"/>
          <w:b w:val="0"/>
          <w:bCs/>
          <w:color w:val="000000" w:themeColor="text1"/>
          <w:sz w:val="32"/>
          <w:szCs w:val="32"/>
          <w14:textFill>
            <w14:solidFill>
              <w14:schemeClr w14:val="tx1"/>
            </w14:solidFill>
          </w14:textFill>
        </w:rPr>
        <w:t>指导绩效目标归口填报。</w:t>
      </w:r>
      <w:r>
        <w:rPr>
          <w:rFonts w:hint="default" w:ascii="Times New Roman" w:hAnsi="Times New Roman" w:eastAsia="仿宋_GB2312" w:cs="Times New Roman"/>
          <w:sz w:val="32"/>
          <w:szCs w:val="32"/>
          <w:lang w:val="en-US" w:eastAsia="zh-CN"/>
        </w:rPr>
        <w:t>进一步明确部门整体和项目支出绩效目标的编制要求，规范指标填报内容</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按归口资金分类指导绩效目标的编制填报，特别是资金量大项目多的预算单位实行一对一的指导编报。</w:t>
      </w:r>
      <w:r>
        <w:rPr>
          <w:rFonts w:hint="default" w:ascii="Times New Roman" w:hAnsi="Times New Roman" w:eastAsia="仿宋_GB2312" w:cs="Times New Roman"/>
          <w:sz w:val="32"/>
          <w:szCs w:val="32"/>
          <w:lang w:val="en-US" w:eastAsia="zh-CN"/>
        </w:rPr>
        <w:t>面对面地解决了绩效目标编制难点与困惑，不断夯实预算单位绩效业务技能本领</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强化绩效目标评审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提升业务与绩效融合核心指标分值占比</w:t>
      </w:r>
      <w:r>
        <w:rPr>
          <w:rFonts w:hint="eastAsia" w:ascii="Times New Roman" w:hAnsi="Times New Roman" w:eastAsia="仿宋_GB2312" w:cs="Times New Roman"/>
          <w:sz w:val="32"/>
          <w:szCs w:val="32"/>
          <w:lang w:val="en-US" w:eastAsia="zh-CN"/>
        </w:rPr>
        <w:t>。2025年部门预算绩效目标初稿第三方评审结果，全县共155家预算单位，评价等级为“优”的</w:t>
      </w:r>
      <w:r>
        <w:rPr>
          <w:rFonts w:hint="default"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评价等级为“</w:t>
      </w:r>
      <w:r>
        <w:rPr>
          <w:rFonts w:hint="default" w:ascii="Times New Roman" w:hAnsi="Times New Roman" w:eastAsia="仿宋_GB2312" w:cs="Times New Roman"/>
          <w:sz w:val="32"/>
          <w:szCs w:val="32"/>
          <w:lang w:val="en-US" w:eastAsia="zh-CN"/>
        </w:rPr>
        <w:t>良</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（三）绩效监控管理</w:t>
      </w:r>
    </w:p>
    <w:p>
      <w:pPr>
        <w:keepNext w:val="0"/>
        <w:keepLines w:val="0"/>
        <w:widowControl/>
        <w:suppressLineNumbers w:val="0"/>
        <w:ind w:firstLine="640" w:firstLineChars="2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抓实事中监控管理，及时纠正绩效运行偏差。</w:t>
      </w:r>
      <w:r>
        <w:rPr>
          <w:rFonts w:hint="eastAsia" w:ascii="仿宋" w:hAnsi="仿宋" w:eastAsia="仿宋" w:cs="仿宋"/>
          <w:color w:val="000000" w:themeColor="text1"/>
          <w:sz w:val="32"/>
          <w:szCs w:val="32"/>
          <w:lang w:val="en-US" w:eastAsia="zh-CN"/>
          <w14:textFill>
            <w14:solidFill>
              <w14:schemeClr w14:val="tx1"/>
            </w14:solidFill>
          </w14:textFill>
        </w:rPr>
        <w:t>以2025年8月底为监控节点，下发《关于开展2025年度财政支出绩效运行监控工作的通知》（芷财办【2025】9号）对全县各部门单位预算支配的全部项目执行状况进行绩效监控，在预算一体化绩效管理版块系统填报</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月的部门整体支出和项目支出绩效目标执行监控情况</w:t>
      </w:r>
      <w:r>
        <w:rPr>
          <w:rFonts w:hint="eastAsia" w:ascii="仿宋" w:hAnsi="仿宋" w:eastAsia="仿宋" w:cs="仿宋"/>
          <w:color w:val="000000" w:themeColor="text1"/>
          <w:sz w:val="32"/>
          <w:szCs w:val="32"/>
          <w:lang w:val="en-US" w:eastAsia="zh-CN"/>
          <w14:textFill>
            <w14:solidFill>
              <w14:schemeClr w14:val="tx1"/>
            </w14:solidFill>
          </w14:textFill>
        </w:rPr>
        <w:t>并形成绩效监控报告。</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color w:val="000000"/>
          <w:kern w:val="0"/>
          <w:sz w:val="32"/>
          <w:szCs w:val="32"/>
          <w:lang w:val="en-US" w:eastAsia="zh-CN" w:bidi="ar"/>
        </w:rPr>
        <w:t>在各单位自行监控的基础上，采用财政部门和第三方相结合审核的方式，选取全县5个预算单位的5个重点项目开展项目支出重点绩效运行监控，涉及资金7566.2万元。运用绩效监控结果及时纠正绩效运行偏差，督促及时整改落实</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确保绩效目标如期实现</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（四）绩效评价管理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扩大绩效评价范围，凸显评价效力。</w:t>
      </w:r>
      <w:r>
        <w:rPr>
          <w:rFonts w:hint="default" w:ascii="Times New Roman" w:hAnsi="Times New Roman" w:eastAsia="仿宋_GB2312" w:cs="Times New Roman"/>
          <w:b/>
          <w:bCs/>
          <w:sz w:val="32"/>
          <w:szCs w:val="32"/>
          <w:lang w:val="en-US" w:eastAsia="zh-CN"/>
        </w:rPr>
        <w:t>一是</w:t>
      </w:r>
      <w:r>
        <w:rPr>
          <w:rFonts w:hint="eastAsia" w:ascii="仿宋" w:hAnsi="仿宋" w:eastAsia="仿宋" w:cs="仿宋"/>
          <w:color w:val="000000" w:themeColor="text1"/>
          <w:sz w:val="32"/>
          <w:szCs w:val="32"/>
          <w:lang w:val="en-US" w:eastAsia="zh-CN"/>
          <w14:textFill>
            <w14:solidFill>
              <w14:schemeClr w14:val="tx1"/>
            </w14:solidFill>
          </w14:textFill>
        </w:rPr>
        <w:t>印发《芷江侗族自治县财政局关于开展2024年度部门整体支出、项目支出资金绩效自评工作的通知》（芷财绩【2025】1号）组织全县</w:t>
      </w:r>
      <w:r>
        <w:rPr>
          <w:rFonts w:hint="eastAsia" w:ascii="仿宋" w:hAnsi="仿宋" w:eastAsia="仿宋" w:cs="仿宋"/>
          <w:color w:val="auto"/>
          <w:sz w:val="32"/>
          <w:szCs w:val="32"/>
          <w:lang w:val="en-US" w:eastAsia="zh-CN"/>
        </w:rPr>
        <w:t>150</w:t>
      </w:r>
      <w:r>
        <w:rPr>
          <w:rFonts w:hint="eastAsia" w:ascii="仿宋" w:hAnsi="仿宋" w:eastAsia="仿宋" w:cs="仿宋"/>
          <w:color w:val="000000" w:themeColor="text1"/>
          <w:sz w:val="32"/>
          <w:szCs w:val="32"/>
          <w:lang w:val="en-US" w:eastAsia="zh-CN"/>
          <w14:textFill>
            <w14:solidFill>
              <w14:schemeClr w14:val="tx1"/>
            </w14:solidFill>
          </w14:textFill>
        </w:rPr>
        <w:t>个部门预算单位（含学校），对2024年度</w:t>
      </w:r>
      <w:r>
        <w:rPr>
          <w:rFonts w:hint="eastAsia" w:ascii="仿宋" w:hAnsi="仿宋" w:eastAsia="仿宋" w:cs="仿宋"/>
          <w:color w:val="auto"/>
          <w:sz w:val="32"/>
          <w:szCs w:val="32"/>
        </w:rPr>
        <w:t>整体支出、项目支出</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全覆盖自评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同时依托预算绩效管理信息系统同步开展线上绩效自评，涉及资金249145.37万元，</w:t>
      </w:r>
      <w:r>
        <w:rPr>
          <w:rFonts w:hint="eastAsia" w:ascii="仿宋" w:hAnsi="仿宋" w:eastAsia="仿宋" w:cs="仿宋"/>
          <w:sz w:val="32"/>
          <w:szCs w:val="32"/>
        </w:rPr>
        <w:t>并</w:t>
      </w:r>
      <w:r>
        <w:rPr>
          <w:rFonts w:hint="eastAsia" w:ascii="仿宋" w:hAnsi="仿宋" w:eastAsia="仿宋" w:cs="仿宋"/>
          <w:sz w:val="32"/>
          <w:szCs w:val="32"/>
          <w:lang w:val="en-US" w:eastAsia="zh-CN"/>
        </w:rPr>
        <w:t>将自评结果</w:t>
      </w:r>
      <w:r>
        <w:rPr>
          <w:rFonts w:hint="eastAsia" w:ascii="仿宋" w:hAnsi="仿宋" w:eastAsia="仿宋" w:cs="仿宋"/>
          <w:sz w:val="32"/>
          <w:szCs w:val="32"/>
        </w:rPr>
        <w:t>在</w:t>
      </w:r>
      <w:r>
        <w:rPr>
          <w:rFonts w:hint="eastAsia" w:ascii="仿宋" w:hAnsi="仿宋" w:eastAsia="仿宋" w:cs="仿宋"/>
          <w:sz w:val="32"/>
          <w:szCs w:val="32"/>
          <w:lang w:val="en-US" w:eastAsia="zh-CN"/>
        </w:rPr>
        <w:t>芷江县</w:t>
      </w:r>
      <w:r>
        <w:rPr>
          <w:rFonts w:hint="eastAsia" w:ascii="仿宋" w:hAnsi="仿宋" w:eastAsia="仿宋" w:cs="仿宋"/>
          <w:sz w:val="32"/>
          <w:szCs w:val="32"/>
        </w:rPr>
        <w:t>政府门户网站公开。</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color w:val="auto"/>
          <w:sz w:val="32"/>
          <w:szCs w:val="32"/>
          <w:lang w:val="en-US" w:eastAsia="zh-CN"/>
        </w:rPr>
        <w:t>组织</w:t>
      </w:r>
      <w:r>
        <w:rPr>
          <w:rFonts w:hint="eastAsia" w:ascii="Times New Roman" w:hAnsi="Times New Roman" w:eastAsia="仿宋_GB2312" w:cs="Times New Roman"/>
          <w:color w:val="auto"/>
          <w:sz w:val="32"/>
          <w:szCs w:val="32"/>
          <w:lang w:val="en-US" w:eastAsia="zh-CN"/>
        </w:rPr>
        <w:t>力量</w:t>
      </w:r>
      <w:r>
        <w:rPr>
          <w:rFonts w:hint="default" w:ascii="Times New Roman" w:hAnsi="Times New Roman" w:eastAsia="仿宋_GB2312" w:cs="Times New Roman"/>
          <w:color w:val="auto"/>
          <w:sz w:val="32"/>
          <w:szCs w:val="32"/>
          <w:lang w:val="en-US" w:eastAsia="zh-CN"/>
        </w:rPr>
        <w:t>对预算单位绩效自评工作开展</w:t>
      </w:r>
      <w:r>
        <w:rPr>
          <w:rFonts w:hint="eastAsia" w:ascii="Times New Roman" w:hAnsi="Times New Roman" w:eastAsia="仿宋_GB2312" w:cs="Times New Roman"/>
          <w:color w:val="auto"/>
          <w:sz w:val="32"/>
          <w:szCs w:val="32"/>
          <w:lang w:val="en-US" w:eastAsia="zh-CN"/>
        </w:rPr>
        <w:t>复评，压实预算部门主体责任。经过综合评审，11家单位评价等级为“优”，60家单位评价等级为“良”，79家单位评价等级为“合格”。</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根据评审结果选取</w:t>
      </w:r>
      <w:r>
        <w:rPr>
          <w:rFonts w:hint="eastAsia" w:ascii="Times New Roman" w:hAnsi="Times New Roman" w:eastAsia="仿宋_GB2312" w:cs="Times New Roman"/>
          <w:sz w:val="32"/>
          <w:szCs w:val="32"/>
          <w:lang w:val="en-US" w:eastAsia="zh-CN"/>
        </w:rPr>
        <w:t>契税补贴</w:t>
      </w:r>
      <w:r>
        <w:rPr>
          <w:rFonts w:hint="default" w:ascii="Times New Roman" w:hAnsi="Times New Roman" w:eastAsia="仿宋_GB2312" w:cs="Times New Roman"/>
          <w:sz w:val="32"/>
          <w:szCs w:val="32"/>
        </w:rPr>
        <w:t>资金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村庄规划编制经费、芷江民族职业中专学校运动场改造项目、城乡居民养老保险、基层医疗卫生机构人工智能辅助治疗技术推广应用和能力建设项目、第三次全国土壤普查项目、芷江产业开发区5G信息制造园</w:t>
      </w:r>
      <w:r>
        <w:rPr>
          <w:rFonts w:hint="default" w:ascii="Times New Roman" w:hAnsi="Times New Roman" w:eastAsia="仿宋_GB2312" w:cs="Times New Roman"/>
          <w:sz w:val="32"/>
          <w:szCs w:val="32"/>
          <w:lang w:eastAsia="zh-CN"/>
        </w:rPr>
        <w:t>建设项目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县市场监督管理局</w:t>
      </w:r>
      <w:r>
        <w:rPr>
          <w:rFonts w:hint="default" w:ascii="Times New Roman" w:hAnsi="Times New Roman" w:eastAsia="仿宋_GB2312" w:cs="Times New Roman"/>
          <w:sz w:val="32"/>
          <w:szCs w:val="32"/>
          <w:lang w:val="en-US" w:eastAsia="zh-CN"/>
        </w:rPr>
        <w:t>部门整体支出</w:t>
      </w:r>
      <w:r>
        <w:rPr>
          <w:rFonts w:hint="eastAsia" w:ascii="Times New Roman" w:hAnsi="Times New Roman" w:eastAsia="仿宋_GB2312" w:cs="Times New Roman"/>
          <w:sz w:val="32"/>
          <w:szCs w:val="32"/>
          <w:lang w:val="en-US" w:eastAsia="zh-CN"/>
        </w:rPr>
        <w:t>、楠木坪镇政府2024年度财政运行、芷江县国有资源（资产）收入共计10个项目开展</w:t>
      </w:r>
      <w:r>
        <w:rPr>
          <w:rFonts w:hint="default" w:ascii="Times New Roman" w:hAnsi="Times New Roman" w:eastAsia="仿宋_GB2312" w:cs="Times New Roman"/>
          <w:sz w:val="32"/>
          <w:szCs w:val="32"/>
          <w:lang w:val="en-US" w:eastAsia="zh-CN"/>
        </w:rPr>
        <w:t>财政重点评价</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（五）绩效结果应用管理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Times New Roman" w:hAnsi="Times New Roman" w:eastAsia="仿宋_GB2312" w:cs="Times New Roman"/>
          <w:sz w:val="32"/>
          <w:szCs w:val="32"/>
          <w:lang w:val="en-US" w:eastAsia="zh-CN"/>
        </w:rPr>
        <w:t>多措并举，绩效结果应用强劲发力。</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建立绩效结果报告机制。每年将年度预算绩效情况形成综合报告，专题报告县政府、人大和相关部门，为领导决策和制定决策提供参考。</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建立绩效结果反馈整改机制。结合各单位事前评估、目标管理、运行监控、绩效评价的情况，整理出问题清单反馈单位进行限期整改，整改情况纳入到对单位年度绩效考核评分范围。</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建立绩效结果与预算一体化融合机制。</w:t>
      </w:r>
      <w:r>
        <w:rPr>
          <w:rFonts w:hint="eastAsia" w:ascii="仿宋" w:hAnsi="仿宋" w:eastAsia="仿宋" w:cs="仿宋"/>
          <w:sz w:val="32"/>
          <w:szCs w:val="32"/>
          <w:lang w:val="en-US" w:eastAsia="zh-CN"/>
        </w:rPr>
        <w:t>强化评价结果运用与财政预算挂钩，评价结果作为以后年度预算安排依据之一，切实发挥绩效评价应有作用。</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建立绩效结果公开机制。每年度将财政重点绩效评价结果与各部门预算单位的绩效目标、监控、自评等结果在政府门户网站公示，接受社会监督。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三、下年度工作思路及相关建议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w:t>
      </w:r>
      <w:r>
        <w:rPr>
          <w:rFonts w:hint="eastAsia" w:ascii="Times New Roman" w:hAnsi="Times New Roman" w:eastAsia="仿宋_GB2312" w:cs="Times New Roman"/>
          <w:sz w:val="32"/>
          <w:szCs w:val="32"/>
          <w:lang w:val="en-US" w:eastAsia="zh-CN"/>
        </w:rPr>
        <w:t>绩效评价股</w:t>
      </w:r>
      <w:r>
        <w:rPr>
          <w:rFonts w:hint="default" w:ascii="Times New Roman" w:hAnsi="Times New Roman" w:eastAsia="仿宋_GB2312" w:cs="Times New Roman"/>
          <w:sz w:val="32"/>
          <w:szCs w:val="32"/>
          <w:lang w:val="en-US" w:eastAsia="zh-CN"/>
        </w:rPr>
        <w:t>将全力推进</w:t>
      </w:r>
      <w:bookmarkStart w:id="0" w:name="_GoBack"/>
      <w:bookmarkEnd w:id="0"/>
      <w:r>
        <w:rPr>
          <w:rFonts w:hint="default" w:ascii="Times New Roman" w:hAnsi="Times New Roman" w:eastAsia="仿宋_GB2312" w:cs="Times New Roman"/>
          <w:sz w:val="32"/>
          <w:szCs w:val="32"/>
          <w:lang w:val="en-US" w:eastAsia="zh-CN"/>
        </w:rPr>
        <w:t>绩效管理更好地服务零基预算改革需要，建成全方位、全过程、全领域预算绩效管理机制，努力做到先行示范。</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更加聚焦</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政府重大决策部署和重点工作任务，以事前绩效评估为起点，将各环节绩效结果作为预算安排、内部考评和政府绩效考核的重要依据。</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不断改进绩效管理工作方式方法，逐步将绩效管理转入“精准施策”“靶向推进”，财政资金在哪，绩效管理就跟到哪，及时为预算决策和管理输送有用的绩效论断。</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建立全新的预算绩效管理水平考核机制，设置统一的考核指标，对不同单位在相同领域（项目）或相同单位在不同年度预算资金的使用效果进行统一评价。</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依托信息系统，充分应用大数据技术，建立健全以成本数据为基础、以绩效目标为导向的预算定额标准体系，逐步建成“绩效画像”式的动态监控和标准核算的预算执行体系。</w:t>
      </w:r>
    </w:p>
    <w:p/>
    <w:p>
      <w:pPr>
        <w:pStyle w:val="2"/>
        <w:rPr>
          <w:rFonts w:hint="default"/>
          <w:lang w:val="en-US" w:eastAsia="zh-CN"/>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191B5"/>
    <w:multiLevelType w:val="singleLevel"/>
    <w:tmpl w:val="675191B5"/>
    <w:lvl w:ilvl="0" w:tentative="0">
      <w:start w:val="1"/>
      <w:numFmt w:val="chineseCounting"/>
      <w:suff w:val="nothing"/>
      <w:lvlText w:val="（%1）"/>
      <w:lvlJc w:val="left"/>
    </w:lvl>
  </w:abstractNum>
  <w:abstractNum w:abstractNumId="1">
    <w:nsid w:val="7C0A4504"/>
    <w:multiLevelType w:val="singleLevel"/>
    <w:tmpl w:val="7C0A4504"/>
    <w:lvl w:ilvl="0" w:tentative="0">
      <w:start w:val="1"/>
      <w:numFmt w:val="chineseCounting"/>
      <w:suff w:val="nothing"/>
      <w:lvlText w:val="%1、"/>
      <w:lvlJc w:val="left"/>
      <w:pPr>
        <w:ind w:left="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zc5NGNhNjcxMTEzZWQwMjc5NzcxNzZiOGZjYTIifQ=="/>
  </w:docVars>
  <w:rsids>
    <w:rsidRoot w:val="73FD280C"/>
    <w:rsid w:val="04787C5D"/>
    <w:rsid w:val="131E5EB7"/>
    <w:rsid w:val="1DE62400"/>
    <w:rsid w:val="331619F5"/>
    <w:rsid w:val="354B11A0"/>
    <w:rsid w:val="43D143C7"/>
    <w:rsid w:val="4ED92673"/>
    <w:rsid w:val="58C05354"/>
    <w:rsid w:val="5AB52C6C"/>
    <w:rsid w:val="5D8D26FA"/>
    <w:rsid w:val="63F57AC7"/>
    <w:rsid w:val="6BD10696"/>
    <w:rsid w:val="6CD969F1"/>
    <w:rsid w:val="6D5B5893"/>
    <w:rsid w:val="70A97C9F"/>
    <w:rsid w:val="735465E8"/>
    <w:rsid w:val="73FD280C"/>
    <w:rsid w:val="78F9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qFormat/>
    <w:uiPriority w:val="1"/>
    <w:rPr>
      <w:rFonts w:ascii="仿宋" w:hAnsi="仿宋" w:eastAsia="仿宋" w:cs="仿宋"/>
      <w:sz w:val="32"/>
      <w:szCs w:val="32"/>
      <w:lang w:val="zh-CN" w:eastAsia="zh-CN" w:bidi="zh-CN"/>
    </w:rPr>
  </w:style>
  <w:style w:type="paragraph" w:styleId="4">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2214</Words>
  <Characters>2293</Characters>
  <Lines>0</Lines>
  <Paragraphs>0</Paragraphs>
  <TotalTime>19</TotalTime>
  <ScaleCrop>false</ScaleCrop>
  <LinksUpToDate>false</LinksUpToDate>
  <CharactersWithSpaces>2296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2026-01-04T01:01:00Z</dcterms:created>
  <dc:creator>Administrator</dc:creator>
  <cp:lastModifiedBy>Administrator</cp:lastModifiedBy>
  <dcterms:modified xsi:type="dcterms:W3CDTF">2026-03-17T02:14:04Z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9EFBB8A282EB4C6B809E4648E8A483E5_11</vt:lpwstr>
  </property>
</Properties>
</file>