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cs="宋体"/>
          <w:b/>
          <w:bCs/>
          <w:sz w:val="36"/>
          <w:szCs w:val="36"/>
        </w:rPr>
      </w:pPr>
      <w:r>
        <w:rPr>
          <w:rFonts w:hint="eastAsia" w:ascii="宋体" w:hAnsi="宋体" w:cs="宋体"/>
          <w:b/>
          <w:bCs/>
          <w:spacing w:val="-2"/>
          <w:sz w:val="36"/>
          <w:szCs w:val="36"/>
        </w:rPr>
        <w:t>芷江县司法局</w:t>
      </w:r>
      <w:r>
        <w:rPr>
          <w:rFonts w:hint="eastAsia" w:ascii="宋体" w:hAnsi="宋体" w:cs="宋体"/>
          <w:b/>
          <w:bCs/>
          <w:sz w:val="36"/>
          <w:szCs w:val="36"/>
        </w:rPr>
        <w:t>2019年普法宣传预算支出绩效评价报告</w:t>
      </w:r>
    </w:p>
    <w:p>
      <w:pPr>
        <w:tabs>
          <w:tab w:val="left" w:pos="2430"/>
        </w:tabs>
        <w:autoSpaceDN w:val="0"/>
        <w:jc w:val="center"/>
        <w:rPr>
          <w:rFonts w:ascii="仿宋_GB2312" w:eastAsia="仿宋_GB2312"/>
          <w:sz w:val="24"/>
        </w:rPr>
      </w:pPr>
    </w:p>
    <w:p>
      <w:pPr>
        <w:autoSpaceDN w:val="0"/>
        <w:rPr>
          <w:rFonts w:ascii="仿宋_GB2312" w:eastAsia="仿宋_GB2312"/>
          <w:sz w:val="24"/>
        </w:rPr>
      </w:pPr>
    </w:p>
    <w:p>
      <w:pPr>
        <w:autoSpaceDN w:val="0"/>
        <w:spacing w:line="540" w:lineRule="exact"/>
        <w:rPr>
          <w:rFonts w:ascii="仿宋_GB2312" w:hAnsi="仿宋_GB2312" w:eastAsia="仿宋_GB2312" w:cs="仿宋_GB2312"/>
          <w:sz w:val="32"/>
          <w:szCs w:val="32"/>
        </w:rPr>
      </w:pPr>
      <w:r>
        <w:rPr>
          <w:rFonts w:hint="eastAsia" w:ascii="仿宋_GB2312" w:eastAsia="仿宋_GB2312"/>
          <w:sz w:val="24"/>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一、项目基本情况</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项目概况：以落实中央关于全面推进依法治国工作的总体部署，着力建设开明开放、公正公平、规范高效，安定有序的法治芷江，为“生态立县、旅游兴县”发展战略提供坚强保障。为主线，以加强进一步加强宪法实施，推进民主法制建设步伐为着力点，全面落实普法宣传工作任务，为促进全县社会和谐稳定、服务社会经济建设作贡献。</w:t>
      </w:r>
    </w:p>
    <w:p>
      <w:pPr>
        <w:pStyle w:val="5"/>
        <w:widowControl w:val="0"/>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（二）项目绩效目标：1、按照年度法治宣传教育工作要点，</w:t>
      </w:r>
      <w:r>
        <w:rPr>
          <w:rStyle w:val="8"/>
          <w:rFonts w:hint="eastAsia" w:ascii="仿宋_GB2312" w:hAnsi="仿宋_GB2312" w:eastAsia="仿宋_GB2312" w:cs="仿宋_GB2312"/>
          <w:sz w:val="32"/>
          <w:szCs w:val="32"/>
        </w:rPr>
        <w:t>紧紧围绕</w:t>
      </w:r>
      <w:r>
        <w:rPr>
          <w:rFonts w:hint="eastAsia" w:ascii="仿宋_GB2312" w:hAnsi="仿宋_GB2312" w:eastAsia="仿宋_GB2312" w:cs="仿宋_GB2312"/>
          <w:color w:val="000000"/>
          <w:sz w:val="32"/>
          <w:szCs w:val="32"/>
        </w:rPr>
        <w:t>我县决战决胜脱贫攻坚、全面建成小康社会，建设“一个中心、四个芷江”崭新篇章</w:t>
      </w:r>
      <w:r>
        <w:rPr>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rPr>
        <w:t>进一步创新法治宣传教育工作理念、方法、阵地、载体和机制。</w:t>
      </w:r>
      <w:r>
        <w:rPr>
          <w:rFonts w:hint="eastAsia" w:ascii="仿宋_GB2312" w:hAnsi="仿宋_GB2312" w:eastAsia="仿宋_GB2312" w:cs="仿宋_GB2312"/>
          <w:sz w:val="32"/>
          <w:szCs w:val="32"/>
        </w:rPr>
        <w:t>2、按照工作计划，</w:t>
      </w:r>
      <w:r>
        <w:rPr>
          <w:rStyle w:val="8"/>
          <w:rFonts w:hint="eastAsia" w:ascii="仿宋_GB2312" w:hAnsi="仿宋_GB2312" w:eastAsia="仿宋_GB2312" w:cs="仿宋_GB2312"/>
          <w:sz w:val="32"/>
          <w:szCs w:val="32"/>
        </w:rPr>
        <w:t>充分利用各类法治宣传平台和各种宣传形式，</w:t>
      </w:r>
      <w:r>
        <w:rPr>
          <w:rFonts w:hint="eastAsia" w:ascii="仿宋_GB2312" w:hAnsi="仿宋_GB2312" w:eastAsia="仿宋_GB2312" w:cs="仿宋_GB2312"/>
          <w:sz w:val="32"/>
          <w:szCs w:val="32"/>
        </w:rPr>
        <w:t>深入开展法治宣传教育活动。3、</w:t>
      </w:r>
      <w:r>
        <w:rPr>
          <w:rStyle w:val="8"/>
          <w:rFonts w:hint="eastAsia" w:ascii="仿宋_GB2312" w:hAnsi="仿宋_GB2312" w:eastAsia="仿宋_GB2312" w:cs="仿宋_GB2312"/>
          <w:color w:val="000000"/>
          <w:sz w:val="32"/>
          <w:szCs w:val="32"/>
        </w:rPr>
        <w:t>广泛建设法治文化阵地，</w:t>
      </w:r>
      <w:r>
        <w:rPr>
          <w:rFonts w:hint="eastAsia" w:ascii="仿宋_GB2312" w:hAnsi="仿宋_GB2312" w:eastAsia="仿宋_GB2312" w:cs="仿宋_GB2312"/>
          <w:color w:val="000000"/>
          <w:spacing w:val="2"/>
          <w:sz w:val="32"/>
          <w:szCs w:val="32"/>
        </w:rPr>
        <w:t>要建设一个法治主题公园或法治文化广场和街区法治宣传长廊，对已经投入使用的法治宣传阵地加强管理维护。</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shd w:val="clear" w:color="auto" w:fill="FFFFFF"/>
        </w:rPr>
        <w:t>扎实推进</w:t>
      </w:r>
      <w:r>
        <w:rPr>
          <w:rFonts w:hint="eastAsia" w:ascii="仿宋_GB2312" w:hAnsi="仿宋_GB2312" w:eastAsia="仿宋_GB2312" w:cs="仿宋_GB2312"/>
          <w:sz w:val="32"/>
          <w:szCs w:val="32"/>
        </w:rPr>
        <w:t>“八进八创”法治创建主题活动。5、</w:t>
      </w:r>
      <w:r>
        <w:rPr>
          <w:rStyle w:val="8"/>
          <w:rFonts w:hint="eastAsia" w:ascii="仿宋_GB2312" w:hAnsi="仿宋_GB2312" w:eastAsia="仿宋_GB2312" w:cs="仿宋_GB2312"/>
          <w:sz w:val="32"/>
          <w:szCs w:val="32"/>
        </w:rPr>
        <w:t>落实领导干部学法用法、年度述法制度，加强</w:t>
      </w:r>
      <w:r>
        <w:rPr>
          <w:rFonts w:hint="eastAsia" w:ascii="仿宋_GB2312" w:hAnsi="仿宋_GB2312" w:eastAsia="仿宋_GB2312" w:cs="仿宋_GB2312"/>
          <w:sz w:val="32"/>
          <w:szCs w:val="32"/>
        </w:rPr>
        <w:t>国家工作人员年度学法用法考试、成绩通报等制度。6、</w:t>
      </w:r>
      <w:r>
        <w:rPr>
          <w:rStyle w:val="8"/>
          <w:rFonts w:hint="eastAsia" w:ascii="仿宋_GB2312" w:hAnsi="仿宋_GB2312" w:eastAsia="仿宋_GB2312" w:cs="仿宋_GB2312"/>
          <w:sz w:val="32"/>
          <w:szCs w:val="32"/>
        </w:rPr>
        <w:t>推行“互联网+法治宣传”行动。7、开展基层法治化工作。</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项目实施：2019年法治宣传教育项目投入经费39万元，主要用于司法行政机关法治宣传教育工作指导管理费（工作宣传、培训费、表彰奖励费）、工作经费（开展活动费、法治宣传实物费、法治宣传阵地建设维护费、信息管理、业务装备费等。</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资金管理情况：一是定期全面自查。每年底，我局对资金使用情况进行全面自查，从几年来的自查情况看，基本确保了专款专用。二是接受审计，对在审计过程中发现的问题及时加以整改。三是随时接受专项清查。根据工作安排，加强了资金专项清理和检查，保证专款专用。</w:t>
      </w:r>
    </w:p>
    <w:p>
      <w:pPr>
        <w:pStyle w:val="12"/>
        <w:widowControl w:val="0"/>
        <w:shd w:val="clear" w:color="auto" w:fill="FFFFFF"/>
        <w:spacing w:before="0" w:beforeAutospacing="0" w:after="0" w:afterAutospacing="0" w:line="52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项目组织和项目管理情况：</w:t>
      </w:r>
      <w:r>
        <w:rPr>
          <w:rFonts w:hint="eastAsia" w:ascii="仿宋_GB2312" w:hAnsi="仿宋_GB2312" w:eastAsia="仿宋_GB2312" w:cs="仿宋_GB2312"/>
          <w:bCs/>
          <w:sz w:val="32"/>
          <w:szCs w:val="32"/>
        </w:rPr>
        <w:t>1、</w:t>
      </w:r>
      <w:r>
        <w:rPr>
          <w:rFonts w:hint="eastAsia" w:ascii="仿宋_GB2312" w:hAnsi="仿宋_GB2312" w:eastAsia="仿宋_GB2312" w:cs="仿宋_GB2312"/>
          <w:kern w:val="2"/>
          <w:sz w:val="32"/>
          <w:szCs w:val="32"/>
        </w:rPr>
        <w:t>2019年3月21日，县委、县政府印发了《芷江侗族自治县县级党政机关机构设置的通知》，成立县委全面依法治县委员会，县委全面依法治县委员会办公室作为委员会的办事机构，设在县司法局。2019年12月2日，县委全面依法治县第一次会议召开，会议审议通过了委员会“两规则一细则”，明确了县委一把手负总责，相关成员部门负责人具体抓的工作体系，成立了立法、执法、司法、守法普法四个工作协调小组，下发了全面依法治县工作要点，全面依法治县工作形成了委员会统一领导、办公室统筹协调、协调小组各司其职的工作格局，为有序推进全面依法治县工作奠定了坚强的组织保障。</w:t>
      </w: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sz w:val="32"/>
          <w:szCs w:val="32"/>
        </w:rPr>
        <w:t>以“八进八创”为载体，提高社会治理法治化、专业化。开展了围绕服务脱贫攻坚、扫黑除恶、“12·4”国家宪法日主题宣传、元旦春节“送法下乡”、“你逛庙会 我送法”活动、5月农村法治宣传教育月、青少年法治宣传教育周等活动，创建了一批法治乡镇、民主法治示范村、公平守信示范市场等活动，创建了一批法治乡镇、民主法治示范村、公平守信示范市场等。3、加强法治宣传阵地建设。</w:t>
      </w:r>
      <w:r>
        <w:rPr>
          <w:rFonts w:hint="eastAsia" w:ascii="仿宋_GB2312" w:hAnsi="仿宋_GB2312" w:eastAsia="仿宋_GB2312" w:cs="仿宋_GB2312"/>
          <w:bCs/>
          <w:color w:val="000000"/>
          <w:sz w:val="32"/>
          <w:szCs w:val="32"/>
        </w:rPr>
        <w:t>我县法治文化广场2015年已建成，今年对和平法治文化广场进行了有力的维护和更新，并筹措规划了法治文化公园的建设，</w:t>
      </w:r>
      <w:r>
        <w:rPr>
          <w:rFonts w:hint="eastAsia" w:ascii="仿宋_GB2312" w:hAnsi="仿宋_GB2312" w:eastAsia="仿宋_GB2312" w:cs="仿宋_GB2312"/>
          <w:bCs/>
          <w:sz w:val="32"/>
          <w:szCs w:val="32"/>
        </w:rPr>
        <w:t>进一步加强了农村和城镇社区法治宣传栏、法治学（夜）校、法律阅览室、普法志愿者对队伍建设。深化流动普法阵地建设，利用横幅标语、宣传挂图、流动板报、法治宣传车等多种形式开展法治宣传教育。4、开展国</w:t>
      </w:r>
      <w:r>
        <w:rPr>
          <w:rFonts w:hint="eastAsia" w:ascii="仿宋_GB2312" w:hAnsi="仿宋_GB2312" w:eastAsia="仿宋_GB2312" w:cs="仿宋_GB2312"/>
          <w:bCs/>
          <w:color w:val="000000" w:themeColor="text1"/>
          <w:sz w:val="32"/>
          <w:szCs w:val="32"/>
        </w:rPr>
        <w:t>家工作人员网上学法考法工作。我县183个单位，7108人都已参加2019年国家工作人员网上学法考法。参学率、参考率、考试合格率均达1</w:t>
      </w:r>
      <w:r>
        <w:rPr>
          <w:rFonts w:hint="eastAsia" w:ascii="仿宋_GB2312" w:hAnsi="仿宋_GB2312" w:eastAsia="仿宋_GB2312" w:cs="仿宋_GB2312"/>
          <w:bCs/>
          <w:sz w:val="32"/>
          <w:szCs w:val="32"/>
        </w:rPr>
        <w:t>00%。5、创新普法形式，</w:t>
      </w:r>
      <w:r>
        <w:rPr>
          <w:rFonts w:hint="eastAsia" w:ascii="仿宋_GB2312" w:hAnsi="仿宋_GB2312" w:eastAsia="仿宋_GB2312" w:cs="仿宋_GB2312"/>
          <w:bCs/>
          <w:snapToGrid w:val="0"/>
          <w:sz w:val="32"/>
          <w:szCs w:val="21"/>
        </w:rPr>
        <w:t>大力推进法治文化建设工作。</w:t>
      </w:r>
      <w:r>
        <w:rPr>
          <w:rFonts w:hint="eastAsia" w:ascii="仿宋_GB2312" w:hAnsi="仿宋_GB2312" w:eastAsia="仿宋_GB2312" w:cs="仿宋_GB2312"/>
          <w:bCs/>
          <w:color w:val="000000"/>
          <w:sz w:val="32"/>
          <w:szCs w:val="32"/>
        </w:rPr>
        <w:t>为了更好地开展法治文化教育，我县</w:t>
      </w:r>
      <w:r>
        <w:rPr>
          <w:rFonts w:hint="eastAsia" w:ascii="仿宋_GB2312" w:hAnsi="仿宋_GB2312" w:eastAsia="仿宋_GB2312" w:cs="仿宋_GB2312"/>
          <w:bCs/>
          <w:sz w:val="32"/>
          <w:szCs w:val="32"/>
        </w:rPr>
        <w:t>制作的《“评”礼》法治微电影和《我与宪法》公益广告用于法治宣传，创新了普法形式，取得了良好效果。</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二、绩效评价工作情况</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(一）领导重视。司法局成立了法治宣传教育绩效评价领导小组，局长孟军任组长，副局长朱子仪、傅小英，杨顺龙、杨慧敏任成员。制定了组织实施评价计划。</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综合评价情况及评价结论：法治宣传教育工作项目实施后，经费到位及时，经费支出合理合规，实现了预定的绩效目标，项目设立依据充分，并且目标明确，符合上级有关加强法治宣传教育工作的要求，明显提高了我县法治宣传教育工作的力度，在推进依法治县进程、维护社会和谐稳定中发挥了重要作用。评定结果为：优秀。</w:t>
      </w:r>
    </w:p>
    <w:p>
      <w:pPr>
        <w:autoSpaceDN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三、存在的问题与建议：</w:t>
      </w:r>
    </w:p>
    <w:p>
      <w:pPr>
        <w:autoSpaceDN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问题：今年以来，我县法治宣传教育工作通过全面规范管理，取得了一些成效，但按照上级有关部门的工作要求，还存在着宣传力度不够、工作力量和经费不足、宣传力度还需加大等一些问题和不足。如，法治宣传的手段仍停留在以往的方式，普法新媒体应用不够充分，创新不够，民主法治示范村的全面铺开刚刚开始，还没有深入落实，六五普法以来，法治文化广场的设施受到一定的损坏。</w:t>
      </w:r>
    </w:p>
    <w:p>
      <w:pPr>
        <w:autoSpaceDN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（二）建议：加大对法治宣传教育的创新力度，加快民主法治示范村的全面铺开建设，大力</w:t>
      </w:r>
      <w:r>
        <w:rPr>
          <w:rStyle w:val="8"/>
          <w:rFonts w:hint="eastAsia" w:ascii="仿宋_GB2312" w:hAnsi="仿宋_GB2312" w:eastAsia="仿宋_GB2312" w:cs="仿宋_GB2312"/>
          <w:sz w:val="32"/>
          <w:szCs w:val="32"/>
        </w:rPr>
        <w:t>推行“互联网+法治宣传”行动</w:t>
      </w:r>
      <w:r>
        <w:rPr>
          <w:rFonts w:hint="eastAsia" w:ascii="仿宋_GB2312" w:hAnsi="仿宋_GB2312" w:eastAsia="仿宋_GB2312" w:cs="仿宋_GB2312"/>
          <w:sz w:val="32"/>
          <w:szCs w:val="32"/>
        </w:rPr>
        <w:t>，深入开展“八进八创”。</w:t>
      </w:r>
    </w:p>
    <w:p>
      <w:pPr>
        <w:autoSpaceDN w:val="0"/>
        <w:spacing w:line="540" w:lineRule="exact"/>
        <w:ind w:firstLine="645"/>
        <w:rPr>
          <w:rFonts w:ascii="仿宋_GB2312" w:hAnsi="仿宋_GB2312" w:eastAsia="仿宋_GB2312" w:cs="仿宋_GB2312"/>
          <w:sz w:val="32"/>
          <w:szCs w:val="32"/>
        </w:rPr>
      </w:pP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芷江侗族自治县司法局</w:t>
      </w:r>
    </w:p>
    <w:p>
      <w:pPr>
        <w:autoSpaceDN w:val="0"/>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bookmarkStart w:id="0" w:name="_GoBack"/>
      <w:bookmarkEnd w:id="0"/>
      <w:r>
        <w:rPr>
          <w:rFonts w:hint="eastAsia" w:ascii="仿宋_GB2312" w:hAnsi="仿宋_GB2312" w:eastAsia="仿宋_GB2312" w:cs="仿宋_GB2312"/>
          <w:sz w:val="32"/>
          <w:szCs w:val="32"/>
        </w:rPr>
        <w:t>日</w:t>
      </w: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p>
      <w:pPr>
        <w:autoSpaceDN w:val="0"/>
        <w:rPr>
          <w:rFonts w:hint="eastAsia" w:ascii="仿宋" w:hAnsi="仿宋" w:eastAsia="仿宋" w:cs="仿宋"/>
          <w:sz w:val="32"/>
          <w:szCs w:val="32"/>
        </w:rPr>
      </w:pPr>
    </w:p>
    <w:p>
      <w:pPr>
        <w:autoSpaceDN w:val="0"/>
        <w:rPr>
          <w:rFonts w:hint="eastAsia" w:ascii="仿宋" w:hAnsi="仿宋" w:eastAsia="仿宋" w:cs="仿宋"/>
          <w:sz w:val="32"/>
          <w:szCs w:val="32"/>
        </w:rPr>
      </w:pPr>
    </w:p>
    <w:p>
      <w:pPr>
        <w:autoSpaceDN w:val="0"/>
        <w:rPr>
          <w:rFonts w:ascii="仿宋" w:hAnsi="仿宋" w:eastAsia="仿宋" w:cs="仿宋"/>
          <w:sz w:val="32"/>
          <w:szCs w:val="32"/>
        </w:rPr>
      </w:pPr>
    </w:p>
    <w:p>
      <w:pPr>
        <w:autoSpaceDN w:val="0"/>
        <w:rPr>
          <w:rFonts w:ascii="仿宋" w:hAnsi="仿宋" w:eastAsia="仿宋" w:cs="仿宋"/>
          <w:sz w:val="32"/>
          <w:szCs w:val="32"/>
        </w:rPr>
      </w:pPr>
    </w:p>
    <w:tbl>
      <w:tblPr>
        <w:tblStyle w:val="6"/>
        <w:tblW w:w="0" w:type="auto"/>
        <w:tblInd w:w="0" w:type="dxa"/>
        <w:tblLayout w:type="fixed"/>
        <w:tblCellMar>
          <w:top w:w="15" w:type="dxa"/>
          <w:left w:w="15" w:type="dxa"/>
          <w:bottom w:w="15" w:type="dxa"/>
          <w:right w:w="15" w:type="dxa"/>
        </w:tblCellMar>
      </w:tblPr>
      <w:tblGrid>
        <w:gridCol w:w="272"/>
        <w:gridCol w:w="392"/>
        <w:gridCol w:w="272"/>
        <w:gridCol w:w="392"/>
        <w:gridCol w:w="272"/>
        <w:gridCol w:w="392"/>
        <w:gridCol w:w="2774"/>
        <w:gridCol w:w="4330"/>
        <w:gridCol w:w="392"/>
        <w:gridCol w:w="272"/>
      </w:tblGrid>
      <w:tr>
        <w:tblPrEx>
          <w:tblCellMar>
            <w:top w:w="15" w:type="dxa"/>
            <w:left w:w="15" w:type="dxa"/>
            <w:bottom w:w="15" w:type="dxa"/>
            <w:right w:w="15" w:type="dxa"/>
          </w:tblCellMar>
        </w:tblPrEx>
        <w:trPr>
          <w:trHeight w:val="510" w:hRule="atLeast"/>
        </w:trPr>
        <w:tc>
          <w:tcPr>
            <w:tcW w:w="9760" w:type="dxa"/>
            <w:gridSpan w:val="10"/>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芷江侗族自治县普法宣传经费绩效评价指标</w:t>
            </w:r>
          </w:p>
        </w:tc>
      </w:tr>
      <w:tr>
        <w:tblPrEx>
          <w:tblCellMar>
            <w:top w:w="15" w:type="dxa"/>
            <w:left w:w="15" w:type="dxa"/>
            <w:bottom w:w="15" w:type="dxa"/>
            <w:right w:w="15" w:type="dxa"/>
          </w:tblCellMar>
        </w:tblPrEx>
        <w:trPr>
          <w:trHeight w:val="330" w:hRule="atLeast"/>
        </w:trPr>
        <w:tc>
          <w:tcPr>
            <w:tcW w:w="9760"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填报单位：芷江司法局</w:t>
            </w:r>
          </w:p>
        </w:tc>
      </w:tr>
      <w:tr>
        <w:tblPrEx>
          <w:tblCellMar>
            <w:top w:w="15" w:type="dxa"/>
            <w:left w:w="15" w:type="dxa"/>
            <w:bottom w:w="15" w:type="dxa"/>
            <w:right w:w="15" w:type="dxa"/>
          </w:tblCellMar>
        </w:tblPrEx>
        <w:trPr>
          <w:trHeight w:val="630" w:hRule="atLeast"/>
        </w:trPr>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二级指标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三级指标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指标解释</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评价标准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15" w:type="dxa"/>
            <w:left w:w="15" w:type="dxa"/>
            <w:bottom w:w="15" w:type="dxa"/>
            <w:right w:w="15" w:type="dxa"/>
          </w:tblCellMar>
        </w:tblPrEx>
        <w:trPr>
          <w:trHeight w:val="93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投入</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hint="eastAsia" w:ascii="宋体" w:hAnsi="宋体" w:cs="宋体"/>
                <w:color w:val="000000"/>
                <w:kern w:val="0"/>
                <w:sz w:val="18"/>
                <w:szCs w:val="18"/>
              </w:rPr>
              <w:drawing>
                <wp:inline distT="0" distB="0" distL="0" distR="0">
                  <wp:extent cx="12065" cy="12065"/>
                  <wp:effectExtent l="0" t="0" r="0" b="0"/>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drawing>
                <wp:inline distT="0" distB="0" distL="0" distR="0">
                  <wp:extent cx="12065" cy="12065"/>
                  <wp:effectExtent l="0" t="0" r="0" b="0"/>
                  <wp:docPr id="2"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3"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5"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6"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7"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r>
              <w:rPr>
                <w:rFonts w:hint="eastAsia" w:ascii="宋体" w:hAnsi="宋体" w:cs="宋体"/>
                <w:color w:val="000000"/>
                <w:kern w:val="0"/>
                <w:sz w:val="18"/>
                <w:szCs w:val="18"/>
              </w:rPr>
              <w:drawing>
                <wp:inline distT="0" distB="0" distL="0" distR="0">
                  <wp:extent cx="12065" cy="1206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5"/>
                          <a:srcRect/>
                          <a:stretch>
                            <a:fillRect/>
                          </a:stretch>
                        </pic:blipFill>
                        <pic:spPr>
                          <a:xfrm>
                            <a:off x="0" y="0"/>
                            <a:ext cx="12065" cy="12065"/>
                          </a:xfrm>
                          <a:prstGeom prst="rect">
                            <a:avLst/>
                          </a:prstGeom>
                          <a:noFill/>
                          <a:ln w="9525" cmpd="sng">
                            <a:noFill/>
                            <a:miter lim="800000"/>
                            <a:headEnd/>
                            <a:tailEnd/>
                          </a:ln>
                        </pic:spPr>
                      </pic:pic>
                    </a:graphicData>
                  </a:graphic>
                </wp:inline>
              </w:drawing>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15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5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9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72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过程</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3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8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47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项目资金使用是否符合相关的财务管理制度规定，用以反映和考核项目资金的规范运行情况。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96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项目单位是否为保障资金的安全、规范运行而采取了必要的监控措施，用以反映和考核项目单位对资金运行的控制情况。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项目实施的实际产出数与计划产出数的比率，用以反映和考核项目产出数量目标的实现程度。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4分=（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8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完成及时率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项目实际提前完成时间与计划完成时间的比率，用以反映和考核项目产出时效目标的实现程度。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完成及时率3分=[（计划完成时间-实际完成时间）/计划完成时间]×100%。实际完成时间：项目实施单位完成该项目实际所耗用的时间。计划完成时间：按照项目实施计划或相关规定完成该项目所需的时间。</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90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质量达标率</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项目完成的质量达标产出数与实际产出数的比率，用以反映和考核项目产出质量目标的实现程度。</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率3分=（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35"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开展青少年法制宣传教育讲座53场</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90%记6分；80%记4分；80%以下不记分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2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农村法制宣传活动8次</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90%记5分；80%记3分；80%以下不记分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国家工作人员年度考试100％</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90%记3分；80%记2分；80%以下不记分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80" w:hRule="atLeast"/>
        </w:trPr>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7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项目实施对社会发展所带来的直接或间接影响情况。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好9分，一般6分，不好0分。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项目后续运行及成效发挥的可持续影响情况。</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好8分，一般5分，不好0分。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40" w:hRule="atLeast"/>
        </w:trPr>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社会公众或服务对象满意度</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按实际调查结果报</w:t>
            </w:r>
          </w:p>
        </w:tc>
        <w:tc>
          <w:tcPr>
            <w:tcW w:w="4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满意度95%以上得满分，每下降2个百分点扣0.5分，扣完为止。</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80" w:hRule="atLeast"/>
        </w:trPr>
        <w:tc>
          <w:tcPr>
            <w:tcW w:w="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总分</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c>
          <w:tcPr>
            <w:tcW w:w="27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43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bl>
    <w:p>
      <w:pPr>
        <w:rPr>
          <w:rFonts w:ascii="仿宋" w:hAnsi="仿宋" w:eastAsia="仿宋" w:cs="仿宋"/>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1329"/>
    <w:rsid w:val="000309CD"/>
    <w:rsid w:val="001B3841"/>
    <w:rsid w:val="002679F0"/>
    <w:rsid w:val="00273430"/>
    <w:rsid w:val="002D7372"/>
    <w:rsid w:val="003054FB"/>
    <w:rsid w:val="005577F2"/>
    <w:rsid w:val="005A1E5F"/>
    <w:rsid w:val="006024F5"/>
    <w:rsid w:val="00A84A00"/>
    <w:rsid w:val="00BF1329"/>
    <w:rsid w:val="08430D0B"/>
    <w:rsid w:val="4DEA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页脚 Char"/>
    <w:basedOn w:val="7"/>
    <w:link w:val="3"/>
    <w:qFormat/>
    <w:uiPriority w:val="0"/>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 w:type="character" w:customStyle="1" w:styleId="11">
    <w:name w:val="页眉 Char"/>
    <w:basedOn w:val="7"/>
    <w:link w:val="4"/>
    <w:semiHidden/>
    <w:uiPriority w:val="99"/>
    <w:rPr>
      <w:rFonts w:ascii="Calibri" w:hAnsi="Calibri" w:eastAsia="宋体" w:cs="Times New Roman"/>
      <w:sz w:val="18"/>
      <w:szCs w:val="18"/>
    </w:rPr>
  </w:style>
  <w:style w:type="paragraph" w:customStyle="1" w:styleId="12">
    <w:name w:val="custom_unionstyle"/>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760</Words>
  <Characters>4333</Characters>
  <Lines>36</Lines>
  <Paragraphs>10</Paragraphs>
  <TotalTime>11</TotalTime>
  <ScaleCrop>false</ScaleCrop>
  <LinksUpToDate>false</LinksUpToDate>
  <CharactersWithSpaces>5083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2020-08-03T08:43:00Z</dcterms:created>
  <dc:creator>Administrator</dc:creator>
  <cp:lastModifiedBy>杨子慧</cp:lastModifiedBy>
  <dcterms:modified xsi:type="dcterms:W3CDTF">2020-08-05T09:55:28Z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