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"/>
        <w:spacing w:before="144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HNPR</w:t>
      </w:r>
      <w:r>
        <w:rPr>
          <w:rFonts w:ascii="Times New Roman" w:hAnsi="Times New Roman" w:eastAsia="Times New Roman" w:cs="Times New Roman"/>
          <w:sz w:val="31"/>
          <w:szCs w:val="31"/>
          <w:spacing w:val="6"/>
          <w:position w:val="2"/>
        </w:rPr>
        <w:t>-2023-10003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28"/>
        <w:spacing w:before="484" w:line="182" w:lineRule="auto"/>
        <w:rPr>
          <w:rFonts w:ascii="Microsoft YaHei" w:hAnsi="Microsoft YaHei" w:eastAsia="Microsoft YaHei" w:cs="Microsoft YaHei"/>
          <w:sz w:val="113"/>
          <w:szCs w:val="113"/>
        </w:rPr>
      </w:pPr>
      <w:r>
        <w:rPr>
          <w:rFonts w:ascii="Microsoft YaHei" w:hAnsi="Microsoft YaHei" w:eastAsia="Microsoft YaHei" w:cs="Microsoft YaHei"/>
          <w:sz w:val="113"/>
          <w:szCs w:val="113"/>
          <w:color w:val="272727"/>
          <w:spacing w:val="-29"/>
          <w:w w:val="90"/>
        </w:rPr>
        <w:t>湖</w:t>
      </w:r>
      <w:r>
        <w:rPr>
          <w:rFonts w:ascii="Microsoft YaHei" w:hAnsi="Microsoft YaHei" w:eastAsia="Microsoft YaHei" w:cs="Microsoft YaHei"/>
          <w:sz w:val="113"/>
          <w:szCs w:val="113"/>
          <w:color w:val="272727"/>
          <w:spacing w:val="-188"/>
        </w:rPr>
        <w:t xml:space="preserve"> </w:t>
      </w:r>
      <w:r>
        <w:rPr>
          <w:rFonts w:ascii="Microsoft YaHei" w:hAnsi="Microsoft YaHei" w:eastAsia="Microsoft YaHei" w:cs="Microsoft YaHei"/>
          <w:sz w:val="113"/>
          <w:szCs w:val="113"/>
          <w:color w:val="272727"/>
          <w:spacing w:val="-29"/>
          <w:w w:val="90"/>
        </w:rPr>
        <w:t>南</w:t>
      </w:r>
      <w:r>
        <w:rPr>
          <w:rFonts w:ascii="Microsoft YaHei" w:hAnsi="Microsoft YaHei" w:eastAsia="Microsoft YaHei" w:cs="Microsoft YaHei"/>
          <w:sz w:val="113"/>
          <w:szCs w:val="113"/>
          <w:color w:val="272727"/>
          <w:spacing w:val="-187"/>
        </w:rPr>
        <w:t xml:space="preserve"> </w:t>
      </w:r>
      <w:r>
        <w:rPr>
          <w:rFonts w:ascii="Microsoft YaHei" w:hAnsi="Microsoft YaHei" w:eastAsia="Microsoft YaHei" w:cs="Microsoft YaHei"/>
          <w:sz w:val="113"/>
          <w:szCs w:val="113"/>
          <w:color w:val="272727"/>
          <w:spacing w:val="-29"/>
          <w:w w:val="90"/>
        </w:rPr>
        <w:t>省财政厅文件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3007"/>
        <w:spacing w:before="101" w:line="419" w:lineRule="exact"/>
        <w:rPr/>
      </w:pPr>
      <w:r>
        <w:rPr>
          <w:spacing w:val="1"/>
          <w:position w:val="2"/>
        </w:rPr>
        <w:t>湘财法〔</w:t>
      </w:r>
      <w:r>
        <w:rPr>
          <w:rFonts w:ascii="Times New Roman" w:hAnsi="Times New Roman" w:eastAsia="Times New Roman" w:cs="Times New Roman"/>
          <w:spacing w:val="1"/>
          <w:position w:val="2"/>
        </w:rPr>
        <w:t>2022</w:t>
      </w:r>
      <w:r>
        <w:rPr>
          <w:spacing w:val="1"/>
          <w:position w:val="2"/>
        </w:rPr>
        <w:t>〕</w:t>
      </w:r>
      <w:r>
        <w:rPr>
          <w:rFonts w:ascii="Times New Roman" w:hAnsi="Times New Roman" w:eastAsia="Times New Roman" w:cs="Times New Roman"/>
          <w:spacing w:val="1"/>
          <w:position w:val="2"/>
        </w:rPr>
        <w:t>4</w:t>
      </w:r>
      <w:r>
        <w:rPr>
          <w:rFonts w:ascii="Times New Roman" w:hAnsi="Times New Roman" w:eastAsia="Times New Roman" w:cs="Times New Roman"/>
          <w:spacing w:val="36"/>
          <w:w w:val="101"/>
          <w:position w:val="2"/>
        </w:rPr>
        <w:t xml:space="preserve"> </w:t>
      </w:r>
      <w:r>
        <w:rPr>
          <w:spacing w:val="1"/>
          <w:position w:val="2"/>
        </w:rPr>
        <w:t>号</w:t>
      </w:r>
    </w:p>
    <w:p>
      <w:pPr>
        <w:spacing w:before="169" w:line="40" w:lineRule="exact"/>
        <w:rPr/>
      </w:pPr>
      <w:r>
        <w:rPr/>
        <w:drawing>
          <wp:inline distT="0" distB="0" distL="0" distR="0">
            <wp:extent cx="5616485" cy="254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6485" cy="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4"/>
        <w:spacing w:before="184" w:line="20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6"/>
        </w:rPr>
        <w:t>关于印发《湖南省财政厅行政处罚裁量权基准</w:t>
      </w:r>
    </w:p>
    <w:p>
      <w:pPr>
        <w:ind w:left="9"/>
        <w:spacing w:before="3" w:line="18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实施办法》和《湖南省财政厅行政处罚裁量权</w:t>
      </w:r>
    </w:p>
    <w:p>
      <w:pPr>
        <w:ind w:left="1675"/>
        <w:spacing w:before="2" w:line="227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基准（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2022 </w:t>
      </w:r>
      <w:r>
        <w:rPr>
          <w:rFonts w:ascii="Microsoft YaHei" w:hAnsi="Microsoft YaHei" w:eastAsia="Microsoft YaHei" w:cs="Microsoft YaHei"/>
          <w:sz w:val="43"/>
          <w:szCs w:val="43"/>
          <w:spacing w:val="7"/>
        </w:rPr>
        <w:t>年版）》的通知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01" w:line="221" w:lineRule="auto"/>
        <w:rPr/>
      </w:pPr>
      <w:r>
        <w:rPr>
          <w:spacing w:val="6"/>
        </w:rPr>
        <w:t>各市州、县市区财政局，厅机关各处室、单位：</w:t>
      </w:r>
    </w:p>
    <w:p>
      <w:pPr>
        <w:pStyle w:val="BodyText"/>
        <w:ind w:left="3" w:right="109" w:firstLine="658"/>
        <w:spacing w:before="229" w:line="351" w:lineRule="auto"/>
        <w:jc w:val="both"/>
        <w:rPr/>
      </w:pPr>
      <w:r>
        <w:rPr>
          <w:spacing w:val="13"/>
        </w:rPr>
        <w:t>为进一步规范和完善湖南省财政厅行政处罚</w:t>
      </w:r>
      <w:r>
        <w:rPr>
          <w:spacing w:val="12"/>
        </w:rPr>
        <w:t>裁量权，根据</w:t>
      </w:r>
      <w:r>
        <w:rPr/>
        <w:t xml:space="preserve"> </w:t>
      </w:r>
      <w:r>
        <w:rPr>
          <w:spacing w:val="13"/>
        </w:rPr>
        <w:t>《中华人民共和国行政处罚法》和湖南省司法厅《关于贯彻落</w:t>
      </w:r>
      <w:r>
        <w:rPr>
          <w:spacing w:val="3"/>
        </w:rPr>
        <w:t xml:space="preserve"> </w:t>
      </w:r>
      <w:r>
        <w:rPr>
          <w:spacing w:val="10"/>
        </w:rPr>
        <w:t>实</w:t>
      </w:r>
      <w:r>
        <w:rPr>
          <w:rFonts w:ascii="Times New Roman" w:hAnsi="Times New Roman" w:eastAsia="Times New Roman" w:cs="Times New Roman"/>
          <w:spacing w:val="10"/>
        </w:rPr>
        <w:t>&lt;</w:t>
      </w:r>
      <w:r>
        <w:rPr>
          <w:spacing w:val="10"/>
        </w:rPr>
        <w:t>行政处罚法</w:t>
      </w:r>
      <w:r>
        <w:rPr>
          <w:rFonts w:ascii="Times New Roman" w:hAnsi="Times New Roman" w:eastAsia="Times New Roman" w:cs="Times New Roman"/>
          <w:spacing w:val="10"/>
        </w:rPr>
        <w:t>&gt;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0"/>
        </w:rPr>
        <w:t>免罚轻罚规定进一步完善行政处罚裁量基准的</w:t>
      </w:r>
      <w:r>
        <w:rPr/>
        <w:t xml:space="preserve"> </w:t>
      </w:r>
      <w:r>
        <w:rPr>
          <w:spacing w:val="4"/>
        </w:rPr>
        <w:t>指导意见》（</w:t>
      </w:r>
      <w:r>
        <w:rPr>
          <w:spacing w:val="-70"/>
        </w:rPr>
        <w:t xml:space="preserve"> </w:t>
      </w:r>
      <w:r>
        <w:rPr>
          <w:spacing w:val="4"/>
        </w:rPr>
        <w:t>湘司发〔</w:t>
      </w:r>
      <w:r>
        <w:rPr>
          <w:rFonts w:ascii="Times New Roman" w:hAnsi="Times New Roman" w:eastAsia="Times New Roman" w:cs="Times New Roman"/>
          <w:spacing w:val="4"/>
        </w:rPr>
        <w:t>2021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4"/>
        </w:rPr>
        <w:t>号）的要求，省财政厅对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2015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年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2"/>
        </w:rPr>
        <w:t>月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8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日公布的《湖南省财政厅行政处罚裁量权基准》（</w:t>
      </w:r>
      <w:r>
        <w:rPr>
          <w:spacing w:val="-79"/>
        </w:rPr>
        <w:t xml:space="preserve"> </w:t>
      </w:r>
      <w:r>
        <w:rPr>
          <w:spacing w:val="-2"/>
        </w:rPr>
        <w:t>湘</w:t>
      </w:r>
      <w:r>
        <w:rPr/>
        <w:t xml:space="preserve"> </w:t>
      </w:r>
      <w:r>
        <w:rPr>
          <w:spacing w:val="3"/>
        </w:rPr>
        <w:t>财法〔</w:t>
      </w:r>
      <w:r>
        <w:rPr>
          <w:rFonts w:ascii="Times New Roman" w:hAnsi="Times New Roman" w:eastAsia="Times New Roman" w:cs="Times New Roman"/>
          <w:spacing w:val="3"/>
        </w:rPr>
        <w:t>2015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号）进行修订，制定了《湖南省财政厅行政处罚</w:t>
      </w:r>
      <w:r>
        <w:rPr/>
        <w:t xml:space="preserve"> </w:t>
      </w:r>
      <w:r>
        <w:rPr>
          <w:spacing w:val="13"/>
        </w:rPr>
        <w:t>裁量权基准实施办法》和《湖南省财政厅行政处罚裁量权基准</w:t>
      </w:r>
    </w:p>
    <w:p>
      <w:pPr>
        <w:spacing w:line="351" w:lineRule="auto"/>
        <w:sectPr>
          <w:footerReference w:type="default" r:id="rId1"/>
          <w:pgSz w:w="11900" w:h="16833"/>
          <w:pgMar w:top="1430" w:right="1468" w:bottom="1953" w:left="1586" w:header="0" w:footer="1585" w:gutter="0"/>
        </w:sectPr>
        <w:rPr/>
      </w:pPr>
    </w:p>
    <w:p>
      <w:pPr>
        <w:pStyle w:val="BodyText"/>
        <w:spacing w:before="144" w:line="419" w:lineRule="exact"/>
        <w:rPr/>
      </w:pPr>
      <w:r>
        <w:rPr>
          <w:spacing w:val="6"/>
          <w:position w:val="2"/>
        </w:rPr>
        <w:t>（</w:t>
      </w:r>
      <w:r>
        <w:rPr>
          <w:rFonts w:ascii="Times New Roman" w:hAnsi="Times New Roman" w:eastAsia="Times New Roman" w:cs="Times New Roman"/>
          <w:spacing w:val="6"/>
          <w:position w:val="2"/>
        </w:rPr>
        <w:t>2022 </w:t>
      </w:r>
      <w:r>
        <w:rPr>
          <w:spacing w:val="6"/>
          <w:position w:val="2"/>
        </w:rPr>
        <w:t>年版）》，现予印发，请遵照执行。</w:t>
      </w:r>
    </w:p>
    <w:p>
      <w:pPr>
        <w:pStyle w:val="BodyText"/>
        <w:ind w:right="87" w:firstLine="642"/>
        <w:spacing w:before="230" w:line="354" w:lineRule="auto"/>
        <w:jc w:val="both"/>
        <w:rPr/>
      </w:pPr>
      <w:r>
        <w:rPr>
          <w:spacing w:val="13"/>
        </w:rPr>
        <w:t>修订后的省财政厅行政处罚裁量权基准制度包含《湖南省</w:t>
      </w:r>
      <w:r>
        <w:rPr>
          <w:spacing w:val="10"/>
        </w:rPr>
        <w:t xml:space="preserve"> </w:t>
      </w:r>
      <w:r>
        <w:rPr>
          <w:spacing w:val="9"/>
        </w:rPr>
        <w:t>财政厅行政处罚裁量权实施办法》</w:t>
      </w:r>
      <w:r>
        <w:rPr>
          <w:rFonts w:ascii="Times New Roman" w:hAnsi="Times New Roman" w:eastAsia="Times New Roman" w:cs="Times New Roman"/>
          <w:spacing w:val="9"/>
        </w:rPr>
        <w:t>(</w:t>
      </w:r>
      <w:r>
        <w:rPr>
          <w:spacing w:val="9"/>
        </w:rPr>
        <w:t>以下简称《实施办法》）和</w:t>
      </w:r>
      <w:r>
        <w:rPr/>
        <w:t xml:space="preserve"> </w:t>
      </w:r>
      <w:r>
        <w:rPr>
          <w:spacing w:val="6"/>
        </w:rPr>
        <w:t>《湖南省财政厅行政处罚裁量权基准（</w:t>
      </w:r>
      <w:r>
        <w:rPr>
          <w:rFonts w:ascii="Times New Roman" w:hAnsi="Times New Roman" w:eastAsia="Times New Roman" w:cs="Times New Roman"/>
          <w:spacing w:val="6"/>
        </w:rPr>
        <w:t>20</w:t>
      </w:r>
      <w:r>
        <w:rPr>
          <w:rFonts w:ascii="Times New Roman" w:hAnsi="Times New Roman" w:eastAsia="Times New Roman" w:cs="Times New Roman"/>
          <w:spacing w:val="5"/>
        </w:rPr>
        <w:t>22 </w:t>
      </w:r>
      <w:r>
        <w:rPr>
          <w:spacing w:val="5"/>
        </w:rPr>
        <w:t>年版）》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以下简称</w:t>
      </w:r>
      <w:r>
        <w:rPr/>
        <w:t xml:space="preserve"> </w:t>
      </w:r>
      <w:r>
        <w:rPr>
          <w:spacing w:val="7"/>
        </w:rPr>
        <w:t>《基准》）</w:t>
      </w:r>
      <w:r>
        <w:rPr>
          <w:spacing w:val="7"/>
        </w:rPr>
        <w:t xml:space="preserve"> </w:t>
      </w:r>
      <w:r>
        <w:rPr>
          <w:spacing w:val="7"/>
        </w:rPr>
        <w:t>两个文件。《实施办法》为文本形式，规定了行政</w:t>
      </w:r>
      <w:r>
        <w:rPr>
          <w:spacing w:val="7"/>
        </w:rPr>
        <w:t xml:space="preserve"> </w:t>
      </w:r>
      <w:r>
        <w:rPr>
          <w:spacing w:val="13"/>
        </w:rPr>
        <w:t>处罚裁量的基本原则、实施要求及减轻、从轻、从重及不予处</w:t>
      </w:r>
      <w:r>
        <w:rPr>
          <w:spacing w:val="7"/>
        </w:rPr>
        <w:t xml:space="preserve"> </w:t>
      </w:r>
      <w:r>
        <w:rPr>
          <w:spacing w:val="10"/>
        </w:rPr>
        <w:t>罚的适用规则，</w:t>
      </w:r>
      <w:r>
        <w:rPr>
          <w:spacing w:val="-67"/>
        </w:rPr>
        <w:t xml:space="preserve"> </w:t>
      </w:r>
      <w:r>
        <w:rPr>
          <w:spacing w:val="10"/>
        </w:rPr>
        <w:t>以及行使裁量权的程序及监督等原则性、一般</w:t>
      </w:r>
      <w:r>
        <w:rPr/>
        <w:t xml:space="preserve"> </w:t>
      </w:r>
      <w:r>
        <w:rPr>
          <w:spacing w:val="12"/>
        </w:rPr>
        <w:t>性规定。《基准》为表格形式，根据财政处罚的领域和对象，</w:t>
      </w:r>
      <w:r>
        <w:rPr>
          <w:spacing w:val="18"/>
        </w:rPr>
        <w:t xml:space="preserve"> </w:t>
      </w:r>
      <w:r>
        <w:rPr>
          <w:spacing w:val="6"/>
        </w:rPr>
        <w:t>分为一般财政违法行为类（</w:t>
      </w:r>
      <w:r>
        <w:rPr>
          <w:rFonts w:ascii="Times New Roman" w:hAnsi="Times New Roman" w:eastAsia="Times New Roman" w:cs="Times New Roman"/>
          <w:spacing w:val="6"/>
        </w:rPr>
        <w:t>22 </w:t>
      </w:r>
      <w:r>
        <w:rPr>
          <w:spacing w:val="6"/>
        </w:rPr>
        <w:t>项）、政府采购类（</w:t>
      </w:r>
      <w:r>
        <w:rPr>
          <w:rFonts w:ascii="Times New Roman" w:hAnsi="Times New Roman" w:eastAsia="Times New Roman" w:cs="Times New Roman"/>
          <w:spacing w:val="6"/>
        </w:rPr>
        <w:t>77 </w:t>
      </w:r>
      <w:r>
        <w:rPr>
          <w:spacing w:val="6"/>
        </w:rPr>
        <w:t>项）、注</w:t>
      </w:r>
      <w:r>
        <w:rPr>
          <w:spacing w:val="16"/>
        </w:rPr>
        <w:t xml:space="preserve"> </w:t>
      </w:r>
      <w:r>
        <w:rPr>
          <w:spacing w:val="7"/>
        </w:rPr>
        <w:t>册会计师和会计师事务所类（</w:t>
      </w:r>
      <w:r>
        <w:rPr>
          <w:rFonts w:ascii="Times New Roman" w:hAnsi="Times New Roman" w:eastAsia="Times New Roman" w:cs="Times New Roman"/>
          <w:spacing w:val="7"/>
        </w:rPr>
        <w:t>37 </w:t>
      </w:r>
      <w:r>
        <w:rPr>
          <w:spacing w:val="7"/>
        </w:rPr>
        <w:t>项）、资</w:t>
      </w:r>
      <w:r>
        <w:rPr>
          <w:spacing w:val="6"/>
        </w:rPr>
        <w:t>产评估类（</w:t>
      </w:r>
      <w:r>
        <w:rPr>
          <w:rFonts w:ascii="Times New Roman" w:hAnsi="Times New Roman" w:eastAsia="Times New Roman" w:cs="Times New Roman"/>
          <w:spacing w:val="6"/>
        </w:rPr>
        <w:t>28 </w:t>
      </w:r>
      <w:r>
        <w:rPr>
          <w:spacing w:val="6"/>
        </w:rPr>
        <w:t>项）、</w:t>
      </w:r>
      <w:r>
        <w:rPr/>
        <w:t xml:space="preserve"> </w:t>
      </w:r>
      <w:r>
        <w:rPr>
          <w:spacing w:val="9"/>
        </w:rPr>
        <w:t>财务会计类（</w:t>
      </w:r>
      <w:r>
        <w:rPr>
          <w:rFonts w:ascii="Times New Roman" w:hAnsi="Times New Roman" w:eastAsia="Times New Roman" w:cs="Times New Roman"/>
          <w:spacing w:val="9"/>
        </w:rPr>
        <w:t>33 </w:t>
      </w:r>
      <w:r>
        <w:rPr>
          <w:spacing w:val="9"/>
        </w:rPr>
        <w:t>项）五个附表。每个附表由违法行为、法律依</w:t>
      </w:r>
      <w:r>
        <w:rPr>
          <w:spacing w:val="14"/>
        </w:rPr>
        <w:t xml:space="preserve"> </w:t>
      </w:r>
      <w:r>
        <w:rPr>
          <w:spacing w:val="13"/>
        </w:rPr>
        <w:t>据、适用情形、违法程度和裁量标准等五栏内容构成。两个文</w:t>
      </w:r>
      <w:r>
        <w:rPr>
          <w:spacing w:val="7"/>
        </w:rPr>
        <w:t xml:space="preserve"> </w:t>
      </w:r>
      <w:r>
        <w:rPr>
          <w:spacing w:val="7"/>
        </w:rPr>
        <w:t>件配套使用。</w:t>
      </w:r>
    </w:p>
    <w:p>
      <w:pPr>
        <w:pStyle w:val="BodyText"/>
        <w:ind w:left="6" w:firstLine="651"/>
        <w:spacing w:before="66" w:line="350" w:lineRule="auto"/>
        <w:jc w:val="both"/>
        <w:rPr/>
      </w:pPr>
      <w:r>
        <w:rPr>
          <w:spacing w:val="4"/>
        </w:rPr>
        <w:t>省财政厅实施行政处罚应当适用《实施办法》及《</w:t>
      </w:r>
      <w:r>
        <w:rPr>
          <w:spacing w:val="3"/>
        </w:rPr>
        <w:t>基准》。</w:t>
      </w:r>
      <w:r>
        <w:rPr/>
        <w:t xml:space="preserve"> </w:t>
      </w:r>
      <w:r>
        <w:rPr>
          <w:spacing w:val="13"/>
        </w:rPr>
        <w:t>各市州、县市区财政部门应当根据各自法定职权，结合当地实</w:t>
      </w:r>
      <w:r>
        <w:rPr>
          <w:spacing w:val="1"/>
        </w:rPr>
        <w:t xml:space="preserve"> </w:t>
      </w:r>
      <w:r>
        <w:rPr>
          <w:spacing w:val="13"/>
        </w:rPr>
        <w:t>际情况，参照制定各自的财政行政处罚裁量权基准，报省财政</w:t>
      </w:r>
      <w:r>
        <w:rPr>
          <w:spacing w:val="1"/>
        </w:rPr>
        <w:t xml:space="preserve"> </w:t>
      </w:r>
      <w:r>
        <w:rPr>
          <w:spacing w:val="7"/>
        </w:rPr>
        <w:t>厅备案。暂未制定的，可参照适用《实施办法》及《基准》。</w:t>
      </w:r>
    </w:p>
    <w:p>
      <w:pPr>
        <w:pStyle w:val="BodyText"/>
        <w:ind w:left="11" w:right="91" w:firstLine="629"/>
        <w:spacing w:line="363" w:lineRule="auto"/>
        <w:jc w:val="both"/>
        <w:rPr/>
      </w:pPr>
      <w:r>
        <w:rPr>
          <w:spacing w:val="-3"/>
        </w:rPr>
        <w:t>《实施办法》及《基准》</w:t>
      </w:r>
      <w:r>
        <w:rPr>
          <w:spacing w:val="-74"/>
        </w:rPr>
        <w:t xml:space="preserve"> </w:t>
      </w:r>
      <w:r>
        <w:rPr>
          <w:spacing w:val="-3"/>
        </w:rPr>
        <w:t>自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-3"/>
        </w:rPr>
        <w:t>日起施行，有效</w:t>
      </w:r>
      <w:r>
        <w:rPr/>
        <w:t xml:space="preserve"> </w:t>
      </w:r>
      <w:r>
        <w:rPr>
          <w:spacing w:val="11"/>
        </w:rPr>
        <w:t>期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1"/>
        </w:rPr>
        <w:t>年。对今后颁布的法律、法规和规章中有自由裁量空间的</w:t>
      </w:r>
      <w:r>
        <w:rPr/>
        <w:t xml:space="preserve"> </w:t>
      </w:r>
      <w:r>
        <w:rPr>
          <w:spacing w:val="13"/>
        </w:rPr>
        <w:t>财政行政处罚条款，省财政厅将不定期作出</w:t>
      </w:r>
      <w:r>
        <w:rPr>
          <w:spacing w:val="12"/>
        </w:rPr>
        <w:t>裁量基准修订或补</w:t>
      </w:r>
      <w:r>
        <w:rPr/>
        <w:t xml:space="preserve"> </w:t>
      </w:r>
      <w:r>
        <w:rPr>
          <w:spacing w:val="-17"/>
        </w:rPr>
        <w:t>充。</w:t>
      </w:r>
    </w:p>
    <w:p>
      <w:pPr>
        <w:spacing w:line="363" w:lineRule="auto"/>
        <w:sectPr>
          <w:footerReference w:type="default" r:id="rId3"/>
          <w:pgSz w:w="11900" w:h="16833"/>
          <w:pgMar w:top="1430" w:right="1488" w:bottom="1953" w:left="1590" w:header="0" w:footer="1585" w:gutter="0"/>
        </w:sectPr>
        <w:rPr/>
      </w:pPr>
    </w:p>
    <w:p>
      <w:pPr>
        <w:pStyle w:val="BodyText"/>
        <w:spacing w:before="161" w:line="418" w:lineRule="exact"/>
        <w:jc w:val="right"/>
        <w:rPr/>
      </w:pPr>
      <w:r>
        <w:rPr>
          <w:spacing w:val="6"/>
          <w:position w:val="2"/>
        </w:rPr>
        <w:t>附件：</w:t>
      </w:r>
      <w:r>
        <w:rPr>
          <w:rFonts w:ascii="Times New Roman" w:hAnsi="Times New Roman" w:eastAsia="Times New Roman" w:cs="Times New Roman"/>
          <w:spacing w:val="6"/>
          <w:position w:val="2"/>
        </w:rPr>
        <w:t>1</w:t>
      </w:r>
      <w:r>
        <w:rPr>
          <w:rFonts w:ascii="Times New Roman" w:hAnsi="Times New Roman" w:eastAsia="Times New Roman" w:cs="Times New Roman"/>
          <w:spacing w:val="-21"/>
          <w:position w:val="2"/>
        </w:rPr>
        <w:t xml:space="preserve"> </w:t>
      </w:r>
      <w:r>
        <w:rPr>
          <w:spacing w:val="6"/>
          <w:position w:val="2"/>
        </w:rPr>
        <w:t>、《湖南省财政厅行政处罚裁量权基准实施办法》</w:t>
      </w:r>
    </w:p>
    <w:p>
      <w:pPr>
        <w:pStyle w:val="BodyText"/>
        <w:ind w:left="2075" w:right="66" w:hanging="650"/>
        <w:spacing w:before="202" w:line="360" w:lineRule="auto"/>
        <w:rPr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11"/>
        </w:rPr>
        <w:t>、《湖南省财政厅行政处罚裁量权基准》（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2022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年版）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224"/>
        <w:spacing w:before="100" w:line="223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3846923</wp:posOffset>
            </wp:positionH>
            <wp:positionV relativeFrom="paragraph">
              <wp:posOffset>-634991</wp:posOffset>
            </wp:positionV>
            <wp:extent cx="1511999" cy="151199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6"/>
        </w:rPr>
        <w:t>湖南省财政厅</w:t>
      </w:r>
    </w:p>
    <w:p>
      <w:pPr>
        <w:pStyle w:val="BodyText"/>
        <w:ind w:right="13"/>
        <w:spacing w:before="196" w:line="418" w:lineRule="exact"/>
        <w:jc w:val="right"/>
        <w:rPr/>
      </w:pPr>
      <w:r>
        <w:rPr>
          <w:rFonts w:ascii="Times New Roman" w:hAnsi="Times New Roman" w:eastAsia="Times New Roman" w:cs="Times New Roman"/>
          <w:spacing w:val="-4"/>
          <w:position w:val="2"/>
        </w:rPr>
        <w:t>2022</w:t>
      </w:r>
      <w:r>
        <w:rPr>
          <w:rFonts w:ascii="Times New Roman" w:hAnsi="Times New Roman" w:eastAsia="Times New Roman" w:cs="Times New Roman"/>
          <w:spacing w:val="28"/>
          <w:position w:val="2"/>
        </w:rPr>
        <w:t xml:space="preserve"> </w:t>
      </w:r>
      <w:r>
        <w:rPr>
          <w:spacing w:val="-4"/>
          <w:position w:val="2"/>
        </w:rPr>
        <w:t>年</w:t>
      </w:r>
      <w:r>
        <w:rPr>
          <w:spacing w:val="-39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12</w:t>
      </w:r>
      <w:r>
        <w:rPr>
          <w:rFonts w:ascii="Times New Roman" w:hAnsi="Times New Roman" w:eastAsia="Times New Roman" w:cs="Times New Roman"/>
          <w:spacing w:val="32"/>
          <w:position w:val="2"/>
        </w:rPr>
        <w:t xml:space="preserve"> </w:t>
      </w:r>
      <w:r>
        <w:rPr>
          <w:spacing w:val="-4"/>
          <w:position w:val="2"/>
        </w:rPr>
        <w:t>月</w:t>
      </w:r>
      <w:r>
        <w:rPr>
          <w:spacing w:val="-66"/>
          <w:position w:val="2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2"/>
        </w:rPr>
        <w:t>29  </w:t>
      </w:r>
      <w:r>
        <w:rPr>
          <w:spacing w:val="-4"/>
          <w:position w:val="2"/>
        </w:rPr>
        <w:t>日</w:t>
      </w:r>
    </w:p>
    <w:p>
      <w:pPr>
        <w:spacing w:line="418" w:lineRule="exact"/>
        <w:sectPr>
          <w:footerReference w:type="default" r:id="rId4"/>
          <w:pgSz w:w="11900" w:h="16833"/>
          <w:pgMar w:top="1430" w:right="1517" w:bottom="1953" w:left="1784" w:header="0" w:footer="1585" w:gutter="0"/>
        </w:sectPr>
        <w:rPr/>
      </w:pPr>
    </w:p>
    <w:p>
      <w:pPr>
        <w:ind w:left="22"/>
        <w:spacing w:before="113" w:line="418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"/>
        </w:rPr>
        <w:t>1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565"/>
        <w:spacing w:before="171" w:line="212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湖南省财政厅行政处罚裁量权基准实施办法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3410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第一章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3"/>
        </w:rPr>
        <w:t>总则</w:t>
      </w:r>
    </w:p>
    <w:p>
      <w:pPr>
        <w:pStyle w:val="BodyText"/>
        <w:ind w:firstLine="662"/>
        <w:spacing w:before="298" w:line="315" w:lineRule="auto"/>
        <w:rPr/>
      </w:pPr>
      <w:r>
        <w:rPr>
          <w:b/>
          <w:bCs/>
          <w:spacing w:val="11"/>
        </w:rPr>
        <w:t>第一条</w:t>
      </w:r>
      <w:r>
        <w:rPr>
          <w:spacing w:val="11"/>
        </w:rPr>
        <w:t xml:space="preserve">  </w:t>
      </w:r>
      <w:r>
        <w:rPr>
          <w:spacing w:val="11"/>
        </w:rPr>
        <w:t>为规范和正确行使财政行政处罚裁量权，促进财</w:t>
      </w:r>
      <w:r>
        <w:rPr>
          <w:spacing w:val="17"/>
        </w:rPr>
        <w:t xml:space="preserve"> </w:t>
      </w:r>
      <w:r>
        <w:rPr>
          <w:spacing w:val="13"/>
        </w:rPr>
        <w:t>政部门依法行政，提高依法理财水平，保护公民、法人或者其</w:t>
      </w:r>
      <w:r>
        <w:rPr>
          <w:spacing w:val="5"/>
        </w:rPr>
        <w:t xml:space="preserve"> </w:t>
      </w:r>
      <w:r>
        <w:rPr>
          <w:spacing w:val="1"/>
        </w:rPr>
        <w:t>他组织的合法权益，根据《中华人民共和国行政处罚法》、《湖</w:t>
      </w:r>
      <w:r>
        <w:rPr>
          <w:spacing w:val="14"/>
        </w:rPr>
        <w:t xml:space="preserve"> </w:t>
      </w:r>
      <w:r>
        <w:rPr>
          <w:spacing w:val="11"/>
        </w:rPr>
        <w:t>南省规范行政裁量权办法》（省人民政府令第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244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1"/>
        </w:rPr>
        <w:t>号）和</w:t>
      </w:r>
      <w:r>
        <w:rPr>
          <w:spacing w:val="10"/>
        </w:rPr>
        <w:t>《财</w:t>
      </w:r>
      <w:r>
        <w:rPr/>
        <w:t xml:space="preserve"> </w:t>
      </w:r>
      <w:r>
        <w:rPr>
          <w:spacing w:val="3"/>
        </w:rPr>
        <w:t>政部门行使行政处罚裁量权指导规范》（财法〔</w:t>
      </w:r>
      <w:r>
        <w:rPr>
          <w:rFonts w:ascii="Times New Roman" w:hAnsi="Times New Roman" w:eastAsia="Times New Roman" w:cs="Times New Roman"/>
          <w:spacing w:val="3"/>
        </w:rPr>
        <w:t>2013</w:t>
      </w:r>
      <w:r>
        <w:rPr>
          <w:spacing w:val="3"/>
        </w:rPr>
        <w:t>〕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3"/>
        </w:rPr>
        <w:t>号）等</w:t>
      </w:r>
      <w:r>
        <w:rPr/>
        <w:t xml:space="preserve"> </w:t>
      </w:r>
      <w:r>
        <w:rPr>
          <w:spacing w:val="5"/>
        </w:rPr>
        <w:t>有关规定，制定本实施办法。</w:t>
      </w:r>
    </w:p>
    <w:p>
      <w:pPr>
        <w:pStyle w:val="BodyText"/>
        <w:ind w:left="18" w:firstLine="643"/>
        <w:spacing w:before="189" w:line="279" w:lineRule="auto"/>
        <w:rPr/>
      </w:pPr>
      <w:r>
        <w:rPr>
          <w:b/>
          <w:bCs/>
          <w:spacing w:val="11"/>
        </w:rPr>
        <w:t>第二条</w:t>
      </w:r>
      <w:r>
        <w:rPr>
          <w:spacing w:val="11"/>
        </w:rPr>
        <w:t xml:space="preserve">  </w:t>
      </w:r>
      <w:r>
        <w:rPr>
          <w:spacing w:val="11"/>
        </w:rPr>
        <w:t>湖南省财政厅行使行政处罚裁量权，适用本实施</w:t>
      </w:r>
      <w:r>
        <w:rPr>
          <w:spacing w:val="17"/>
        </w:rPr>
        <w:t xml:space="preserve"> </w:t>
      </w:r>
      <w:r>
        <w:rPr>
          <w:spacing w:val="-3"/>
        </w:rPr>
        <w:t>办法。</w:t>
      </w:r>
    </w:p>
    <w:p>
      <w:pPr>
        <w:pStyle w:val="BodyText"/>
        <w:ind w:left="8" w:firstLine="653"/>
        <w:spacing w:before="186" w:line="311" w:lineRule="auto"/>
        <w:rPr/>
      </w:pPr>
      <w:r>
        <w:rPr>
          <w:b/>
          <w:bCs/>
          <w:spacing w:val="11"/>
        </w:rPr>
        <w:t>第三条</w:t>
      </w:r>
      <w:r>
        <w:rPr>
          <w:spacing w:val="11"/>
        </w:rPr>
        <w:t xml:space="preserve">  </w:t>
      </w:r>
      <w:r>
        <w:rPr>
          <w:spacing w:val="11"/>
        </w:rPr>
        <w:t>本办法所称财政行政处罚裁量权是指财政部门查</w:t>
      </w:r>
      <w:r>
        <w:rPr>
          <w:spacing w:val="17"/>
        </w:rPr>
        <w:t xml:space="preserve"> </w:t>
      </w:r>
      <w:r>
        <w:rPr>
          <w:spacing w:val="12"/>
        </w:rPr>
        <w:t>处违法行为时，依据法律、法规和规章的规定，从法律目的、</w:t>
      </w:r>
      <w:r>
        <w:rPr>
          <w:spacing w:val="9"/>
        </w:rPr>
        <w:t xml:space="preserve"> </w:t>
      </w:r>
      <w:r>
        <w:rPr>
          <w:spacing w:val="9"/>
        </w:rPr>
        <w:t>违法行为的事实、性质、情节、社会危害程度等方面综合裁量</w:t>
      </w:r>
      <w:r>
        <w:rPr>
          <w:rFonts w:ascii="Times New Roman" w:hAnsi="Times New Roman" w:eastAsia="Times New Roman" w:cs="Times New Roman"/>
          <w:spacing w:val="9"/>
        </w:rPr>
        <w:t>,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13"/>
        </w:rPr>
        <w:t>在职权范围内选择对当事人是否处罚以及处罚种类和</w:t>
      </w:r>
      <w:r>
        <w:rPr>
          <w:spacing w:val="12"/>
        </w:rPr>
        <w:t>幅度的权</w:t>
      </w:r>
      <w:r>
        <w:rPr/>
        <w:t xml:space="preserve"> </w:t>
      </w:r>
      <w:r>
        <w:rPr>
          <w:spacing w:val="-17"/>
        </w:rPr>
        <w:t>限。</w:t>
      </w:r>
    </w:p>
    <w:p>
      <w:pPr>
        <w:pStyle w:val="BodyText"/>
        <w:ind w:left="662"/>
        <w:spacing w:before="186" w:line="221" w:lineRule="auto"/>
        <w:rPr/>
      </w:pPr>
      <w:r>
        <w:rPr>
          <w:b/>
          <w:bCs/>
          <w:spacing w:val="7"/>
        </w:rPr>
        <w:t>第四条</w:t>
      </w:r>
      <w:r>
        <w:rPr>
          <w:spacing w:val="7"/>
        </w:rPr>
        <w:t xml:space="preserve">  </w:t>
      </w:r>
      <w:r>
        <w:rPr>
          <w:spacing w:val="7"/>
        </w:rPr>
        <w:t>财政行政处罚裁量权主要包括以下方面：</w:t>
      </w:r>
    </w:p>
    <w:p>
      <w:pPr>
        <w:pStyle w:val="BodyText"/>
        <w:ind w:left="637"/>
        <w:spacing w:before="185" w:line="223" w:lineRule="auto"/>
        <w:rPr/>
      </w:pPr>
      <w:r>
        <w:rPr>
          <w:spacing w:val="4"/>
        </w:rPr>
        <w:t>（</w:t>
      </w:r>
      <w:r>
        <w:rPr>
          <w:spacing w:val="-66"/>
        </w:rPr>
        <w:t xml:space="preserve"> </w:t>
      </w:r>
      <w:r>
        <w:rPr>
          <w:spacing w:val="4"/>
        </w:rPr>
        <w:t>一）对财政违法行为违法情节的认定；</w:t>
      </w:r>
    </w:p>
    <w:p>
      <w:pPr>
        <w:pStyle w:val="BodyText"/>
        <w:ind w:left="637"/>
        <w:spacing w:before="187" w:line="223" w:lineRule="auto"/>
        <w:rPr/>
      </w:pPr>
      <w:r>
        <w:rPr>
          <w:spacing w:val="9"/>
        </w:rPr>
        <w:t>（二）对财政违法行为违法程度的认定；</w:t>
      </w:r>
    </w:p>
    <w:p>
      <w:pPr>
        <w:pStyle w:val="BodyText"/>
        <w:ind w:left="637"/>
        <w:spacing w:before="184" w:line="223" w:lineRule="auto"/>
        <w:rPr/>
      </w:pPr>
      <w:r>
        <w:rPr>
          <w:spacing w:val="5"/>
        </w:rPr>
        <w:t>（三）对财政违法行为是否给予处罚；</w:t>
      </w:r>
    </w:p>
    <w:p>
      <w:pPr>
        <w:pStyle w:val="BodyText"/>
        <w:ind w:left="637"/>
        <w:spacing w:before="185" w:line="223" w:lineRule="auto"/>
        <w:rPr/>
      </w:pPr>
      <w:r>
        <w:rPr>
          <w:spacing w:val="5"/>
        </w:rPr>
        <w:t>（四）对财政违法行为给予何种处罚；</w:t>
      </w:r>
    </w:p>
    <w:p>
      <w:pPr>
        <w:spacing w:line="223" w:lineRule="auto"/>
        <w:sectPr>
          <w:footerReference w:type="default" r:id="rId6"/>
          <w:pgSz w:w="11900" w:h="16833"/>
          <w:pgMar w:top="1430" w:right="1579" w:bottom="1953" w:left="1593" w:header="0" w:footer="1585" w:gutter="0"/>
        </w:sectPr>
        <w:rPr/>
      </w:pPr>
    </w:p>
    <w:p>
      <w:pPr>
        <w:pStyle w:val="BodyText"/>
        <w:ind w:left="632"/>
        <w:spacing w:before="158" w:line="223" w:lineRule="auto"/>
        <w:rPr/>
      </w:pPr>
      <w:r>
        <w:rPr>
          <w:spacing w:val="6"/>
        </w:rPr>
        <w:t>（五）对财政违法行为给予何种幅度的处罚。</w:t>
      </w:r>
    </w:p>
    <w:p>
      <w:pPr>
        <w:pStyle w:val="BodyText"/>
        <w:ind w:left="13" w:firstLine="643"/>
        <w:spacing w:before="187" w:line="334" w:lineRule="auto"/>
        <w:rPr/>
      </w:pPr>
      <w:r>
        <w:rPr>
          <w:b/>
          <w:bCs/>
          <w:spacing w:val="3"/>
        </w:rPr>
        <w:t>第五条</w:t>
      </w:r>
      <w:r>
        <w:rPr>
          <w:spacing w:val="3"/>
        </w:rPr>
        <w:t xml:space="preserve">  </w:t>
      </w:r>
      <w:r>
        <w:rPr>
          <w:spacing w:val="3"/>
        </w:rPr>
        <w:t>行使财政行政处罚裁量权，应当遵循合法、合理、</w:t>
      </w:r>
      <w:r>
        <w:rPr>
          <w:spacing w:val="7"/>
        </w:rPr>
        <w:t xml:space="preserve"> </w:t>
      </w:r>
      <w:r>
        <w:rPr>
          <w:spacing w:val="7"/>
        </w:rPr>
        <w:t>综合、处罚与教育相结合的原则。</w:t>
      </w:r>
    </w:p>
    <w:p>
      <w:pPr>
        <w:pStyle w:val="BodyText"/>
        <w:ind w:left="11" w:right="154" w:firstLine="621"/>
        <w:spacing w:before="1" w:line="277" w:lineRule="auto"/>
        <w:rPr/>
      </w:pPr>
      <w:r>
        <w:rPr>
          <w:spacing w:val="8"/>
        </w:rPr>
        <w:t>（</w:t>
      </w:r>
      <w:r>
        <w:rPr>
          <w:spacing w:val="-74"/>
        </w:rPr>
        <w:t xml:space="preserve"> </w:t>
      </w:r>
      <w:r>
        <w:rPr>
          <w:spacing w:val="8"/>
        </w:rPr>
        <w:t>一）合法裁量。财政部门行使行政处罚裁量权</w:t>
      </w:r>
      <w:r>
        <w:rPr>
          <w:spacing w:val="7"/>
        </w:rPr>
        <w:t>，不得与</w:t>
      </w:r>
      <w:r>
        <w:rPr/>
        <w:t xml:space="preserve"> </w:t>
      </w:r>
      <w:r>
        <w:rPr>
          <w:spacing w:val="7"/>
        </w:rPr>
        <w:t>法律、法规和规章的规定相抵触。</w:t>
      </w:r>
    </w:p>
    <w:p>
      <w:pPr>
        <w:pStyle w:val="BodyText"/>
        <w:ind w:left="3" w:right="6" w:firstLine="629"/>
        <w:spacing w:before="187" w:line="306" w:lineRule="auto"/>
        <w:rPr/>
      </w:pPr>
      <w:r>
        <w:rPr>
          <w:spacing w:val="13"/>
        </w:rPr>
        <w:t>（二）合理裁量。财政行政处罚裁量权的行使应当合</w:t>
      </w:r>
      <w:r>
        <w:rPr>
          <w:spacing w:val="12"/>
        </w:rPr>
        <w:t>理、</w:t>
      </w:r>
      <w:r>
        <w:rPr/>
        <w:t xml:space="preserve"> </w:t>
      </w:r>
      <w:r>
        <w:rPr>
          <w:spacing w:val="4"/>
        </w:rPr>
        <w:t>适当，应当与当事人的过错程度、造成的社会危害程度相一致。</w:t>
      </w:r>
      <w:r>
        <w:rPr>
          <w:spacing w:val="13"/>
        </w:rPr>
        <w:t xml:space="preserve"> </w:t>
      </w:r>
      <w:r>
        <w:rPr>
          <w:spacing w:val="13"/>
        </w:rPr>
        <w:t>案件处理应当平等对待当事人，不偏私、不歧视。禁</w:t>
      </w:r>
      <w:r>
        <w:rPr>
          <w:spacing w:val="12"/>
        </w:rPr>
        <w:t>止处罚畸</w:t>
      </w:r>
      <w:r>
        <w:rPr/>
        <w:t xml:space="preserve"> </w:t>
      </w:r>
      <w:r>
        <w:rPr>
          <w:spacing w:val="3"/>
        </w:rPr>
        <w:t>轻畸重、重责轻罚、轻责重罚。</w:t>
      </w:r>
    </w:p>
    <w:p>
      <w:pPr>
        <w:pStyle w:val="BodyText"/>
        <w:ind w:right="94" w:firstLine="632"/>
        <w:spacing w:before="186" w:line="305" w:lineRule="auto"/>
        <w:rPr/>
      </w:pPr>
      <w:r>
        <w:rPr>
          <w:spacing w:val="13"/>
        </w:rPr>
        <w:t>（三）综合裁量。行使行政处罚裁量权，应当综合考虑违</w:t>
      </w:r>
      <w:r>
        <w:rPr>
          <w:spacing w:val="12"/>
        </w:rPr>
        <w:t xml:space="preserve"> </w:t>
      </w:r>
      <w:r>
        <w:rPr>
          <w:spacing w:val="13"/>
        </w:rPr>
        <w:t>法行为的事实、性质、情节、主客观因素、以及社会危害程度</w:t>
      </w:r>
      <w:r>
        <w:rPr/>
        <w:t xml:space="preserve"> </w:t>
      </w:r>
      <w:r>
        <w:rPr>
          <w:spacing w:val="13"/>
        </w:rPr>
        <w:t>等因素。除法律依据和客观情况变化外，处理相同的违法行政</w:t>
      </w:r>
      <w:r>
        <w:rPr/>
        <w:t xml:space="preserve"> </w:t>
      </w:r>
      <w:r>
        <w:rPr>
          <w:spacing w:val="8"/>
        </w:rPr>
        <w:t>行为应当与以往依法作出的行政处罚基本相同。</w:t>
      </w:r>
    </w:p>
    <w:p>
      <w:pPr>
        <w:pStyle w:val="BodyText"/>
        <w:ind w:left="32" w:right="13" w:firstLine="600"/>
        <w:spacing w:before="188" w:line="278" w:lineRule="auto"/>
        <w:rPr/>
      </w:pPr>
      <w:r>
        <w:rPr>
          <w:spacing w:val="1"/>
        </w:rPr>
        <w:t>（四</w:t>
      </w:r>
      <w:r>
        <w:rPr>
          <w:spacing w:val="-66"/>
        </w:rPr>
        <w:t xml:space="preserve"> </w:t>
      </w:r>
      <w:r>
        <w:rPr>
          <w:spacing w:val="1"/>
        </w:rPr>
        <w:t>）处罚与教育相结合。财政部门在行使</w:t>
      </w:r>
      <w:r>
        <w:rPr/>
        <w:t>处罚裁量权时，</w:t>
      </w:r>
      <w:r>
        <w:rPr/>
        <w:t xml:space="preserve"> </w:t>
      </w:r>
      <w:r>
        <w:rPr>
          <w:spacing w:val="5"/>
        </w:rPr>
        <w:t>既要制裁违法行为，又要教育当事人自觉遵守法律。</w:t>
      </w:r>
    </w:p>
    <w:p>
      <w:pPr>
        <w:pStyle w:val="BodyText"/>
        <w:ind w:left="9" w:right="94" w:firstLine="647"/>
        <w:spacing w:before="191" w:line="333" w:lineRule="auto"/>
        <w:jc w:val="both"/>
        <w:rPr/>
      </w:pPr>
      <w:r>
        <w:rPr>
          <w:b/>
          <w:bCs/>
          <w:spacing w:val="11"/>
        </w:rPr>
        <w:t>第六条</w:t>
      </w:r>
      <w:r>
        <w:rPr>
          <w:spacing w:val="11"/>
        </w:rPr>
        <w:t xml:space="preserve">  </w:t>
      </w:r>
      <w:r>
        <w:rPr>
          <w:spacing w:val="11"/>
        </w:rPr>
        <w:t>同一违法行为同时违反不同法律规范，相关法律</w:t>
      </w:r>
      <w:r>
        <w:rPr>
          <w:spacing w:val="17"/>
        </w:rPr>
        <w:t xml:space="preserve"> </w:t>
      </w:r>
      <w:r>
        <w:rPr>
          <w:spacing w:val="12"/>
        </w:rPr>
        <w:t>规范对同一事项的规定不一致的，适用法律依据时应当遵循以</w:t>
      </w:r>
      <w:r>
        <w:rPr>
          <w:spacing w:val="17"/>
        </w:rPr>
        <w:t xml:space="preserve"> </w:t>
      </w:r>
      <w:r>
        <w:rPr>
          <w:spacing w:val="-10"/>
        </w:rPr>
        <w:t>下原则：</w:t>
      </w:r>
    </w:p>
    <w:p>
      <w:pPr>
        <w:pStyle w:val="BodyText"/>
        <w:ind w:left="632"/>
        <w:spacing w:line="222" w:lineRule="auto"/>
        <w:rPr/>
      </w:pPr>
      <w:r>
        <w:rPr>
          <w:spacing w:val="6"/>
        </w:rPr>
        <w:t>（</w:t>
      </w:r>
      <w:r>
        <w:rPr>
          <w:spacing w:val="-78"/>
        </w:rPr>
        <w:t xml:space="preserve"> </w:t>
      </w:r>
      <w:r>
        <w:rPr>
          <w:spacing w:val="6"/>
        </w:rPr>
        <w:t>一）属于不同效力的法律规范，优先适用效力高的；</w:t>
      </w:r>
    </w:p>
    <w:p>
      <w:pPr>
        <w:pStyle w:val="BodyText"/>
        <w:ind w:left="3" w:right="94" w:firstLine="629"/>
        <w:spacing w:before="190" w:line="311" w:lineRule="auto"/>
        <w:rPr/>
      </w:pPr>
      <w:r>
        <w:rPr>
          <w:spacing w:val="13"/>
        </w:rPr>
        <w:t>（二）属于同一机关制定的法律规范，特别规定与一般规</w:t>
      </w:r>
      <w:r>
        <w:rPr>
          <w:spacing w:val="12"/>
        </w:rPr>
        <w:t xml:space="preserve"> </w:t>
      </w:r>
      <w:r>
        <w:rPr>
          <w:spacing w:val="12"/>
        </w:rPr>
        <w:t>定不一致的，适用特别规定；新的规定与违法行为发生时的规</w:t>
      </w:r>
      <w:r>
        <w:rPr>
          <w:spacing w:val="18"/>
        </w:rPr>
        <w:t xml:space="preserve"> </w:t>
      </w:r>
      <w:r>
        <w:rPr>
          <w:spacing w:val="13"/>
        </w:rPr>
        <w:t>定不一致的，适用违法行为发生时的规定；但</w:t>
      </w:r>
      <w:r>
        <w:rPr>
          <w:spacing w:val="12"/>
        </w:rPr>
        <w:t>是，作出行政处</w:t>
      </w:r>
      <w:r>
        <w:rPr/>
        <w:t xml:space="preserve"> </w:t>
      </w:r>
      <w:r>
        <w:rPr>
          <w:spacing w:val="13"/>
        </w:rPr>
        <w:t>罚决定时，规定已被修改或者废止，且新的规定处</w:t>
      </w:r>
      <w:r>
        <w:rPr>
          <w:spacing w:val="12"/>
        </w:rPr>
        <w:t>罚较轻或者</w:t>
      </w:r>
      <w:r>
        <w:rPr/>
        <w:t xml:space="preserve"> </w:t>
      </w:r>
      <w:r>
        <w:rPr>
          <w:spacing w:val="8"/>
        </w:rPr>
        <w:t>不认为是违法的，适用新的规定。</w:t>
      </w:r>
    </w:p>
    <w:p>
      <w:pPr>
        <w:spacing w:line="311" w:lineRule="auto"/>
        <w:sectPr>
          <w:footerReference w:type="default" r:id="rId7"/>
          <w:pgSz w:w="11900" w:h="16833"/>
          <w:pgMar w:top="1430" w:right="1485" w:bottom="1860" w:left="1598" w:header="0" w:footer="1610" w:gutter="0"/>
        </w:sectPr>
        <w:rPr/>
      </w:pPr>
    </w:p>
    <w:p>
      <w:pPr>
        <w:pStyle w:val="BodyText"/>
        <w:ind w:left="15" w:firstLine="622"/>
        <w:spacing w:before="161" w:line="296" w:lineRule="auto"/>
        <w:rPr/>
      </w:pPr>
      <w:r>
        <w:rPr>
          <w:spacing w:val="13"/>
        </w:rPr>
        <w:t>（三）属于地方性法规与部门规章、部门规章之间、部门</w:t>
      </w:r>
      <w:r>
        <w:rPr>
          <w:spacing w:val="12"/>
        </w:rPr>
        <w:t xml:space="preserve"> </w:t>
      </w:r>
      <w:r>
        <w:rPr>
          <w:spacing w:val="12"/>
        </w:rPr>
        <w:t>规章与地方政府规章之间对同一事项的规定不一致的，按照立</w:t>
      </w:r>
      <w:r>
        <w:rPr>
          <w:spacing w:val="17"/>
        </w:rPr>
        <w:t xml:space="preserve"> </w:t>
      </w:r>
      <w:r>
        <w:rPr>
          <w:spacing w:val="7"/>
        </w:rPr>
        <w:t>法法的规定由国务院裁决或者提请全国人大常委会裁决。</w:t>
      </w:r>
    </w:p>
    <w:p>
      <w:pPr>
        <w:pStyle w:val="BodyText"/>
        <w:ind w:left="8" w:firstLine="630"/>
        <w:spacing w:before="188" w:line="297" w:lineRule="auto"/>
        <w:rPr/>
      </w:pPr>
      <w:r>
        <w:rPr>
          <w:spacing w:val="13"/>
        </w:rPr>
        <w:t>（四）对当事人的同一个违法行为，不得给予两次以上罚</w:t>
      </w:r>
      <w:r>
        <w:rPr>
          <w:spacing w:val="12"/>
        </w:rPr>
        <w:t xml:space="preserve"> </w:t>
      </w:r>
      <w:r>
        <w:rPr>
          <w:spacing w:val="13"/>
        </w:rPr>
        <w:t>款的行政处罚。同一个违法行为违反多个法律规范应当</w:t>
      </w:r>
      <w:r>
        <w:rPr>
          <w:spacing w:val="12"/>
        </w:rPr>
        <w:t>给予罚</w:t>
      </w:r>
      <w:r>
        <w:rPr/>
        <w:t xml:space="preserve"> </w:t>
      </w:r>
      <w:r>
        <w:rPr>
          <w:spacing w:val="8"/>
        </w:rPr>
        <w:t>款处罚的，按照罚款数额高的规定处罚。</w:t>
      </w:r>
    </w:p>
    <w:p>
      <w:pPr>
        <w:pStyle w:val="BodyText"/>
        <w:ind w:left="13" w:firstLine="649"/>
        <w:spacing w:before="179" w:line="306" w:lineRule="auto"/>
        <w:rPr/>
      </w:pPr>
      <w:r>
        <w:rPr>
          <w:b/>
          <w:bCs/>
          <w:spacing w:val="11"/>
        </w:rPr>
        <w:t>第七条</w:t>
      </w:r>
      <w:r>
        <w:rPr>
          <w:spacing w:val="11"/>
        </w:rPr>
        <w:t xml:space="preserve">  </w:t>
      </w:r>
      <w:r>
        <w:rPr>
          <w:spacing w:val="11"/>
        </w:rPr>
        <w:t>法律、法规和规章规定应当对财政违法行为予以</w:t>
      </w:r>
      <w:r>
        <w:rPr>
          <w:spacing w:val="17"/>
        </w:rPr>
        <w:t xml:space="preserve"> </w:t>
      </w:r>
      <w:r>
        <w:rPr>
          <w:spacing w:val="13"/>
        </w:rPr>
        <w:t>并处的，财政部门应当予以并处，不得选择</w:t>
      </w:r>
      <w:r>
        <w:rPr>
          <w:spacing w:val="12"/>
        </w:rPr>
        <w:t>单处；法律、法规</w:t>
      </w:r>
      <w:r>
        <w:rPr/>
        <w:t xml:space="preserve"> </w:t>
      </w:r>
      <w:r>
        <w:rPr>
          <w:spacing w:val="13"/>
        </w:rPr>
        <w:t>和规章规定对财政违法行为可以单处也可以</w:t>
      </w:r>
      <w:r>
        <w:rPr>
          <w:spacing w:val="12"/>
        </w:rPr>
        <w:t>并处的，财政部门</w:t>
      </w:r>
      <w:r>
        <w:rPr/>
        <w:t xml:space="preserve"> </w:t>
      </w:r>
      <w:r>
        <w:rPr>
          <w:spacing w:val="7"/>
        </w:rPr>
        <w:t>应当根据案件具体情况，决定予以单处或者</w:t>
      </w:r>
      <w:r>
        <w:rPr>
          <w:spacing w:val="6"/>
        </w:rPr>
        <w:t>并处。</w:t>
      </w:r>
    </w:p>
    <w:p>
      <w:pPr>
        <w:pStyle w:val="BodyText"/>
        <w:ind w:left="49" w:firstLine="613"/>
        <w:spacing w:before="188" w:line="278" w:lineRule="auto"/>
        <w:rPr/>
      </w:pPr>
      <w:r>
        <w:rPr>
          <w:b/>
          <w:bCs/>
          <w:spacing w:val="11"/>
        </w:rPr>
        <w:t>第八条</w:t>
      </w:r>
      <w:r>
        <w:rPr>
          <w:spacing w:val="11"/>
        </w:rPr>
        <w:t xml:space="preserve">  </w:t>
      </w:r>
      <w:r>
        <w:rPr>
          <w:spacing w:val="11"/>
        </w:rPr>
        <w:t>当事人同时有多个财政违法行为的，应当分别予</w:t>
      </w:r>
      <w:r>
        <w:rPr>
          <w:spacing w:val="17"/>
        </w:rPr>
        <w:t xml:space="preserve"> </w:t>
      </w:r>
      <w:r>
        <w:rPr>
          <w:spacing w:val="-2"/>
        </w:rPr>
        <w:t>以行政处罚。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293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裁量的适用</w:t>
      </w:r>
    </w:p>
    <w:p>
      <w:pPr>
        <w:pStyle w:val="BodyText"/>
        <w:ind w:left="619"/>
        <w:spacing w:before="302" w:line="220" w:lineRule="auto"/>
        <w:outlineLvl w:val="0"/>
        <w:rPr/>
      </w:pPr>
      <w:r>
        <w:rPr>
          <w:b/>
          <w:bCs/>
          <w:spacing w:val="-12"/>
        </w:rPr>
        <w:t>第九条</w:t>
      </w:r>
      <w:r>
        <w:rPr>
          <w:spacing w:val="115"/>
        </w:rPr>
        <w:t xml:space="preserve"> </w:t>
      </w:r>
      <w:r>
        <w:rPr>
          <w:spacing w:val="-12"/>
        </w:rPr>
        <w:t>行使财政行政处罚裁量权，应当按照下列步骤进行：</w:t>
      </w:r>
    </w:p>
    <w:p>
      <w:pPr>
        <w:pStyle w:val="BodyText"/>
        <w:ind w:left="9" w:firstLine="629"/>
        <w:spacing w:before="188" w:line="297" w:lineRule="auto"/>
        <w:rPr/>
      </w:pPr>
      <w:r>
        <w:rPr>
          <w:spacing w:val="10"/>
        </w:rPr>
        <w:t>（</w:t>
      </w:r>
      <w:r>
        <w:rPr>
          <w:spacing w:val="-68"/>
        </w:rPr>
        <w:t xml:space="preserve"> </w:t>
      </w:r>
      <w:r>
        <w:rPr>
          <w:spacing w:val="10"/>
        </w:rPr>
        <w:t>一）结合财政违法行为的事实、性质、情节和社会危害</w:t>
      </w:r>
      <w:r>
        <w:rPr/>
        <w:t xml:space="preserve"> </w:t>
      </w:r>
      <w:r>
        <w:rPr>
          <w:spacing w:val="13"/>
        </w:rPr>
        <w:t>程度以及主客观因素等，依照界定违法行为的适用情</w:t>
      </w:r>
      <w:r>
        <w:rPr>
          <w:spacing w:val="12"/>
        </w:rPr>
        <w:t>形及违法</w:t>
      </w:r>
      <w:r>
        <w:rPr/>
        <w:t xml:space="preserve"> </w:t>
      </w:r>
      <w:r>
        <w:rPr/>
        <w:t>程度；</w:t>
      </w:r>
    </w:p>
    <w:p>
      <w:pPr>
        <w:pStyle w:val="BodyText"/>
        <w:ind w:left="6" w:firstLine="632"/>
        <w:spacing w:before="187" w:line="296" w:lineRule="auto"/>
        <w:rPr/>
      </w:pPr>
      <w:r>
        <w:rPr>
          <w:spacing w:val="13"/>
        </w:rPr>
        <w:t>（二）根据有关法律、法规和规章的规定，按照本实施办</w:t>
      </w:r>
      <w:r>
        <w:rPr>
          <w:spacing w:val="12"/>
        </w:rPr>
        <w:t xml:space="preserve"> </w:t>
      </w:r>
      <w:r>
        <w:rPr>
          <w:spacing w:val="13"/>
        </w:rPr>
        <w:t>法，考虑财政违法行为是否具有从重、从轻、减轻，或者不予</w:t>
      </w:r>
      <w:r>
        <w:rPr/>
        <w:t xml:space="preserve"> </w:t>
      </w:r>
      <w:r>
        <w:rPr>
          <w:spacing w:val="-1"/>
        </w:rPr>
        <w:t>行政处罚的情形；</w:t>
      </w:r>
    </w:p>
    <w:p>
      <w:pPr>
        <w:pStyle w:val="BodyText"/>
        <w:ind w:right="40" w:firstLine="638"/>
        <w:spacing w:before="188" w:line="277" w:lineRule="auto"/>
        <w:rPr/>
      </w:pPr>
      <w:r>
        <w:rPr>
          <w:spacing w:val="12"/>
        </w:rPr>
        <w:t>（三）综合考量决定是否对财政违法行为予以处罚</w:t>
      </w:r>
      <w:r>
        <w:rPr>
          <w:spacing w:val="11"/>
        </w:rPr>
        <w:t>，予以</w:t>
      </w:r>
      <w:r>
        <w:rPr/>
        <w:t xml:space="preserve"> </w:t>
      </w:r>
      <w:r>
        <w:rPr>
          <w:spacing w:val="2"/>
        </w:rPr>
        <w:t>何种处罚，</w:t>
      </w:r>
      <w:r>
        <w:rPr>
          <w:spacing w:val="-55"/>
        </w:rPr>
        <w:t xml:space="preserve"> </w:t>
      </w:r>
      <w:r>
        <w:rPr>
          <w:spacing w:val="2"/>
        </w:rPr>
        <w:t>以及何种幅度的处罚。</w:t>
      </w:r>
    </w:p>
    <w:p>
      <w:pPr>
        <w:spacing w:line="277" w:lineRule="auto"/>
        <w:sectPr>
          <w:footerReference w:type="default" r:id="rId8"/>
          <w:pgSz w:w="11900" w:h="16833"/>
          <w:pgMar w:top="1430" w:right="1579" w:bottom="1953" w:left="1592" w:header="0" w:footer="1585" w:gutter="0"/>
        </w:sectPr>
        <w:rPr/>
      </w:pPr>
    </w:p>
    <w:p>
      <w:pPr>
        <w:pStyle w:val="BodyText"/>
        <w:ind w:left="12" w:firstLine="653"/>
        <w:spacing w:before="164" w:line="333" w:lineRule="auto"/>
        <w:jc w:val="both"/>
        <w:rPr/>
      </w:pPr>
      <w:r>
        <w:rPr>
          <w:b/>
          <w:bCs/>
          <w:spacing w:val="12"/>
        </w:rPr>
        <w:t>第十条</w:t>
      </w:r>
      <w:r>
        <w:rPr>
          <w:spacing w:val="7"/>
        </w:rPr>
        <w:t xml:space="preserve">  </w:t>
      </w:r>
      <w:r>
        <w:rPr>
          <w:spacing w:val="12"/>
        </w:rPr>
        <w:t>《湖南省财政厅行政处罚裁量权基准》（以下简</w:t>
      </w:r>
      <w:r>
        <w:rPr>
          <w:spacing w:val="1"/>
        </w:rPr>
        <w:t xml:space="preserve"> </w:t>
      </w:r>
      <w:r>
        <w:rPr>
          <w:spacing w:val="7"/>
        </w:rPr>
        <w:t>称《基准》）</w:t>
      </w:r>
      <w:r>
        <w:rPr>
          <w:spacing w:val="7"/>
        </w:rPr>
        <w:t xml:space="preserve"> </w:t>
      </w:r>
      <w:r>
        <w:rPr>
          <w:spacing w:val="7"/>
        </w:rPr>
        <w:t>对财政违法行为的违法程度分</w:t>
      </w:r>
      <w:r>
        <w:rPr>
          <w:spacing w:val="6"/>
        </w:rPr>
        <w:t>为轻微、一般、较</w:t>
      </w:r>
      <w:r>
        <w:rPr/>
        <w:t xml:space="preserve"> </w:t>
      </w:r>
      <w:r>
        <w:rPr>
          <w:spacing w:val="4"/>
        </w:rPr>
        <w:t>重、严重、特别严重五个阶次。确定财政违法行为的违法程度，</w:t>
      </w:r>
      <w:r>
        <w:rPr>
          <w:spacing w:val="3"/>
        </w:rPr>
        <w:t xml:space="preserve"> </w:t>
      </w:r>
      <w:r>
        <w:rPr>
          <w:spacing w:val="8"/>
        </w:rPr>
        <w:t>应当以事实为依据，综合考虑以下因素：</w:t>
      </w:r>
    </w:p>
    <w:p>
      <w:pPr>
        <w:pStyle w:val="BodyText"/>
        <w:ind w:left="641"/>
        <w:spacing w:line="221" w:lineRule="auto"/>
        <w:rPr/>
      </w:pPr>
      <w:r>
        <w:rPr>
          <w:spacing w:val="3"/>
        </w:rPr>
        <w:t>（</w:t>
      </w:r>
      <w:r>
        <w:rPr>
          <w:spacing w:val="-69"/>
        </w:rPr>
        <w:t xml:space="preserve"> </w:t>
      </w:r>
      <w:r>
        <w:rPr>
          <w:spacing w:val="3"/>
        </w:rPr>
        <w:t>一）违法行为人主观过错程度；</w:t>
      </w:r>
    </w:p>
    <w:p>
      <w:pPr>
        <w:pStyle w:val="BodyText"/>
        <w:ind w:left="641"/>
        <w:spacing w:before="190" w:line="221" w:lineRule="auto"/>
        <w:rPr/>
      </w:pPr>
      <w:r>
        <w:rPr>
          <w:spacing w:val="8"/>
        </w:rPr>
        <w:t>（二）违法行为手段的恶劣程度；</w:t>
      </w:r>
    </w:p>
    <w:p>
      <w:pPr>
        <w:pStyle w:val="BodyText"/>
        <w:ind w:left="641"/>
        <w:spacing w:before="188" w:line="221" w:lineRule="auto"/>
        <w:rPr/>
      </w:pPr>
      <w:r>
        <w:rPr>
          <w:spacing w:val="3"/>
        </w:rPr>
        <w:t>（三）违法行为的次数；</w:t>
      </w:r>
    </w:p>
    <w:p>
      <w:pPr>
        <w:pStyle w:val="BodyText"/>
        <w:ind w:left="641"/>
        <w:spacing w:before="188" w:line="221" w:lineRule="auto"/>
        <w:rPr/>
      </w:pPr>
      <w:r>
        <w:rPr>
          <w:spacing w:val="8"/>
        </w:rPr>
        <w:t>（四）违法行为持续时间的长短；</w:t>
      </w:r>
    </w:p>
    <w:p>
      <w:pPr>
        <w:pStyle w:val="BodyText"/>
        <w:ind w:left="641"/>
        <w:spacing w:before="190" w:line="221" w:lineRule="auto"/>
        <w:rPr/>
      </w:pPr>
      <w:r>
        <w:rPr>
          <w:spacing w:val="6"/>
        </w:rPr>
        <w:t>（五）违法行为涉及的区域和范围；</w:t>
      </w:r>
    </w:p>
    <w:p>
      <w:pPr>
        <w:pStyle w:val="BodyText"/>
        <w:ind w:left="641"/>
        <w:spacing w:before="188" w:line="221" w:lineRule="auto"/>
        <w:rPr/>
      </w:pPr>
      <w:r>
        <w:rPr>
          <w:spacing w:val="6"/>
        </w:rPr>
        <w:t>（六）违法行为的危害后果和社会影响程度；</w:t>
      </w:r>
    </w:p>
    <w:p>
      <w:pPr>
        <w:pStyle w:val="BodyText"/>
        <w:ind w:left="641"/>
        <w:spacing w:before="188" w:line="222" w:lineRule="auto"/>
        <w:rPr/>
      </w:pPr>
      <w:r>
        <w:rPr>
          <w:spacing w:val="3"/>
        </w:rPr>
        <w:t>（七）违法所得的多少；</w:t>
      </w:r>
    </w:p>
    <w:p>
      <w:pPr>
        <w:pStyle w:val="BodyText"/>
        <w:ind w:left="641"/>
        <w:spacing w:before="188" w:line="221" w:lineRule="auto"/>
        <w:rPr/>
      </w:pPr>
      <w:r>
        <w:rPr>
          <w:spacing w:val="9"/>
        </w:rPr>
        <w:t>（八）改正违法行为措施和效果等因素；</w:t>
      </w:r>
    </w:p>
    <w:p>
      <w:pPr>
        <w:pStyle w:val="BodyText"/>
        <w:ind w:left="641"/>
        <w:spacing w:before="187" w:line="222" w:lineRule="auto"/>
        <w:rPr/>
      </w:pPr>
      <w:r>
        <w:rPr>
          <w:spacing w:val="8"/>
        </w:rPr>
        <w:t>（九）其他依法应予考虑的因素。</w:t>
      </w:r>
    </w:p>
    <w:p>
      <w:pPr>
        <w:pStyle w:val="BodyText"/>
        <w:ind w:right="77" w:firstLine="665"/>
        <w:spacing w:before="189" w:line="311" w:lineRule="auto"/>
        <w:rPr/>
      </w:pPr>
      <w:r>
        <w:rPr>
          <w:b/>
          <w:bCs/>
          <w:spacing w:val="11"/>
        </w:rPr>
        <w:t>第十一条</w:t>
      </w:r>
      <w:r>
        <w:rPr>
          <w:spacing w:val="11"/>
        </w:rPr>
        <w:t xml:space="preserve">  </w:t>
      </w:r>
      <w:r>
        <w:rPr>
          <w:spacing w:val="11"/>
        </w:rPr>
        <w:t>行使财政行政处罚裁量权，应当在确定财政违</w:t>
      </w:r>
      <w:r>
        <w:rPr>
          <w:spacing w:val="11"/>
        </w:rPr>
        <w:t xml:space="preserve"> </w:t>
      </w:r>
      <w:r>
        <w:rPr>
          <w:spacing w:val="13"/>
        </w:rPr>
        <w:t>法行为的违法程度后，根据法律、法规、规章以及本实施办法</w:t>
      </w:r>
      <w:r>
        <w:rPr>
          <w:spacing w:val="7"/>
        </w:rPr>
        <w:t xml:space="preserve"> </w:t>
      </w:r>
      <w:r>
        <w:rPr>
          <w:spacing w:val="13"/>
        </w:rPr>
        <w:t>的规定，考虑不予处罚、减轻处罚、从轻处罚、从重处罚的情</w:t>
      </w:r>
      <w:r>
        <w:rPr>
          <w:spacing w:val="8"/>
        </w:rPr>
        <w:t xml:space="preserve"> </w:t>
      </w:r>
      <w:r>
        <w:rPr>
          <w:spacing w:val="13"/>
        </w:rPr>
        <w:t>形，结合《基准》规定的违法程度对应的裁量标准，确定行政</w:t>
      </w:r>
      <w:r>
        <w:rPr>
          <w:spacing w:val="3"/>
        </w:rPr>
        <w:t xml:space="preserve"> </w:t>
      </w:r>
      <w:r>
        <w:rPr>
          <w:spacing w:val="2"/>
        </w:rPr>
        <w:t>处罚种类和幅度。</w:t>
      </w:r>
    </w:p>
    <w:p>
      <w:pPr>
        <w:pStyle w:val="BodyText"/>
        <w:ind w:left="665"/>
        <w:spacing w:before="188" w:line="221" w:lineRule="auto"/>
        <w:rPr/>
      </w:pPr>
      <w:r>
        <w:rPr>
          <w:b/>
          <w:bCs/>
          <w:spacing w:val="5"/>
        </w:rPr>
        <w:t>第十二条</w:t>
      </w:r>
      <w:r>
        <w:rPr>
          <w:spacing w:val="5"/>
        </w:rPr>
        <w:t xml:space="preserve">  </w:t>
      </w:r>
      <w:r>
        <w:rPr>
          <w:spacing w:val="5"/>
        </w:rPr>
        <w:t>有下列情形之一的，不予行政处罚：</w:t>
      </w:r>
    </w:p>
    <w:p>
      <w:pPr>
        <w:pStyle w:val="BodyText"/>
        <w:ind w:left="641"/>
        <w:spacing w:before="188" w:line="221" w:lineRule="auto"/>
        <w:rPr/>
      </w:pPr>
      <w:r>
        <w:rPr>
          <w:spacing w:val="5"/>
        </w:rPr>
        <w:t>（</w:t>
      </w:r>
      <w:r>
        <w:rPr>
          <w:spacing w:val="-69"/>
        </w:rPr>
        <w:t xml:space="preserve"> </w:t>
      </w:r>
      <w:r>
        <w:rPr>
          <w:spacing w:val="5"/>
        </w:rPr>
        <w:t>一）不满十四周岁的未成年人有违法行为的；</w:t>
      </w:r>
    </w:p>
    <w:p>
      <w:pPr>
        <w:pStyle w:val="BodyText"/>
        <w:ind w:left="58" w:right="163" w:firstLine="583"/>
        <w:spacing w:before="191" w:line="277" w:lineRule="auto"/>
        <w:rPr/>
      </w:pPr>
      <w:r>
        <w:rPr>
          <w:spacing w:val="10"/>
        </w:rPr>
        <w:t>（二）精神病人、智力残疾人在不能辨认或者不能控制自</w:t>
      </w:r>
      <w:r>
        <w:rPr>
          <w:spacing w:val="2"/>
        </w:rPr>
        <w:t xml:space="preserve"> </w:t>
      </w:r>
      <w:r>
        <w:rPr>
          <w:spacing w:val="-3"/>
        </w:rPr>
        <w:t>己行为时有违法行为的；</w:t>
      </w:r>
    </w:p>
    <w:p>
      <w:pPr>
        <w:pStyle w:val="BodyText"/>
        <w:ind w:left="641"/>
        <w:spacing w:before="188" w:line="220" w:lineRule="auto"/>
        <w:rPr/>
      </w:pPr>
      <w:r>
        <w:rPr>
          <w:spacing w:val="9"/>
        </w:rPr>
        <w:t>（三）违法行为轻微并及时改正，没有造成危害后果的；</w:t>
      </w:r>
    </w:p>
    <w:p>
      <w:pPr>
        <w:pStyle w:val="BodyText"/>
        <w:ind w:left="641"/>
        <w:spacing w:before="192" w:line="221" w:lineRule="auto"/>
        <w:rPr/>
      </w:pPr>
      <w:r>
        <w:rPr>
          <w:spacing w:val="10"/>
        </w:rPr>
        <w:t>（四）除法律、行政法规另有规定外，</w:t>
      </w:r>
      <w:r>
        <w:rPr>
          <w:spacing w:val="-82"/>
        </w:rPr>
        <w:t xml:space="preserve"> </w:t>
      </w:r>
      <w:r>
        <w:rPr>
          <w:spacing w:val="10"/>
        </w:rPr>
        <w:t>当事人有证据足以</w:t>
      </w:r>
    </w:p>
    <w:p>
      <w:pPr>
        <w:spacing w:line="221" w:lineRule="auto"/>
        <w:sectPr>
          <w:footerReference w:type="default" r:id="rId9"/>
          <w:pgSz w:w="11900" w:h="16833"/>
          <w:pgMar w:top="1430" w:right="1501" w:bottom="1860" w:left="1590" w:header="0" w:footer="1610" w:gutter="0"/>
        </w:sectPr>
        <w:rPr/>
      </w:pPr>
    </w:p>
    <w:p>
      <w:pPr>
        <w:pStyle w:val="BodyText"/>
        <w:ind w:left="12"/>
        <w:spacing w:before="162" w:line="222" w:lineRule="auto"/>
        <w:rPr/>
      </w:pPr>
      <w:r>
        <w:rPr>
          <w:spacing w:val="3"/>
        </w:rPr>
        <w:t>证明没有主观过错的。</w:t>
      </w:r>
    </w:p>
    <w:p>
      <w:pPr>
        <w:pStyle w:val="BodyText"/>
        <w:ind w:left="17" w:right="94" w:firstLine="629"/>
        <w:spacing w:before="188" w:line="333" w:lineRule="auto"/>
        <w:jc w:val="both"/>
        <w:rPr/>
      </w:pPr>
      <w:r>
        <w:rPr>
          <w:spacing w:val="13"/>
        </w:rPr>
        <w:t>适用第（三）种情形，必须同时满足违法行为轻微、及时</w:t>
      </w:r>
      <w:r>
        <w:rPr/>
        <w:t xml:space="preserve"> </w:t>
      </w:r>
      <w:r>
        <w:rPr>
          <w:spacing w:val="12"/>
        </w:rPr>
        <w:t>改正、没有造成危害后果三个条件。其中，判断违法行为是否</w:t>
      </w:r>
      <w:r>
        <w:rPr>
          <w:spacing w:val="11"/>
        </w:rPr>
        <w:t xml:space="preserve"> </w:t>
      </w:r>
      <w:r>
        <w:rPr>
          <w:spacing w:val="7"/>
        </w:rPr>
        <w:t>轻微，应当按照本实施办法第十条的规定进行综合考虑。</w:t>
      </w:r>
    </w:p>
    <w:p>
      <w:pPr>
        <w:pStyle w:val="BodyText"/>
        <w:ind w:left="10" w:right="28" w:firstLine="636"/>
        <w:spacing w:before="4" w:line="333" w:lineRule="auto"/>
        <w:jc w:val="both"/>
        <w:rPr/>
      </w:pPr>
      <w:r>
        <w:rPr>
          <w:spacing w:val="1"/>
        </w:rPr>
        <w:t>适用第（</w:t>
      </w:r>
      <w:r>
        <w:rPr>
          <w:spacing w:val="-61"/>
        </w:rPr>
        <w:t xml:space="preserve"> </w:t>
      </w:r>
      <w:r>
        <w:rPr>
          <w:spacing w:val="1"/>
        </w:rPr>
        <w:t>四）种情形，需要当事人主动提供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没有</w:t>
      </w:r>
      <w:r>
        <w:rPr/>
        <w:t>主观过错</w:t>
      </w:r>
      <w:r>
        <w:rPr>
          <w:rFonts w:ascii="Times New Roman" w:hAnsi="Times New Roman" w:eastAsia="Times New Roman" w:cs="Times New Roman"/>
        </w:rPr>
        <w:t>” </w:t>
      </w:r>
      <w:r>
        <w:rPr>
          <w:spacing w:val="13"/>
        </w:rPr>
        <w:t>的证据，且达到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足以证明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程度。财政部门要根据当事人提供</w:t>
      </w:r>
      <w:r>
        <w:rPr>
          <w:spacing w:val="12"/>
        </w:rPr>
        <w:t xml:space="preserve"> </w:t>
      </w:r>
      <w:r>
        <w:rPr>
          <w:spacing w:val="7"/>
        </w:rPr>
        <w:t>的证据，结合有关客观因素、情况，综合判断当事人没有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主观</w:t>
      </w:r>
      <w:r>
        <w:rPr>
          <w:spacing w:val="5"/>
        </w:rPr>
        <w:t xml:space="preserve"> </w:t>
      </w:r>
      <w:r>
        <w:rPr>
          <w:spacing w:val="2"/>
        </w:rPr>
        <w:t>过错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是否足已成立。</w:t>
      </w:r>
    </w:p>
    <w:p>
      <w:pPr>
        <w:pStyle w:val="BodyText"/>
        <w:ind w:left="29" w:right="94" w:firstLine="629"/>
        <w:spacing w:line="333" w:lineRule="auto"/>
        <w:rPr/>
      </w:pPr>
      <w:r>
        <w:rPr>
          <w:b/>
          <w:bCs/>
          <w:spacing w:val="11"/>
        </w:rPr>
        <w:t>第十三条</w:t>
      </w:r>
      <w:r>
        <w:rPr>
          <w:spacing w:val="11"/>
        </w:rPr>
        <w:t xml:space="preserve">  </w:t>
      </w:r>
      <w:r>
        <w:rPr>
          <w:spacing w:val="11"/>
        </w:rPr>
        <w:t>当事人系初次违法且危害后果轻微并及时改正</w:t>
      </w:r>
      <w:r>
        <w:rPr>
          <w:spacing w:val="13"/>
        </w:rPr>
        <w:t xml:space="preserve"> </w:t>
      </w:r>
      <w:r>
        <w:rPr>
          <w:spacing w:val="1"/>
        </w:rPr>
        <w:t>的，可以不予行政处罚。</w:t>
      </w:r>
    </w:p>
    <w:p>
      <w:pPr>
        <w:pStyle w:val="BodyText"/>
        <w:ind w:left="32" w:firstLine="610"/>
        <w:spacing w:before="2" w:line="333" w:lineRule="auto"/>
        <w:rPr/>
      </w:pPr>
      <w:r>
        <w:rPr>
          <w:spacing w:val="4"/>
        </w:rPr>
        <w:t>其中，判断是否初次违法，应当根据违法行为的具体领域、</w:t>
      </w:r>
      <w:r>
        <w:rPr>
          <w:spacing w:val="10"/>
        </w:rPr>
        <w:t xml:space="preserve"> </w:t>
      </w:r>
      <w:r>
        <w:rPr>
          <w:spacing w:val="3"/>
        </w:rPr>
        <w:t>时间、空间等因素合理确定。</w:t>
      </w:r>
    </w:p>
    <w:p>
      <w:pPr>
        <w:pStyle w:val="BodyText"/>
        <w:ind w:right="94" w:firstLine="659"/>
        <w:spacing w:before="2" w:line="333" w:lineRule="auto"/>
        <w:jc w:val="both"/>
        <w:rPr/>
      </w:pPr>
      <w:r>
        <w:rPr>
          <w:b/>
          <w:bCs/>
          <w:spacing w:val="11"/>
        </w:rPr>
        <w:t>第十四条</w:t>
      </w:r>
      <w:r>
        <w:rPr>
          <w:spacing w:val="11"/>
        </w:rPr>
        <w:t xml:space="preserve">  </w:t>
      </w:r>
      <w:r>
        <w:rPr>
          <w:spacing w:val="11"/>
        </w:rPr>
        <w:t>违法行为在二年内未被发现的，不再给予行政</w:t>
      </w:r>
      <w:r>
        <w:rPr>
          <w:spacing w:val="13"/>
        </w:rPr>
        <w:t xml:space="preserve"> </w:t>
      </w:r>
      <w:r>
        <w:rPr>
          <w:spacing w:val="13"/>
        </w:rPr>
        <w:t>处罚；涉及公民生命健康安全、金融安全且有危害后果的，上</w:t>
      </w:r>
      <w:r>
        <w:rPr>
          <w:spacing w:val="2"/>
        </w:rPr>
        <w:t xml:space="preserve"> </w:t>
      </w:r>
      <w:r>
        <w:rPr>
          <w:spacing w:val="7"/>
        </w:rPr>
        <w:t>述期限延长至五年。法律另有规定的除外。</w:t>
      </w:r>
    </w:p>
    <w:p>
      <w:pPr>
        <w:pStyle w:val="BodyText"/>
        <w:ind w:left="10" w:right="94" w:firstLine="641"/>
        <w:spacing w:before="3" w:line="332" w:lineRule="auto"/>
        <w:rPr/>
      </w:pPr>
      <w:r>
        <w:rPr>
          <w:spacing w:val="13"/>
        </w:rPr>
        <w:t>前款规定的期限，从违法行为发生之日起计算</w:t>
      </w:r>
      <w:r>
        <w:rPr>
          <w:spacing w:val="12"/>
        </w:rPr>
        <w:t>；违法行为</w:t>
      </w:r>
      <w:r>
        <w:rPr/>
        <w:t xml:space="preserve"> </w:t>
      </w:r>
      <w:r>
        <w:rPr>
          <w:spacing w:val="7"/>
        </w:rPr>
        <w:t>有连续或者继续状态的，从行为终了之日起</w:t>
      </w:r>
      <w:r>
        <w:rPr>
          <w:spacing w:val="6"/>
        </w:rPr>
        <w:t>计算。</w:t>
      </w:r>
    </w:p>
    <w:p>
      <w:pPr>
        <w:pStyle w:val="BodyText"/>
        <w:ind w:right="94" w:firstLine="659"/>
        <w:spacing w:before="4" w:line="311" w:lineRule="auto"/>
        <w:rPr/>
      </w:pPr>
      <w:r>
        <w:rPr>
          <w:b/>
          <w:bCs/>
          <w:spacing w:val="11"/>
        </w:rPr>
        <w:t>第十五条</w:t>
      </w:r>
      <w:r>
        <w:rPr>
          <w:spacing w:val="11"/>
        </w:rPr>
        <w:t xml:space="preserve">  </w:t>
      </w:r>
      <w:r>
        <w:rPr>
          <w:spacing w:val="11"/>
        </w:rPr>
        <w:t>对当事人的违法行为依法不予行政处罚的，应</w:t>
      </w:r>
      <w:r>
        <w:rPr>
          <w:spacing w:val="13"/>
        </w:rPr>
        <w:t xml:space="preserve"> </w:t>
      </w:r>
      <w:r>
        <w:rPr>
          <w:spacing w:val="13"/>
        </w:rPr>
        <w:t>当按照《行政处罚法》第三十三条第三款的规定，对当事人进</w:t>
      </w:r>
      <w:r>
        <w:rPr>
          <w:spacing w:val="2"/>
        </w:rPr>
        <w:t xml:space="preserve"> </w:t>
      </w:r>
      <w:r>
        <w:rPr>
          <w:spacing w:val="13"/>
        </w:rPr>
        <w:t>行教育；对不满十四周岁的未成年人不予行政处罚的，应当责</w:t>
      </w:r>
      <w:r>
        <w:rPr>
          <w:spacing w:val="2"/>
        </w:rPr>
        <w:t xml:space="preserve"> </w:t>
      </w:r>
      <w:r>
        <w:rPr>
          <w:spacing w:val="13"/>
        </w:rPr>
        <w:t>令其监护人加以管教；对精神病人、智力残疾人不予行政处罚</w:t>
      </w:r>
      <w:r>
        <w:rPr>
          <w:spacing w:val="2"/>
        </w:rPr>
        <w:t xml:space="preserve"> </w:t>
      </w:r>
      <w:r>
        <w:rPr>
          <w:spacing w:val="8"/>
        </w:rPr>
        <w:t>的，应当责令其监护人严加看管和治疗。</w:t>
      </w:r>
    </w:p>
    <w:p>
      <w:pPr>
        <w:pStyle w:val="BodyText"/>
        <w:ind w:left="8" w:right="93" w:firstLine="650"/>
        <w:spacing w:before="185" w:line="279" w:lineRule="auto"/>
        <w:rPr/>
      </w:pPr>
      <w:r>
        <w:rPr>
          <w:b/>
          <w:bCs/>
          <w:spacing w:val="11"/>
        </w:rPr>
        <w:t>第十六条</w:t>
      </w:r>
      <w:r>
        <w:rPr>
          <w:spacing w:val="11"/>
        </w:rPr>
        <w:t xml:space="preserve">  </w:t>
      </w:r>
      <w:r>
        <w:rPr>
          <w:spacing w:val="11"/>
        </w:rPr>
        <w:t>当事人有下列情形之一的，应当从轻或减轻行</w:t>
      </w:r>
      <w:r>
        <w:rPr>
          <w:spacing w:val="15"/>
        </w:rPr>
        <w:t xml:space="preserve"> </w:t>
      </w:r>
      <w:r>
        <w:rPr>
          <w:spacing w:val="-9"/>
        </w:rPr>
        <w:t>政处罚：</w:t>
      </w:r>
    </w:p>
    <w:p>
      <w:pPr>
        <w:spacing w:line="279" w:lineRule="auto"/>
        <w:sectPr>
          <w:footerReference w:type="default" r:id="rId10"/>
          <w:pgSz w:w="11900" w:h="16833"/>
          <w:pgMar w:top="1430" w:right="1485" w:bottom="1953" w:left="1596" w:header="0" w:footer="1585" w:gutter="0"/>
        </w:sectPr>
        <w:rPr/>
      </w:pPr>
    </w:p>
    <w:p>
      <w:pPr>
        <w:pStyle w:val="BodyText"/>
        <w:ind w:left="641"/>
        <w:spacing w:before="161" w:line="221" w:lineRule="auto"/>
        <w:rPr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一）主动消除或减轻违法行为危害后果的；</w:t>
      </w:r>
    </w:p>
    <w:p>
      <w:pPr>
        <w:pStyle w:val="BodyText"/>
        <w:ind w:left="641"/>
        <w:spacing w:before="188" w:line="221" w:lineRule="auto"/>
        <w:rPr/>
      </w:pPr>
      <w:r>
        <w:rPr>
          <w:spacing w:val="6"/>
        </w:rPr>
        <w:t>（二）受他人胁迫或者诱骗实施违法行为的；</w:t>
      </w:r>
    </w:p>
    <w:p>
      <w:pPr>
        <w:pStyle w:val="BodyText"/>
        <w:ind w:left="641"/>
        <w:spacing w:before="190" w:line="221" w:lineRule="auto"/>
        <w:rPr/>
      </w:pPr>
      <w:r>
        <w:rPr>
          <w:spacing w:val="7"/>
        </w:rPr>
        <w:t>（三）主动供述行政机关尚未掌握的违法行为的；</w:t>
      </w:r>
    </w:p>
    <w:p>
      <w:pPr>
        <w:pStyle w:val="BodyText"/>
        <w:ind w:left="641"/>
        <w:spacing w:before="188" w:line="221" w:lineRule="auto"/>
        <w:rPr/>
      </w:pPr>
      <w:r>
        <w:rPr>
          <w:spacing w:val="7"/>
        </w:rPr>
        <w:t>（四）配合行政机关查处违法行为有立功表现的；</w:t>
      </w:r>
    </w:p>
    <w:p>
      <w:pPr>
        <w:pStyle w:val="BodyText"/>
        <w:ind w:left="18" w:right="118" w:firstLine="622"/>
        <w:spacing w:before="189" w:line="278" w:lineRule="auto"/>
        <w:rPr/>
      </w:pPr>
      <w:r>
        <w:rPr>
          <w:spacing w:val="9"/>
        </w:rPr>
        <w:t>（五）</w:t>
      </w:r>
      <w:r>
        <w:rPr>
          <w:spacing w:val="-67"/>
        </w:rPr>
        <w:t xml:space="preserve"> </w:t>
      </w:r>
      <w:r>
        <w:rPr>
          <w:spacing w:val="9"/>
        </w:rPr>
        <w:t>已满十四周岁不满十八周岁的未成年人实施违法行</w:t>
      </w:r>
      <w:r>
        <w:rPr/>
        <w:t xml:space="preserve"> </w:t>
      </w:r>
      <w:r>
        <w:rPr>
          <w:spacing w:val="-2"/>
        </w:rPr>
        <w:t>为的；</w:t>
      </w:r>
    </w:p>
    <w:p>
      <w:pPr>
        <w:pStyle w:val="BodyText"/>
        <w:spacing w:before="185" w:line="222" w:lineRule="auto"/>
        <w:jc w:val="right"/>
        <w:rPr/>
      </w:pPr>
      <w:r>
        <w:rPr>
          <w:spacing w:val="2"/>
        </w:rPr>
        <w:t>（六</w:t>
      </w:r>
      <w:r>
        <w:rPr>
          <w:spacing w:val="-87"/>
        </w:rPr>
        <w:t xml:space="preserve"> </w:t>
      </w:r>
      <w:r>
        <w:rPr>
          <w:spacing w:val="2"/>
        </w:rPr>
        <w:t>）法律、法规、规章规定其他应当从轻</w:t>
      </w:r>
      <w:r>
        <w:rPr>
          <w:spacing w:val="1"/>
        </w:rPr>
        <w:t>或减轻处罚的。</w:t>
      </w:r>
    </w:p>
    <w:p>
      <w:pPr>
        <w:pStyle w:val="BodyText"/>
        <w:ind w:left="6" w:right="94" w:firstLine="572"/>
        <w:spacing w:before="184" w:line="334" w:lineRule="auto"/>
        <w:jc w:val="both"/>
        <w:rPr/>
      </w:pP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主动供述行政机关尚未掌握的违法行为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，</w:t>
      </w:r>
      <w:r>
        <w:rPr>
          <w:spacing w:val="-86"/>
        </w:rPr>
        <w:t xml:space="preserve"> </w:t>
      </w:r>
      <w:r>
        <w:rPr>
          <w:spacing w:val="14"/>
        </w:rPr>
        <w:t>既包括在行政</w:t>
      </w:r>
      <w:r>
        <w:rPr/>
        <w:t xml:space="preserve"> </w:t>
      </w:r>
      <w:r>
        <w:rPr>
          <w:spacing w:val="13"/>
        </w:rPr>
        <w:t>机关尚未发现违法行为之前向行政机关主动供述自己的违法行</w:t>
      </w:r>
      <w:r>
        <w:rPr>
          <w:spacing w:val="2"/>
        </w:rPr>
        <w:t xml:space="preserve"> </w:t>
      </w:r>
      <w:r>
        <w:rPr>
          <w:spacing w:val="13"/>
        </w:rPr>
        <w:t>为，也包括在被行政机关调查后主动供述行政机关尚未掌握的</w:t>
      </w:r>
      <w:r>
        <w:rPr>
          <w:spacing w:val="2"/>
        </w:rPr>
        <w:t xml:space="preserve"> </w:t>
      </w:r>
      <w:r>
        <w:rPr>
          <w:spacing w:val="4"/>
        </w:rPr>
        <w:t>自己的其他违法行为。</w:t>
      </w:r>
    </w:p>
    <w:p>
      <w:pPr>
        <w:pStyle w:val="BodyText"/>
        <w:ind w:right="94" w:firstLine="578"/>
        <w:spacing w:before="3" w:line="333" w:lineRule="auto"/>
        <w:jc w:val="both"/>
        <w:rPr/>
      </w:pP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配合行政机关查处违法行为有立功表现的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spacing w:val="16"/>
        </w:rPr>
        <w:t>，是指当事人</w:t>
      </w:r>
      <w:r>
        <w:rPr>
          <w:spacing w:val="14"/>
        </w:rPr>
        <w:t xml:space="preserve"> </w:t>
      </w:r>
      <w:r>
        <w:rPr>
          <w:spacing w:val="11"/>
        </w:rPr>
        <w:t>在实施违法行为后，</w:t>
      </w:r>
      <w:r>
        <w:rPr>
          <w:spacing w:val="-86"/>
        </w:rPr>
        <w:t xml:space="preserve"> </w:t>
      </w:r>
      <w:r>
        <w:rPr>
          <w:spacing w:val="11"/>
        </w:rPr>
        <w:t>向行政机关或者有关机关</w:t>
      </w:r>
      <w:r>
        <w:rPr>
          <w:spacing w:val="10"/>
        </w:rPr>
        <w:t>揭发其他违法犯</w:t>
      </w:r>
      <w:r>
        <w:rPr/>
        <w:t xml:space="preserve"> </w:t>
      </w:r>
      <w:r>
        <w:rPr>
          <w:spacing w:val="13"/>
        </w:rPr>
        <w:t>罪事实并经查证属实，或者提供重要线索使其他案件得以顺利</w:t>
      </w:r>
      <w:r>
        <w:rPr>
          <w:spacing w:val="8"/>
        </w:rPr>
        <w:t xml:space="preserve"> </w:t>
      </w:r>
      <w:r>
        <w:rPr>
          <w:spacing w:val="13"/>
        </w:rPr>
        <w:t>查处，或者阻止他人的违法犯罪活动以及有其他突出贡献等情</w:t>
      </w:r>
      <w:r>
        <w:rPr>
          <w:spacing w:val="8"/>
        </w:rPr>
        <w:t xml:space="preserve"> </w:t>
      </w:r>
      <w:r>
        <w:rPr>
          <w:spacing w:val="-14"/>
        </w:rPr>
        <w:t>形。</w:t>
      </w:r>
    </w:p>
    <w:p>
      <w:pPr>
        <w:pStyle w:val="BodyText"/>
        <w:ind w:left="19" w:right="94" w:firstLine="645"/>
        <w:spacing w:before="5" w:line="296" w:lineRule="auto"/>
        <w:rPr/>
      </w:pPr>
      <w:r>
        <w:rPr>
          <w:b/>
          <w:bCs/>
          <w:spacing w:val="11"/>
        </w:rPr>
        <w:t>第十七条</w:t>
      </w:r>
      <w:r>
        <w:rPr>
          <w:spacing w:val="11"/>
        </w:rPr>
        <w:t xml:space="preserve">  </w:t>
      </w:r>
      <w:r>
        <w:rPr>
          <w:spacing w:val="11"/>
        </w:rPr>
        <w:t>尚未完全丧失辨认或者控制自己行为能力的精</w:t>
      </w:r>
      <w:r>
        <w:rPr>
          <w:spacing w:val="13"/>
        </w:rPr>
        <w:t xml:space="preserve"> </w:t>
      </w:r>
      <w:r>
        <w:rPr>
          <w:spacing w:val="12"/>
        </w:rPr>
        <w:t>神病人、智力残疾人有违法行为的，可以从轻或者减轻行政处</w:t>
      </w:r>
      <w:r>
        <w:rPr>
          <w:spacing w:val="15"/>
        </w:rPr>
        <w:t xml:space="preserve"> </w:t>
      </w:r>
      <w:r>
        <w:rPr>
          <w:spacing w:val="-19"/>
        </w:rPr>
        <w:t>罚。</w:t>
      </w:r>
    </w:p>
    <w:p>
      <w:pPr>
        <w:pStyle w:val="BodyText"/>
        <w:ind w:left="3" w:firstLine="662"/>
        <w:spacing w:before="186" w:line="311" w:lineRule="auto"/>
        <w:rPr/>
      </w:pPr>
      <w:r>
        <w:rPr>
          <w:b/>
          <w:bCs/>
          <w:spacing w:val="12"/>
        </w:rPr>
        <w:t>第十八条</w:t>
      </w:r>
      <w:r>
        <w:rPr>
          <w:spacing w:val="12"/>
        </w:rPr>
        <w:t xml:space="preserve">  </w:t>
      </w:r>
      <w:r>
        <w:rPr>
          <w:spacing w:val="12"/>
        </w:rPr>
        <w:t>第十六条、十七条所称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从轻行政处罚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是指在</w:t>
      </w:r>
      <w:r>
        <w:rPr>
          <w:spacing w:val="8"/>
        </w:rPr>
        <w:t xml:space="preserve"> </w:t>
      </w:r>
      <w:r>
        <w:rPr>
          <w:spacing w:val="13"/>
        </w:rPr>
        <w:t>法律、法规、规章规定的行政处罚种类和幅度内，选择较轻或</w:t>
      </w:r>
      <w:r>
        <w:rPr>
          <w:spacing w:val="5"/>
        </w:rPr>
        <w:t xml:space="preserve"> </w:t>
      </w:r>
      <w:r>
        <w:rPr>
          <w:spacing w:val="6"/>
        </w:rPr>
        <w:t>者最轻的处罚种类或者处罚幅度；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减轻行政处罚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是指在法律、</w:t>
      </w:r>
      <w:r>
        <w:rPr/>
        <w:t xml:space="preserve"> </w:t>
      </w:r>
      <w:r>
        <w:rPr>
          <w:spacing w:val="13"/>
        </w:rPr>
        <w:t>法规、规章规定的行政处罚种类和幅度的最低限以下，给予其</w:t>
      </w:r>
      <w:r>
        <w:rPr>
          <w:spacing w:val="5"/>
        </w:rPr>
        <w:t xml:space="preserve"> </w:t>
      </w:r>
      <w:r>
        <w:rPr>
          <w:spacing w:val="5"/>
        </w:rPr>
        <w:t>他种类或者幅度的行政处罚。</w:t>
      </w:r>
    </w:p>
    <w:p>
      <w:pPr>
        <w:spacing w:line="311" w:lineRule="auto"/>
        <w:sectPr>
          <w:footerReference w:type="default" r:id="rId11"/>
          <w:pgSz w:w="11900" w:h="16833"/>
          <w:pgMar w:top="1430" w:right="1485" w:bottom="1953" w:left="1590" w:header="0" w:footer="1585" w:gutter="0"/>
        </w:sectPr>
        <w:rPr/>
      </w:pPr>
    </w:p>
    <w:p>
      <w:pPr>
        <w:pStyle w:val="BodyText"/>
        <w:spacing w:before="161" w:line="221" w:lineRule="auto"/>
        <w:outlineLvl w:val="0"/>
        <w:jc w:val="right"/>
        <w:rPr/>
      </w:pPr>
      <w:r>
        <w:rPr>
          <w:b/>
          <w:bCs/>
          <w:spacing w:val="2"/>
        </w:rPr>
        <w:t>第十九条</w:t>
      </w:r>
      <w:r>
        <w:rPr>
          <w:spacing w:val="2"/>
        </w:rPr>
        <w:t xml:space="preserve">  </w:t>
      </w:r>
      <w:r>
        <w:rPr>
          <w:spacing w:val="2"/>
        </w:rPr>
        <w:t>当事人有下列情形之一的，应当从重行政处罚：</w:t>
      </w:r>
    </w:p>
    <w:p>
      <w:pPr>
        <w:pStyle w:val="BodyText"/>
        <w:spacing w:before="188" w:line="221" w:lineRule="auto"/>
        <w:jc w:val="right"/>
        <w:rPr/>
      </w:pPr>
      <w:r>
        <w:rPr/>
        <w:t>（</w:t>
      </w:r>
      <w:r>
        <w:rPr>
          <w:spacing w:val="-61"/>
        </w:rPr>
        <w:t xml:space="preserve"> </w:t>
      </w:r>
      <w:r>
        <w:rPr/>
        <w:t>一）伪造、变造、隐匿、故意销毁财政违法行为证据的；</w:t>
      </w:r>
    </w:p>
    <w:p>
      <w:pPr>
        <w:pStyle w:val="BodyText"/>
        <w:ind w:left="14" w:right="129" w:firstLine="619"/>
        <w:spacing w:before="189" w:line="277" w:lineRule="auto"/>
        <w:rPr/>
      </w:pPr>
      <w:r>
        <w:rPr>
          <w:spacing w:val="12"/>
        </w:rPr>
        <w:t>（二）拒绝、阻挠、妨碍财政执法，拒绝、拖延提供有关</w:t>
      </w:r>
      <w:r>
        <w:rPr>
          <w:spacing w:val="2"/>
        </w:rPr>
        <w:t xml:space="preserve"> </w:t>
      </w:r>
      <w:r>
        <w:rPr>
          <w:spacing w:val="5"/>
        </w:rPr>
        <w:t>资料，拒绝陈述有关情况或者作虚假陈述的；</w:t>
      </w:r>
    </w:p>
    <w:p>
      <w:pPr>
        <w:pStyle w:val="BodyText"/>
        <w:ind w:left="633"/>
        <w:spacing w:before="189" w:line="221" w:lineRule="auto"/>
        <w:rPr/>
      </w:pPr>
      <w:r>
        <w:rPr>
          <w:spacing w:val="7"/>
        </w:rPr>
        <w:t>（三）财政违法行为涉案数额或者违法所得数额较大的；</w:t>
      </w:r>
    </w:p>
    <w:p>
      <w:pPr>
        <w:pStyle w:val="BodyText"/>
        <w:ind w:left="633"/>
        <w:spacing w:before="190" w:line="221" w:lineRule="auto"/>
        <w:rPr/>
      </w:pPr>
      <w:r>
        <w:rPr>
          <w:spacing w:val="8"/>
        </w:rPr>
        <w:t>（四）财政违法行为屡查屡犯的；</w:t>
      </w:r>
    </w:p>
    <w:p>
      <w:pPr>
        <w:pStyle w:val="BodyText"/>
        <w:ind w:left="7" w:right="114" w:firstLine="626"/>
        <w:spacing w:before="188" w:line="277" w:lineRule="auto"/>
        <w:rPr/>
      </w:pPr>
      <w:r>
        <w:rPr>
          <w:spacing w:val="12"/>
        </w:rPr>
        <w:t>（五）授意、指使、强令、胁迫、诱骗、教唆他人实施财</w:t>
      </w:r>
      <w:r>
        <w:rPr>
          <w:spacing w:val="17"/>
        </w:rPr>
        <w:t xml:space="preserve"> </w:t>
      </w:r>
      <w:r>
        <w:rPr>
          <w:spacing w:val="-1"/>
        </w:rPr>
        <w:t>政违法行为的；</w:t>
      </w:r>
    </w:p>
    <w:p>
      <w:pPr>
        <w:pStyle w:val="BodyText"/>
        <w:spacing w:before="190" w:line="220" w:lineRule="auto"/>
        <w:jc w:val="right"/>
        <w:rPr/>
      </w:pPr>
      <w:r>
        <w:rPr>
          <w:spacing w:val="1"/>
        </w:rPr>
        <w:t>（六</w:t>
      </w:r>
      <w:r>
        <w:rPr>
          <w:spacing w:val="-87"/>
        </w:rPr>
        <w:t xml:space="preserve"> </w:t>
      </w:r>
      <w:r>
        <w:rPr>
          <w:spacing w:val="1"/>
        </w:rPr>
        <w:t>）对检举人、举报人、证人或者执法人员打击报复的；</w:t>
      </w:r>
    </w:p>
    <w:p>
      <w:pPr>
        <w:pStyle w:val="BodyText"/>
        <w:ind w:left="8" w:firstLine="625"/>
        <w:spacing w:before="190" w:line="277" w:lineRule="auto"/>
        <w:rPr/>
      </w:pPr>
      <w:r>
        <w:rPr>
          <w:spacing w:val="1"/>
        </w:rPr>
        <w:t>（七</w:t>
      </w:r>
      <w:r>
        <w:rPr>
          <w:spacing w:val="-59"/>
        </w:rPr>
        <w:t xml:space="preserve"> </w:t>
      </w:r>
      <w:r>
        <w:rPr>
          <w:spacing w:val="1"/>
        </w:rPr>
        <w:t>）截留、挪用、侵占军用、救灾、抢险、防汛、优抚、</w:t>
      </w:r>
      <w:r>
        <w:rPr/>
        <w:t xml:space="preserve"> </w:t>
      </w:r>
      <w:r>
        <w:rPr>
          <w:spacing w:val="5"/>
        </w:rPr>
        <w:t>扶贫、移民、救济、抗疫等资金和物资的；</w:t>
      </w:r>
    </w:p>
    <w:p>
      <w:pPr>
        <w:pStyle w:val="BodyText"/>
        <w:ind w:left="633"/>
        <w:spacing w:before="190" w:line="220" w:lineRule="auto"/>
        <w:rPr/>
      </w:pPr>
      <w:r>
        <w:rPr>
          <w:spacing w:val="9"/>
        </w:rPr>
        <w:t>（八）在突发公共事件中实施财政违法行为的；</w:t>
      </w:r>
    </w:p>
    <w:p>
      <w:pPr>
        <w:pStyle w:val="BodyText"/>
        <w:ind w:left="10" w:right="112" w:firstLine="622"/>
        <w:spacing w:before="189" w:line="278" w:lineRule="auto"/>
        <w:rPr/>
      </w:pPr>
      <w:r>
        <w:rPr>
          <w:spacing w:val="10"/>
        </w:rPr>
        <w:t>（九）</w:t>
      </w:r>
      <w:r>
        <w:rPr>
          <w:spacing w:val="-85"/>
        </w:rPr>
        <w:t xml:space="preserve"> </w:t>
      </w:r>
      <w:r>
        <w:rPr>
          <w:spacing w:val="10"/>
        </w:rPr>
        <w:t>因拒不整改或整改不力，导致财政违法行为处于持</w:t>
      </w:r>
      <w:r>
        <w:rPr/>
        <w:t xml:space="preserve"> </w:t>
      </w:r>
      <w:r>
        <w:rPr>
          <w:spacing w:val="-9"/>
        </w:rPr>
        <w:t>续状态的；</w:t>
      </w:r>
    </w:p>
    <w:p>
      <w:pPr>
        <w:pStyle w:val="BodyText"/>
        <w:ind w:left="633"/>
        <w:spacing w:before="188" w:line="221" w:lineRule="auto"/>
        <w:rPr/>
      </w:pPr>
      <w:r>
        <w:rPr>
          <w:spacing w:val="7"/>
        </w:rPr>
        <w:t>（十）财政违法行为构成犯罪但免于刑事处罚的；</w:t>
      </w:r>
    </w:p>
    <w:p>
      <w:pPr>
        <w:pStyle w:val="BodyText"/>
        <w:ind w:left="633"/>
        <w:spacing w:before="188" w:line="221" w:lineRule="auto"/>
        <w:rPr/>
      </w:pPr>
      <w:r>
        <w:rPr>
          <w:spacing w:val="5"/>
        </w:rPr>
        <w:t>（十</w:t>
      </w:r>
      <w:r>
        <w:rPr>
          <w:spacing w:val="-69"/>
        </w:rPr>
        <w:t xml:space="preserve"> </w:t>
      </w:r>
      <w:r>
        <w:rPr>
          <w:spacing w:val="5"/>
        </w:rPr>
        <w:t>一）财政违法行为造成的社会影响恶劣的；</w:t>
      </w:r>
    </w:p>
    <w:p>
      <w:pPr>
        <w:pStyle w:val="BodyText"/>
        <w:ind w:left="633"/>
        <w:spacing w:before="188" w:line="221" w:lineRule="auto"/>
        <w:rPr/>
      </w:pPr>
      <w:r>
        <w:rPr>
          <w:spacing w:val="9"/>
        </w:rPr>
        <w:t>（十二）其他依法应当从重行政处罚的。</w:t>
      </w:r>
    </w:p>
    <w:p>
      <w:pPr>
        <w:pStyle w:val="BodyText"/>
        <w:spacing w:before="191" w:line="221" w:lineRule="auto"/>
        <w:outlineLvl w:val="0"/>
        <w:jc w:val="right"/>
        <w:rPr/>
      </w:pPr>
      <w:r>
        <w:rPr>
          <w:b/>
          <w:bCs/>
          <w:spacing w:val="2"/>
        </w:rPr>
        <w:t>第二十条</w:t>
      </w:r>
      <w:r>
        <w:rPr>
          <w:spacing w:val="2"/>
        </w:rPr>
        <w:t xml:space="preserve">  </w:t>
      </w:r>
      <w:r>
        <w:rPr>
          <w:spacing w:val="2"/>
        </w:rPr>
        <w:t>当事人有下列情形之一的，可以从重行政处罚：</w:t>
      </w:r>
    </w:p>
    <w:p>
      <w:pPr>
        <w:pStyle w:val="BodyText"/>
        <w:ind w:left="633"/>
        <w:spacing w:before="188" w:line="221" w:lineRule="auto"/>
        <w:rPr/>
      </w:pPr>
      <w:r>
        <w:rPr>
          <w:spacing w:val="-2"/>
        </w:rPr>
        <w:t>（</w:t>
      </w:r>
      <w:r>
        <w:rPr>
          <w:spacing w:val="-74"/>
        </w:rPr>
        <w:t xml:space="preserve"> </w:t>
      </w:r>
      <w:r>
        <w:rPr>
          <w:spacing w:val="-2"/>
        </w:rPr>
        <w:t>一）不听劝阻，</w:t>
      </w:r>
      <w:r>
        <w:rPr>
          <w:spacing w:val="-74"/>
        </w:rPr>
        <w:t xml:space="preserve"> </w:t>
      </w:r>
      <w:r>
        <w:rPr>
          <w:spacing w:val="-2"/>
        </w:rPr>
        <w:t>继续实施财政违法行为的；</w:t>
      </w:r>
    </w:p>
    <w:p>
      <w:pPr>
        <w:pStyle w:val="BodyText"/>
        <w:ind w:left="633"/>
        <w:spacing w:before="187" w:line="220" w:lineRule="auto"/>
        <w:rPr/>
      </w:pPr>
      <w:r>
        <w:rPr>
          <w:spacing w:val="6"/>
        </w:rPr>
        <w:t>（二）在共同财政违法行为中起主要作用的；</w:t>
      </w:r>
    </w:p>
    <w:p>
      <w:pPr>
        <w:pStyle w:val="BodyText"/>
        <w:ind w:left="633"/>
        <w:spacing w:before="193" w:line="221" w:lineRule="auto"/>
        <w:rPr/>
      </w:pPr>
      <w:r>
        <w:rPr>
          <w:spacing w:val="6"/>
        </w:rPr>
        <w:t>（三）其他依法可以从重行政处罚的。</w:t>
      </w:r>
    </w:p>
    <w:p>
      <w:pPr>
        <w:pStyle w:val="BodyText"/>
        <w:ind w:right="94" w:firstLine="657"/>
        <w:spacing w:before="188" w:line="301" w:lineRule="auto"/>
        <w:jc w:val="both"/>
        <w:rPr/>
      </w:pPr>
      <w:r>
        <w:rPr>
          <w:b/>
          <w:bCs/>
          <w:spacing w:val="12"/>
        </w:rPr>
        <w:t>第二十一条</w:t>
      </w:r>
      <w:r>
        <w:rPr>
          <w:spacing w:val="12"/>
        </w:rPr>
        <w:t xml:space="preserve">  </w:t>
      </w:r>
      <w:r>
        <w:rPr>
          <w:spacing w:val="12"/>
        </w:rPr>
        <w:t>第十九条、第二十条所称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从重行政处罚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是</w:t>
      </w:r>
      <w:r>
        <w:rPr>
          <w:spacing w:val="4"/>
        </w:rPr>
        <w:t xml:space="preserve"> </w:t>
      </w:r>
      <w:r>
        <w:rPr>
          <w:spacing w:val="13"/>
        </w:rPr>
        <w:t>指法律、法规、规章规定的行政处罚的种类和幅度范围内，适</w:t>
      </w:r>
      <w:r>
        <w:rPr/>
        <w:t xml:space="preserve"> </w:t>
      </w:r>
      <w:r>
        <w:rPr>
          <w:spacing w:val="9"/>
        </w:rPr>
        <w:t>用较重的处罚种类或者选择高于中间值的法定幅度予以处罚。</w:t>
      </w:r>
    </w:p>
    <w:p>
      <w:pPr>
        <w:spacing w:line="301" w:lineRule="auto"/>
        <w:sectPr>
          <w:footerReference w:type="default" r:id="rId12"/>
          <w:pgSz w:w="11900" w:h="16833"/>
          <w:pgMar w:top="1430" w:right="1485" w:bottom="1953" w:left="1597" w:header="0" w:footer="1585" w:gutter="0"/>
        </w:sectPr>
        <w:rPr/>
      </w:pPr>
    </w:p>
    <w:p>
      <w:pPr>
        <w:pStyle w:val="BodyText"/>
        <w:ind w:left="11" w:right="86" w:firstLine="649"/>
        <w:spacing w:before="162" w:line="277" w:lineRule="auto"/>
        <w:rPr/>
      </w:pPr>
      <w:r>
        <w:rPr>
          <w:b/>
          <w:bCs/>
          <w:spacing w:val="9"/>
        </w:rPr>
        <w:t>第二十二条</w:t>
      </w:r>
      <w:r>
        <w:rPr>
          <w:spacing w:val="9"/>
        </w:rPr>
        <w:t xml:space="preserve">  </w:t>
      </w:r>
      <w:r>
        <w:rPr>
          <w:spacing w:val="9"/>
        </w:rPr>
        <w:t>当事人有免罚轻罚规定的情形，</w:t>
      </w:r>
      <w:r>
        <w:rPr>
          <w:spacing w:val="-91"/>
        </w:rPr>
        <w:t xml:space="preserve"> </w:t>
      </w:r>
      <w:r>
        <w:rPr>
          <w:spacing w:val="9"/>
        </w:rPr>
        <w:t>同时又</w:t>
      </w:r>
      <w:r>
        <w:rPr>
          <w:spacing w:val="8"/>
        </w:rPr>
        <w:t>存在</w:t>
      </w:r>
      <w:r>
        <w:rPr/>
        <w:t xml:space="preserve"> </w:t>
      </w:r>
      <w:r>
        <w:rPr>
          <w:spacing w:val="2"/>
        </w:rPr>
        <w:t>从重处罚情节的，</w:t>
      </w:r>
      <w:r>
        <w:rPr>
          <w:spacing w:val="-76"/>
        </w:rPr>
        <w:t xml:space="preserve"> </w:t>
      </w:r>
      <w:r>
        <w:rPr>
          <w:spacing w:val="2"/>
        </w:rPr>
        <w:t>一般不适用免罚轻罚规定。</w:t>
      </w:r>
    </w:p>
    <w:p>
      <w:pPr>
        <w:pStyle w:val="BodyText"/>
        <w:ind w:left="10" w:right="85" w:firstLine="650"/>
        <w:spacing w:before="188" w:line="306" w:lineRule="auto"/>
        <w:rPr/>
      </w:pPr>
      <w:r>
        <w:rPr>
          <w:b/>
          <w:bCs/>
          <w:spacing w:val="12"/>
        </w:rPr>
        <w:t>第二十三条</w:t>
      </w:r>
      <w:r>
        <w:rPr>
          <w:spacing w:val="12"/>
        </w:rPr>
        <w:t xml:space="preserve">  </w:t>
      </w:r>
      <w:r>
        <w:rPr>
          <w:spacing w:val="12"/>
        </w:rPr>
        <w:t>当事人存在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确有经济困难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情形的，一般不</w:t>
      </w:r>
      <w:r>
        <w:rPr>
          <w:spacing w:val="8"/>
        </w:rPr>
        <w:t xml:space="preserve"> </w:t>
      </w:r>
      <w:r>
        <w:rPr>
          <w:spacing w:val="1"/>
        </w:rPr>
        <w:t>直接适用免罚轻罚规定，经当事人申请，财政部门可以根据《行</w:t>
      </w:r>
      <w:r>
        <w:rPr>
          <w:spacing w:val="5"/>
        </w:rPr>
        <w:t xml:space="preserve"> </w:t>
      </w:r>
      <w:r>
        <w:rPr>
          <w:spacing w:val="13"/>
        </w:rPr>
        <w:t>政处罚法》第六十六条第二款的规定，批准暂</w:t>
      </w:r>
      <w:r>
        <w:rPr>
          <w:spacing w:val="12"/>
        </w:rPr>
        <w:t>缓或者分期缴纳</w:t>
      </w:r>
      <w:r>
        <w:rPr/>
        <w:t xml:space="preserve"> </w:t>
      </w:r>
      <w:r>
        <w:rPr>
          <w:spacing w:val="-1"/>
        </w:rPr>
        <w:t>罚款。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ind w:left="292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第三章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</w:rPr>
        <w:t>保障和监督</w:t>
      </w:r>
    </w:p>
    <w:p>
      <w:pPr>
        <w:pStyle w:val="BodyText"/>
        <w:ind w:firstLine="660"/>
        <w:spacing w:before="326" w:line="345" w:lineRule="auto"/>
        <w:jc w:val="both"/>
        <w:rPr/>
      </w:pPr>
      <w:r>
        <w:rPr>
          <w:b/>
          <w:bCs/>
          <w:spacing w:val="11"/>
        </w:rPr>
        <w:t>第二十四条</w:t>
      </w:r>
      <w:r>
        <w:rPr>
          <w:spacing w:val="11"/>
        </w:rPr>
        <w:t xml:space="preserve">  </w:t>
      </w:r>
      <w:r>
        <w:rPr>
          <w:spacing w:val="11"/>
        </w:rPr>
        <w:t>财政部门应根据已查明的事实、行为情节及</w:t>
      </w:r>
      <w:r>
        <w:rPr>
          <w:spacing w:val="10"/>
        </w:rPr>
        <w:t xml:space="preserve"> </w:t>
      </w:r>
      <w:r>
        <w:rPr>
          <w:spacing w:val="13"/>
        </w:rPr>
        <w:t>具体情形，依照有关法律、法规、规章规定，对照本实施办法</w:t>
      </w:r>
      <w:r>
        <w:rPr>
          <w:spacing w:val="3"/>
        </w:rPr>
        <w:t xml:space="preserve"> </w:t>
      </w:r>
      <w:r>
        <w:rPr>
          <w:spacing w:val="7"/>
        </w:rPr>
        <w:t>及《基准》，</w:t>
      </w:r>
      <w:r>
        <w:rPr>
          <w:spacing w:val="7"/>
        </w:rPr>
        <w:t xml:space="preserve"> </w:t>
      </w:r>
      <w:r>
        <w:rPr>
          <w:spacing w:val="7"/>
        </w:rPr>
        <w:t>提出处罚意见。有本办法中列明的从重、从轻或</w:t>
      </w:r>
      <w:r>
        <w:rPr>
          <w:spacing w:val="3"/>
        </w:rPr>
        <w:t xml:space="preserve"> </w:t>
      </w:r>
      <w:r>
        <w:rPr>
          <w:spacing w:val="13"/>
        </w:rPr>
        <w:t>减轻、不予处罚情节的，应当全面、客观、公正地收集相关证</w:t>
      </w:r>
      <w:r>
        <w:rPr>
          <w:spacing w:val="3"/>
        </w:rPr>
        <w:t xml:space="preserve"> </w:t>
      </w:r>
      <w:r>
        <w:rPr>
          <w:spacing w:val="13"/>
        </w:rPr>
        <w:t>据材料，充分听取当事人的陈述、申辩，并在行政处罚告知书</w:t>
      </w:r>
      <w:r>
        <w:rPr>
          <w:spacing w:val="3"/>
        </w:rPr>
        <w:t xml:space="preserve"> </w:t>
      </w:r>
      <w:r>
        <w:rPr>
          <w:spacing w:val="13"/>
        </w:rPr>
        <w:t>和决定书中说明裁量相应的事实、理由和依据。财政部门在作</w:t>
      </w:r>
      <w:r>
        <w:rPr>
          <w:spacing w:val="3"/>
        </w:rPr>
        <w:t xml:space="preserve"> </w:t>
      </w:r>
      <w:r>
        <w:rPr>
          <w:spacing w:val="13"/>
        </w:rPr>
        <w:t>出的行政处罚决定中可以援引《基准》并作为决定裁量说理的</w:t>
      </w:r>
      <w:r>
        <w:rPr>
          <w:spacing w:val="3"/>
        </w:rPr>
        <w:t xml:space="preserve"> </w:t>
      </w:r>
      <w:r>
        <w:rPr>
          <w:spacing w:val="4"/>
        </w:rPr>
        <w:t>内容，但是不得单独或者直接援引《基准》作出行政处罚决定。</w:t>
      </w:r>
    </w:p>
    <w:p>
      <w:pPr>
        <w:pStyle w:val="BodyText"/>
        <w:ind w:left="17" w:right="85" w:firstLine="633"/>
        <w:spacing w:before="2" w:line="345" w:lineRule="auto"/>
        <w:jc w:val="both"/>
        <w:rPr/>
      </w:pPr>
      <w:r>
        <w:rPr>
          <w:spacing w:val="26"/>
        </w:rPr>
        <w:t>对适用有关行政处罚裁量基准会导致处罚决定明显不当</w:t>
      </w:r>
      <w:r>
        <w:rPr>
          <w:spacing w:val="8"/>
        </w:rPr>
        <w:t xml:space="preserve"> </w:t>
      </w:r>
      <w:r>
        <w:rPr>
          <w:spacing w:val="12"/>
        </w:rPr>
        <w:t>的，财政部门可以在不与法律、法规、规章规定相抵触的情况</w:t>
      </w:r>
      <w:r>
        <w:rPr>
          <w:spacing w:val="13"/>
        </w:rPr>
        <w:t xml:space="preserve"> </w:t>
      </w:r>
      <w:r>
        <w:rPr>
          <w:spacing w:val="8"/>
        </w:rPr>
        <w:t>下，不予或者变通适用，但必须充分说明理由。</w:t>
      </w:r>
    </w:p>
    <w:p>
      <w:pPr>
        <w:pStyle w:val="BodyText"/>
        <w:ind w:left="11" w:right="85" w:firstLine="649"/>
        <w:spacing w:before="2" w:line="345" w:lineRule="auto"/>
        <w:jc w:val="both"/>
        <w:rPr/>
      </w:pPr>
      <w:r>
        <w:rPr>
          <w:b/>
          <w:bCs/>
          <w:spacing w:val="11"/>
        </w:rPr>
        <w:t>第二十五条</w:t>
      </w:r>
      <w:r>
        <w:rPr>
          <w:spacing w:val="11"/>
        </w:rPr>
        <w:t xml:space="preserve">  </w:t>
      </w:r>
      <w:r>
        <w:rPr>
          <w:spacing w:val="11"/>
        </w:rPr>
        <w:t>财政部门适用基准作出行政处罚决定，应当</w:t>
      </w:r>
      <w:r>
        <w:rPr>
          <w:spacing w:val="10"/>
        </w:rPr>
        <w:t xml:space="preserve"> </w:t>
      </w:r>
      <w:r>
        <w:rPr>
          <w:spacing w:val="13"/>
        </w:rPr>
        <w:t>符合《湖南省财政厅行政执法案件审理审核</w:t>
      </w:r>
      <w:r>
        <w:rPr>
          <w:spacing w:val="12"/>
        </w:rPr>
        <w:t>决定办法》中行政</w:t>
      </w:r>
      <w:r>
        <w:rPr/>
        <w:t xml:space="preserve"> </w:t>
      </w:r>
      <w:r>
        <w:rPr>
          <w:spacing w:val="5"/>
        </w:rPr>
        <w:t>执法决定法制审核制度的有关规定。</w:t>
      </w:r>
    </w:p>
    <w:p>
      <w:pPr>
        <w:pStyle w:val="BodyText"/>
        <w:ind w:left="648"/>
        <w:spacing w:before="1" w:line="219" w:lineRule="auto"/>
        <w:rPr/>
      </w:pPr>
      <w:r>
        <w:rPr>
          <w:spacing w:val="26"/>
        </w:rPr>
        <w:t>财政部门拟对当事人的财政违法行为适用本实施办法和</w:t>
      </w:r>
    </w:p>
    <w:p>
      <w:pPr>
        <w:spacing w:line="219" w:lineRule="auto"/>
        <w:sectPr>
          <w:footerReference w:type="default" r:id="rId13"/>
          <w:pgSz w:w="11900" w:h="16833"/>
          <w:pgMar w:top="1430" w:right="1493" w:bottom="1953" w:left="1594" w:header="0" w:footer="1585" w:gutter="0"/>
        </w:sectPr>
        <w:rPr/>
      </w:pPr>
    </w:p>
    <w:p>
      <w:pPr>
        <w:pStyle w:val="BodyText"/>
        <w:ind w:left="7" w:right="77" w:hanging="4"/>
        <w:spacing w:before="177" w:line="345" w:lineRule="auto"/>
        <w:jc w:val="both"/>
        <w:rPr/>
      </w:pPr>
      <w:r>
        <w:rPr>
          <w:spacing w:val="13"/>
        </w:rPr>
        <w:t>《基准》对情节复杂或者重大违法行为给予行政处罚的，应当</w:t>
      </w:r>
      <w:r>
        <w:rPr>
          <w:spacing w:val="7"/>
        </w:rPr>
        <w:t xml:space="preserve"> </w:t>
      </w:r>
      <w:r>
        <w:rPr>
          <w:spacing w:val="13"/>
        </w:rPr>
        <w:t>根据《行政处罚法》第五十七条第二款的规定，经机关负责人</w:t>
      </w:r>
      <w:r>
        <w:rPr>
          <w:spacing w:val="3"/>
        </w:rPr>
        <w:t xml:space="preserve"> </w:t>
      </w:r>
      <w:r>
        <w:rPr>
          <w:spacing w:val="2"/>
        </w:rPr>
        <w:t>集体讨论决定。</w:t>
      </w:r>
    </w:p>
    <w:p>
      <w:pPr>
        <w:pStyle w:val="BodyText"/>
        <w:ind w:left="11" w:firstLine="657"/>
        <w:spacing w:line="346" w:lineRule="auto"/>
        <w:jc w:val="both"/>
        <w:rPr/>
      </w:pPr>
      <w:r>
        <w:rPr>
          <w:b/>
          <w:bCs/>
          <w:spacing w:val="11"/>
        </w:rPr>
        <w:t>第二十六条</w:t>
      </w:r>
      <w:r>
        <w:rPr>
          <w:spacing w:val="11"/>
        </w:rPr>
        <w:t xml:space="preserve">  </w:t>
      </w:r>
      <w:r>
        <w:rPr>
          <w:spacing w:val="11"/>
        </w:rPr>
        <w:t>财政部门应当加强对本部门行政处罚裁量权</w:t>
      </w:r>
      <w:r>
        <w:rPr>
          <w:spacing w:val="10"/>
        </w:rPr>
        <w:t xml:space="preserve"> </w:t>
      </w:r>
      <w:r>
        <w:rPr>
          <w:spacing w:val="4"/>
        </w:rPr>
        <w:t>行使情况的监督，对违法或者不当行使行政处罚裁量权的行为，</w:t>
      </w:r>
      <w:r>
        <w:rPr>
          <w:spacing w:val="6"/>
        </w:rPr>
        <w:t xml:space="preserve"> </w:t>
      </w:r>
      <w:r>
        <w:rPr>
          <w:spacing w:val="1"/>
        </w:rPr>
        <w:t>应当及时纠正。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ind w:left="3417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"/>
        </w:rPr>
        <w:t>第四章</w:t>
      </w:r>
      <w:r>
        <w:rPr>
          <w:rFonts w:ascii="SimHei" w:hAnsi="SimHei" w:eastAsia="SimHei" w:cs="SimHei"/>
          <w:sz w:val="31"/>
          <w:szCs w:val="31"/>
          <w:spacing w:val="19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2"/>
        </w:rPr>
        <w:t>附则</w:t>
      </w:r>
    </w:p>
    <w:p>
      <w:pPr>
        <w:pStyle w:val="BodyText"/>
        <w:ind w:left="13" w:right="78" w:firstLine="655"/>
        <w:spacing w:before="298" w:line="278" w:lineRule="auto"/>
        <w:rPr/>
      </w:pPr>
      <w:r>
        <w:rPr>
          <w:b/>
          <w:bCs/>
          <w:spacing w:val="11"/>
        </w:rPr>
        <w:t>第二十七条</w:t>
      </w:r>
      <w:r>
        <w:rPr>
          <w:spacing w:val="11"/>
        </w:rPr>
        <w:t xml:space="preserve">  </w:t>
      </w:r>
      <w:r>
        <w:rPr>
          <w:spacing w:val="11"/>
        </w:rPr>
        <w:t>有关法律、法规、规章发生变化，导致本实</w:t>
      </w:r>
      <w:r>
        <w:rPr>
          <w:spacing w:val="10"/>
        </w:rPr>
        <w:t xml:space="preserve"> </w:t>
      </w:r>
      <w:r>
        <w:rPr>
          <w:spacing w:val="7"/>
        </w:rPr>
        <w:t>施办法及《基准》与其规定不一致的，从其规定。</w:t>
      </w:r>
    </w:p>
    <w:p>
      <w:pPr>
        <w:pStyle w:val="BodyText"/>
        <w:ind w:left="21" w:right="28" w:firstLine="647"/>
        <w:spacing w:before="186" w:line="296" w:lineRule="auto"/>
        <w:rPr/>
      </w:pPr>
      <w:r>
        <w:rPr>
          <w:b/>
          <w:bCs/>
          <w:spacing w:val="3"/>
        </w:rPr>
        <w:t>第二十八条</w:t>
      </w:r>
      <w:r>
        <w:rPr>
          <w:spacing w:val="3"/>
        </w:rPr>
        <w:t xml:space="preserve">  </w:t>
      </w:r>
      <w:r>
        <w:rPr>
          <w:spacing w:val="3"/>
        </w:rPr>
        <w:t>《基准》中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裁量标准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中所称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2"/>
        </w:rPr>
        <w:t>以上</w:t>
      </w:r>
      <w:r>
        <w:rPr>
          <w:rFonts w:ascii="Times New Roman" w:hAnsi="Times New Roman" w:eastAsia="Times New Roman" w:cs="Times New Roman"/>
          <w:spacing w:val="2"/>
        </w:rPr>
        <w:t>”“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2"/>
        </w:rPr>
        <w:t>以下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，</w:t>
      </w:r>
      <w:r>
        <w:rPr/>
        <w:t xml:space="preserve"> </w:t>
      </w:r>
      <w:r>
        <w:rPr>
          <w:spacing w:val="3"/>
        </w:rPr>
        <w:t>除特别说明外，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以上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包括本数，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以下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不包括本数，但最高等</w:t>
      </w:r>
      <w:r>
        <w:rPr>
          <w:spacing w:val="7"/>
        </w:rPr>
        <w:t xml:space="preserve"> </w:t>
      </w:r>
      <w:r>
        <w:rPr>
          <w:spacing w:val="4"/>
        </w:rPr>
        <w:t>次均包括本数。所称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不足</w:t>
      </w:r>
      <w:r>
        <w:rPr>
          <w:rFonts w:ascii="Times New Roman" w:hAnsi="Times New Roman" w:eastAsia="Times New Roman" w:cs="Times New Roman"/>
          <w:spacing w:val="4"/>
        </w:rPr>
        <w:t>”“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4"/>
        </w:rPr>
        <w:t>不满</w:t>
      </w:r>
      <w:r>
        <w:rPr>
          <w:rFonts w:ascii="Times New Roman" w:hAnsi="Times New Roman" w:eastAsia="Times New Roman" w:cs="Times New Roman"/>
          <w:spacing w:val="4"/>
        </w:rPr>
        <w:t>”“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4"/>
        </w:rPr>
        <w:t>大于</w:t>
      </w:r>
      <w:r>
        <w:rPr>
          <w:rFonts w:ascii="Times New Roman" w:hAnsi="Times New Roman" w:eastAsia="Times New Roman" w:cs="Times New Roman"/>
          <w:spacing w:val="4"/>
        </w:rPr>
        <w:t>”“</w:t>
      </w:r>
      <w:r>
        <w:rPr>
          <w:spacing w:val="4"/>
        </w:rPr>
        <w:t>小于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都不包括本数。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0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信息公开选项</w:t>
      </w:r>
      <w:r>
        <w:rPr>
          <w:rFonts w:ascii="Times New Roman" w:hAnsi="Times New Roman" w:eastAsia="Times New Roman" w:cs="Times New Roman"/>
          <w:sz w:val="28"/>
          <w:szCs w:val="28"/>
          <w:spacing w:val="-1"/>
        </w:rPr>
        <w:t>:</w:t>
      </w:r>
      <w:r>
        <w:rPr>
          <w:rFonts w:ascii="SimHei" w:hAnsi="SimHei" w:eastAsia="SimHei" w:cs="SimHei"/>
          <w:sz w:val="28"/>
          <w:szCs w:val="28"/>
          <w:spacing w:val="-1"/>
        </w:rPr>
        <w:t>主动公开</w:t>
      </w:r>
    </w:p>
    <w:p>
      <w:pPr>
        <w:spacing w:line="10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3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27"/>
        <w:gridCol w:w="4312"/>
      </w:tblGrid>
      <w:tr>
        <w:trPr>
          <w:trHeight w:val="569" w:hRule="atLeast"/>
        </w:trPr>
        <w:tc>
          <w:tcPr>
            <w:tcW w:w="4327" w:type="dxa"/>
            <w:vAlign w:val="top"/>
            <w:tcBorders>
              <w:bottom w:val="single" w:color="000000" w:sz="12" w:space="0"/>
              <w:top w:val="single" w:color="000000" w:sz="12" w:space="0"/>
            </w:tcBorders>
          </w:tcPr>
          <w:p>
            <w:pPr>
              <w:ind w:left="299"/>
              <w:spacing w:before="223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湖南省财政厅办公室</w:t>
            </w:r>
          </w:p>
        </w:tc>
        <w:tc>
          <w:tcPr>
            <w:tcW w:w="4312" w:type="dxa"/>
            <w:vAlign w:val="top"/>
            <w:tcBorders>
              <w:bottom w:val="single" w:color="000000" w:sz="12" w:space="0"/>
              <w:top w:val="single" w:color="000000" w:sz="12" w:space="0"/>
            </w:tcBorders>
          </w:tcPr>
          <w:p>
            <w:pPr>
              <w:ind w:left="1711"/>
              <w:spacing w:before="182" w:line="368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2023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  <w:position w:val="1"/>
              </w:rPr>
              <w:t>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3"/>
                <w:w w:val="101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  <w:position w:val="1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7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  <w:position w:val="1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3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  <w:position w:val="1"/>
              </w:rPr>
              <w:t>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4"/>
      <w:pgSz w:w="11900" w:h="16833"/>
      <w:pgMar w:top="1430" w:right="1501" w:bottom="1953" w:left="1586" w:header="0" w:footer="15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6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5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2"/>
        <w:w w:val="10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  <w:position w:val="1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5"/>
        <w:position w:val="1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5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29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5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9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35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2</w:t>
    </w:r>
    <w:r>
      <w:rPr>
        <w:rFonts w:ascii="Times New Roman" w:hAnsi="Times New Roman" w:eastAsia="Times New Roman" w:cs="Times New Roman"/>
        <w:sz w:val="28"/>
        <w:szCs w:val="28"/>
        <w:spacing w:val="1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3"/>
      <w:spacing w:line="358" w:lineRule="exact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3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5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4</w:t>
    </w:r>
    <w:r>
      <w:rPr>
        <w:rFonts w:ascii="Times New Roman" w:hAnsi="Times New Roman" w:eastAsia="Times New Roman" w:cs="Times New Roman"/>
        <w:sz w:val="28"/>
        <w:szCs w:val="28"/>
        <w:spacing w:val="1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6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5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6</w:t>
    </w:r>
    <w:r>
      <w:rPr>
        <w:rFonts w:ascii="Times New Roman" w:hAnsi="Times New Roman" w:eastAsia="Times New Roman" w:cs="Times New Roman"/>
        <w:sz w:val="28"/>
        <w:szCs w:val="28"/>
        <w:spacing w:val="13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3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7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0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7"/>
        <w:w w:val="10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1"/>
      </w:rPr>
      <w:t>8</w:t>
    </w:r>
    <w:r>
      <w:rPr>
        <w:rFonts w:ascii="Times New Roman" w:hAnsi="Times New Roman" w:eastAsia="Times New Roman" w:cs="Times New Roman"/>
        <w:sz w:val="28"/>
        <w:szCs w:val="28"/>
        <w:spacing w:val="12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1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3"/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11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9</w:t>
    </w:r>
    <w:r>
      <w:rPr>
        <w:rFonts w:ascii="Times New Roman" w:hAnsi="Times New Roman" w:eastAsia="Times New Roman" w:cs="Times New Roman"/>
        <w:sz w:val="28"/>
        <w:szCs w:val="28"/>
        <w:spacing w:val="10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  <w:position w:val="1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Suwell OFD convertor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湖南省财政厅发文（指标、函）稿</dc:title>
  <dc:creator>User</dc:creator>
  <dcterms:created xsi:type="dcterms:W3CDTF">2025-09-24T09:58:38Z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2025-09-24T10:03:56</vt:filetime>
  </property>
</Properties>
</file>