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芷江侗族自治县农业农村局2018年部门整体支出绩效自评报告</w:t>
      </w:r>
    </w:p>
    <w:p>
      <w:pPr>
        <w:spacing w:line="560" w:lineRule="exact"/>
        <w:jc w:val="center"/>
        <w:rPr>
          <w:rFonts w:ascii="宋体" w:hAnsi="宋体"/>
          <w:b/>
          <w:sz w:val="44"/>
          <w:szCs w:val="44"/>
        </w:rPr>
      </w:pPr>
    </w:p>
    <w:p>
      <w:pPr>
        <w:spacing w:line="560" w:lineRule="exact"/>
        <w:ind w:firstLine="640" w:firstLineChars="200"/>
        <w:rPr>
          <w:rFonts w:ascii="仿宋" w:hAnsi="仿宋" w:eastAsia="仿宋" w:cs="Times New Roman"/>
          <w:sz w:val="32"/>
          <w:szCs w:val="32"/>
        </w:rPr>
      </w:pPr>
      <w:r>
        <w:rPr>
          <w:rFonts w:hint="eastAsia" w:ascii="仿宋" w:hAnsi="仿宋" w:eastAsia="仿宋"/>
          <w:color w:val="000000"/>
          <w:sz w:val="32"/>
          <w:szCs w:val="32"/>
        </w:rPr>
        <w:t>为进一步规范财政资金管理，强化部门责任意识，切实提高财政资金使用效益。</w:t>
      </w:r>
      <w:r>
        <w:rPr>
          <w:rFonts w:hint="eastAsia" w:ascii="仿宋" w:hAnsi="仿宋" w:eastAsia="仿宋"/>
          <w:sz w:val="32"/>
          <w:szCs w:val="32"/>
        </w:rPr>
        <w:t>根据</w:t>
      </w:r>
      <w:r>
        <w:rPr>
          <w:rFonts w:ascii="仿宋" w:hAnsi="仿宋" w:eastAsia="仿宋"/>
          <w:color w:val="000000"/>
          <w:sz w:val="32"/>
          <w:szCs w:val="32"/>
        </w:rPr>
        <w:t>《党政机关厉行节约反对浪费条例》</w:t>
      </w:r>
      <w:r>
        <w:rPr>
          <w:rFonts w:hint="eastAsia" w:ascii="仿宋" w:hAnsi="仿宋" w:eastAsia="仿宋"/>
          <w:color w:val="000000"/>
          <w:sz w:val="32"/>
          <w:szCs w:val="32"/>
        </w:rPr>
        <w:t>、</w:t>
      </w:r>
      <w:r>
        <w:rPr>
          <w:rFonts w:ascii="仿宋" w:hAnsi="仿宋" w:eastAsia="仿宋"/>
          <w:color w:val="000000"/>
          <w:sz w:val="32"/>
          <w:szCs w:val="32"/>
        </w:rPr>
        <w:t>财政部《</w:t>
      </w:r>
      <w:r>
        <w:rPr>
          <w:rFonts w:hint="eastAsia" w:ascii="仿宋" w:hAnsi="仿宋" w:eastAsia="仿宋"/>
          <w:color w:val="000000"/>
          <w:sz w:val="32"/>
          <w:szCs w:val="32"/>
        </w:rPr>
        <w:t>财政支出</w:t>
      </w:r>
      <w:r>
        <w:rPr>
          <w:rFonts w:ascii="仿宋" w:hAnsi="仿宋" w:eastAsia="仿宋"/>
          <w:color w:val="000000"/>
          <w:sz w:val="32"/>
          <w:szCs w:val="32"/>
        </w:rPr>
        <w:t>绩效</w:t>
      </w:r>
      <w:r>
        <w:rPr>
          <w:rFonts w:hint="eastAsia" w:ascii="仿宋" w:hAnsi="仿宋" w:eastAsia="仿宋"/>
          <w:color w:val="000000"/>
          <w:sz w:val="32"/>
          <w:szCs w:val="32"/>
        </w:rPr>
        <w:t>评价管理暂行办法</w:t>
      </w:r>
      <w:r>
        <w:rPr>
          <w:rFonts w:ascii="仿宋" w:hAnsi="仿宋" w:eastAsia="仿宋"/>
          <w:color w:val="000000"/>
          <w:sz w:val="32"/>
          <w:szCs w:val="32"/>
        </w:rPr>
        <w:t>》（财预〔201</w:t>
      </w: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285</w:t>
      </w:r>
      <w:r>
        <w:rPr>
          <w:rFonts w:ascii="仿宋" w:hAnsi="仿宋" w:eastAsia="仿宋"/>
          <w:color w:val="000000"/>
          <w:sz w:val="32"/>
          <w:szCs w:val="32"/>
        </w:rPr>
        <w:t>号）</w:t>
      </w:r>
      <w:r>
        <w:rPr>
          <w:rFonts w:hint="eastAsia" w:ascii="仿宋" w:hAnsi="仿宋" w:eastAsia="仿宋"/>
          <w:color w:val="000000"/>
          <w:sz w:val="32"/>
          <w:szCs w:val="32"/>
        </w:rPr>
        <w:t>、《湖南省人民政府关于深化预算管理制度改革的实施意见》（湘政发〔2015〕8号）、《芷江侗族自治县人民政府关于全面推进预算绩效管理的实施意见》（芷政发[2014]8号）、《芷江侗族自治县财政支出绩效评价管理暂行办法》（芷财绩[2014]4号）</w:t>
      </w:r>
      <w:r>
        <w:rPr>
          <w:rFonts w:hint="eastAsia" w:ascii="仿宋" w:hAnsi="仿宋" w:eastAsia="仿宋"/>
          <w:sz w:val="32"/>
          <w:szCs w:val="32"/>
        </w:rPr>
        <w:t>文件精神，</w:t>
      </w:r>
      <w:r>
        <w:rPr>
          <w:rFonts w:hint="eastAsia" w:ascii="仿宋" w:hAnsi="仿宋" w:eastAsia="仿宋" w:cs="Times New Roman"/>
          <w:sz w:val="32"/>
          <w:szCs w:val="32"/>
        </w:rPr>
        <w:t>我</w:t>
      </w:r>
      <w:r>
        <w:rPr>
          <w:rFonts w:hint="eastAsia" w:ascii="仿宋" w:hAnsi="仿宋" w:eastAsia="仿宋"/>
          <w:color w:val="000000"/>
          <w:sz w:val="32"/>
          <w:szCs w:val="32"/>
        </w:rPr>
        <w:t>局认真开展了2018年部门整体支出绩效评价工作，现将相关情况报告如</w:t>
      </w:r>
      <w:r>
        <w:rPr>
          <w:rFonts w:hint="eastAsia" w:ascii="仿宋" w:hAnsi="仿宋" w:eastAsia="仿宋" w:cs="Times New Roman"/>
          <w:sz w:val="32"/>
          <w:szCs w:val="32"/>
        </w:rPr>
        <w:t>下：</w:t>
      </w:r>
    </w:p>
    <w:p>
      <w:pPr>
        <w:numPr>
          <w:ilvl w:val="0"/>
          <w:numId w:val="1"/>
        </w:numPr>
        <w:snapToGrid w:val="0"/>
        <w:spacing w:line="560" w:lineRule="exact"/>
        <w:rPr>
          <w:rFonts w:ascii="黑体" w:hAnsi="黑体" w:eastAsia="黑体" w:cs="黑体"/>
          <w:sz w:val="32"/>
          <w:szCs w:val="32"/>
        </w:rPr>
      </w:pPr>
      <w:r>
        <w:rPr>
          <w:rFonts w:hint="eastAsia" w:ascii="黑体" w:hAnsi="黑体" w:eastAsia="黑体" w:cs="黑体"/>
          <w:b/>
          <w:sz w:val="32"/>
          <w:szCs w:val="32"/>
        </w:rPr>
        <w:t>部门概况</w:t>
      </w:r>
    </w:p>
    <w:p>
      <w:pPr>
        <w:spacing w:line="560" w:lineRule="exact"/>
        <w:ind w:firstLine="643" w:firstLineChars="200"/>
        <w:rPr>
          <w:rFonts w:ascii="楷体" w:hAnsi="楷体" w:eastAsia="楷体" w:cs="楷体_GB2312"/>
          <w:b/>
          <w:bCs/>
          <w:color w:val="000000"/>
          <w:sz w:val="32"/>
          <w:szCs w:val="32"/>
        </w:rPr>
      </w:pPr>
      <w:r>
        <w:rPr>
          <w:rFonts w:hint="eastAsia" w:ascii="楷体" w:hAnsi="楷体" w:eastAsia="楷体" w:cs="楷体_GB2312"/>
          <w:b/>
          <w:bCs/>
          <w:color w:val="000000"/>
          <w:sz w:val="32"/>
          <w:szCs w:val="32"/>
        </w:rPr>
        <w:t>(一）部门职能概述</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1、负责全县农业、农村工作的协调和综合工作，组织、研究全县农业、农村发展和改革中的问题，提出农业、农村发展和改革的政策建议，指导农村发展和改革工作。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2、会同有关部门研究提出城乡经济社会发展一体化体制机制改革的建议，指导协调县域经济发展和新农村建设，研究提出县域经济发展和新农村建设的政策与规划建议，参与农村社会事业发展工作。</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3、贯彻执行国家、省、市、县农业各产业（以下简称农业）发展的方针政策，拟定我县农业发展的政策和规划并指导实施，组织起草农业和农村经济的文件草案，推进农业依法行政。</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4、指导粮食等主要农产品生产，组织落实促进粮食等主要农产品生产发展的相关政策措施，引导农业产业结构调整和产品品质改善，会同有关部门指导农业标准化、规模化生产；提出农业固定资产投资规模和方向、县级财政性资金安排的建议，按权限审批、核准规划和计划内固定资产投资项目；编报部门预算并组织执行，提出扶持农业农村发展的财政政策和项目建议，经批准后与财政部门共同制定实施方案并指导实施；拟定农业开发规划并监督实施；配合财政部门组织实施农业综合开发项目。</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5、促进农业产前、产中、产后一体化发展，组织拟订促进农产品加工业发展政策、规划并组织实施，提出农业产业保护政策建议，指导农产品加工业结构调整、技术创新和服务体系建议；提出促进大宗农产品流通的政策建议，研究制定大宗农产品市场体系建设与发展规划；培育、保护和发展农产品品牌；组织协调“菜篮子”工程。</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6、承担提升农产品质量安全水平的责任，依法开展农产品质量安全风险评估，发布有关农产品质量安全状况信息，负责农产品质量安全监测；贯彻执行农业转基因生物安全评价标准和技术规范，负责农业转基因生物安全监督管理和农业植物新品种保护；会同有关部门贯彻执行农产品质量安全国家标准，参与制定农产品质量安全地方标准并指导实施；指导农业检验检测体系建议和工作考核；依法实施符合安全标准的农产品认证和监督管理；组织农产品质量安全的监督管理。</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7、组织、协调农业生产资料市场体系建议，依法开展农作物种子(种苗）、草种、农药、食用菌菌种的许可及监督管理；会同有关部门贯彻执行农业生产资料标准。</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8、承担农业防灾减灾的责任，监测、发布农业灾情，组织种子、化肥等救灾物资储备和调拨，提出生产救灾资金安排建议，指导紧急救灾和灾后生产恢复。</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9、管理农业和农村经济信息，监测分析农业、农村经济运行，开展相关农业统计工作；采集、发布农业和农村经济信息，负责农业信息体系建设，指导农业信息服务。</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10、制定农业科研、农技推广的规划、计划和有关政策并指导实施；会同有关部门组织全县农业科技创新和农业产业技术体系建设，会同有关部门实施科教兴农战略，按分工组织实施农业科研重大专项；组织实施农业领域的高新技术和应用技术研究、农业科技成果转化和技术推广；负责农业科技成果管理，组织引进境外农业先进技术，指导农技推广体系改革与建设。</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11、会同有关部门拟定农业农村人才队伍建设规划并组织实施，指导协调农民教育培训，指导农业教育和农业职业技能开发工作，参与实施农村实用人才培训工程，承担农村劳动力就地就近就业培训工作，会同有关主管部门依法实施农业农村人才专业技术资格和从业资格管理。</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12、组织农业资源区划工作，指导农用地、草原、宜农滩涂、宜农湿地以及农业生物物种资源的保护和管理，负责水生野生动植物保护工作；拟定耕地及基本农田质量保护与改良政策并指导实施，依法管理耕地质量，发展节水农业。                                                     </w:t>
      </w:r>
      <w:r>
        <w:rPr>
          <w:rFonts w:hint="eastAsia" w:ascii="仿宋" w:hAnsi="仿宋" w:eastAsia="仿宋" w:cs="仿宋_GB2312"/>
          <w:color w:val="000000"/>
          <w:sz w:val="32"/>
          <w:szCs w:val="32"/>
        </w:rPr>
        <w:tab/>
      </w:r>
      <w:r>
        <w:rPr>
          <w:rFonts w:hint="eastAsia" w:ascii="仿宋" w:hAnsi="仿宋" w:eastAsia="仿宋" w:cs="仿宋_GB2312"/>
          <w:color w:val="000000"/>
          <w:sz w:val="32"/>
          <w:szCs w:val="32"/>
        </w:rPr>
        <w:t xml:space="preserve">   13、制定并实施农业生态建设规划，指导农村可再生能源综合开发与利用，指导农业生物质产业发展和农业农村节能减排，承担指导农业面源污染治理有关工作；划定农产品禁止生产区域，指导生态农业、循环农业等发展。                </w:t>
      </w:r>
      <w:r>
        <w:rPr>
          <w:rFonts w:hint="eastAsia" w:ascii="仿宋" w:hAnsi="仿宋" w:eastAsia="仿宋" w:cs="仿宋_GB2312"/>
          <w:color w:val="000000"/>
          <w:sz w:val="32"/>
          <w:szCs w:val="32"/>
        </w:rPr>
        <w:tab/>
      </w:r>
      <w:r>
        <w:rPr>
          <w:rFonts w:hint="eastAsia" w:ascii="仿宋" w:hAnsi="仿宋" w:eastAsia="仿宋" w:cs="仿宋_GB2312"/>
          <w:color w:val="000000"/>
          <w:sz w:val="32"/>
          <w:szCs w:val="32"/>
        </w:rPr>
        <w:tab/>
      </w:r>
      <w:r>
        <w:rPr>
          <w:rFonts w:hint="eastAsia" w:ascii="仿宋" w:hAnsi="仿宋" w:eastAsia="仿宋" w:cs="仿宋_GB2312"/>
          <w:color w:val="000000"/>
          <w:sz w:val="32"/>
          <w:szCs w:val="32"/>
        </w:rPr>
        <w:t>14</w:t>
      </w:r>
      <w:r>
        <w:rPr>
          <w:rFonts w:hint="eastAsia" w:ascii="仿宋" w:hAnsi="仿宋" w:eastAsia="仿宋" w:cs="仿宋_GB2312"/>
          <w:color w:val="000000"/>
          <w:sz w:val="32"/>
          <w:szCs w:val="32"/>
        </w:rPr>
        <w:tab/>
      </w:r>
      <w:r>
        <w:rPr>
          <w:rFonts w:hint="eastAsia" w:ascii="仿宋" w:hAnsi="仿宋" w:eastAsia="仿宋" w:cs="仿宋_GB2312"/>
          <w:color w:val="000000"/>
          <w:sz w:val="32"/>
          <w:szCs w:val="32"/>
        </w:rPr>
        <w:t xml:space="preserve">、制定全县蔬菜产业发展规划，制定蔬菜管理规定、蔬菜产销标准；做好蔬菜生产和新技术、新品种的研究、引进、推广工作；负责规划指导全县蔬菜基地建设、标准化生产、组织实施蔬菜的产地认定、质量认证、市场准入和安全检测工作；组织协调全县蔬菜项目的实施和管理。     </w:t>
      </w:r>
    </w:p>
    <w:p>
      <w:pPr>
        <w:spacing w:line="560" w:lineRule="exact"/>
        <w:ind w:firstLine="960" w:firstLineChars="3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15、参与组织农业贸易促进和有关经济、技术交流与合作，协助有关部门组织实施。         </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17、承办县委、县人民政府交办的其他事项。</w:t>
      </w:r>
    </w:p>
    <w:p>
      <w:pPr>
        <w:spacing w:line="560" w:lineRule="exact"/>
        <w:ind w:firstLine="643" w:firstLineChars="200"/>
        <w:rPr>
          <w:rFonts w:ascii="楷体" w:hAnsi="楷体" w:eastAsia="楷体" w:cs="楷体_GB2312"/>
          <w:b/>
          <w:bCs/>
          <w:color w:val="000000"/>
          <w:sz w:val="32"/>
          <w:szCs w:val="32"/>
        </w:rPr>
      </w:pPr>
      <w:r>
        <w:rPr>
          <w:rFonts w:hint="eastAsia" w:ascii="楷体" w:hAnsi="楷体" w:eastAsia="楷体" w:cs="楷体_GB2312"/>
          <w:b/>
          <w:bCs/>
          <w:color w:val="000000"/>
          <w:sz w:val="32"/>
          <w:szCs w:val="32"/>
        </w:rPr>
        <w:t>（二）部门组织机构及人员情况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职责，县农业农村局内设办公室、人事股、发展计划与财务股、综合调研股等10个股室（队），下辖8个股级事业单位、4个副科以上二级事业单位和1个国营园艺示范场。截止2018年底，我局人员编制105人，现有在职人员106人，其中行政编制人数18人，事业编制人数87人。</w:t>
      </w:r>
    </w:p>
    <w:p>
      <w:pPr>
        <w:spacing w:line="560" w:lineRule="exact"/>
        <w:ind w:firstLine="643" w:firstLineChars="200"/>
        <w:rPr>
          <w:rFonts w:ascii="黑体" w:hAnsi="黑体" w:eastAsia="黑体" w:cs="仿宋_GB2312"/>
          <w:sz w:val="32"/>
          <w:szCs w:val="32"/>
        </w:rPr>
      </w:pPr>
      <w:r>
        <w:rPr>
          <w:rFonts w:hint="eastAsia" w:ascii="黑体" w:hAnsi="黑体" w:eastAsia="黑体" w:cs="宋体"/>
          <w:b/>
          <w:color w:val="000000"/>
          <w:kern w:val="0"/>
          <w:sz w:val="32"/>
          <w:szCs w:val="32"/>
        </w:rPr>
        <w:t>二、部门整体支出情况</w:t>
      </w:r>
    </w:p>
    <w:p>
      <w:pPr>
        <w:widowControl/>
        <w:spacing w:line="560" w:lineRule="exact"/>
        <w:ind w:firstLine="672" w:firstLineChars="210"/>
        <w:rPr>
          <w:rFonts w:ascii="仿宋" w:hAnsi="仿宋" w:eastAsia="仿宋" w:cs="仿宋_GB2312"/>
          <w:color w:val="000000"/>
          <w:sz w:val="32"/>
          <w:szCs w:val="32"/>
        </w:rPr>
      </w:pPr>
      <w:r>
        <w:rPr>
          <w:rFonts w:hint="eastAsia" w:ascii="仿宋" w:hAnsi="仿宋" w:eastAsia="仿宋" w:cs="仿宋_GB2312"/>
          <w:color w:val="000000"/>
          <w:kern w:val="0"/>
          <w:sz w:val="32"/>
          <w:szCs w:val="32"/>
        </w:rPr>
        <w:t>2</w:t>
      </w:r>
      <w:r>
        <w:rPr>
          <w:rFonts w:hint="eastAsia" w:ascii="仿宋" w:hAnsi="仿宋" w:eastAsia="仿宋" w:cs="仿宋_GB2312"/>
          <w:color w:val="000000"/>
          <w:sz w:val="32"/>
          <w:szCs w:val="32"/>
        </w:rPr>
        <w:t>018年部门决算年初结转392.39万元，本年收入1857.19万元，本年支出1843.62万元，年末结转405.96万元。</w:t>
      </w:r>
    </w:p>
    <w:p>
      <w:pPr>
        <w:widowControl/>
        <w:spacing w:line="560" w:lineRule="exact"/>
        <w:ind w:firstLine="672" w:firstLineChars="210"/>
        <w:rPr>
          <w:rFonts w:ascii="仿宋" w:hAnsi="仿宋" w:eastAsia="仿宋" w:cs="仿宋_GB2312"/>
          <w:sz w:val="32"/>
          <w:szCs w:val="32"/>
        </w:rPr>
      </w:pPr>
      <w:r>
        <w:rPr>
          <w:rFonts w:hint="eastAsia" w:ascii="仿宋" w:hAnsi="仿宋" w:eastAsia="仿宋" w:cs="仿宋_GB2312"/>
          <w:color w:val="000000"/>
          <w:sz w:val="32"/>
          <w:szCs w:val="32"/>
        </w:rPr>
        <w:t>支出按经济科目分类工资福利支出1209.63万元，商品服务支出213.88万元，对个人与家庭补助支出348.2万元，资本性支出71.91万元</w:t>
      </w:r>
      <w:r>
        <w:rPr>
          <w:rFonts w:hint="eastAsia" w:ascii="仿宋" w:hAnsi="仿宋" w:eastAsia="仿宋" w:cs="仿宋_GB2312"/>
          <w:sz w:val="32"/>
          <w:szCs w:val="32"/>
        </w:rPr>
        <w:t>。</w:t>
      </w:r>
    </w:p>
    <w:p>
      <w:pPr>
        <w:widowControl/>
        <w:spacing w:line="560" w:lineRule="exact"/>
        <w:ind w:firstLine="672" w:firstLineChars="210"/>
        <w:rPr>
          <w:rFonts w:ascii="仿宋" w:hAnsi="仿宋" w:eastAsia="仿宋" w:cs="仿宋_GB2312"/>
          <w:sz w:val="32"/>
          <w:szCs w:val="32"/>
        </w:rPr>
      </w:pPr>
      <w:r>
        <w:rPr>
          <w:rFonts w:hint="eastAsia" w:ascii="仿宋" w:hAnsi="仿宋" w:eastAsia="仿宋" w:cs="仿宋_GB2312"/>
          <w:sz w:val="32"/>
          <w:szCs w:val="32"/>
        </w:rPr>
        <w:t>2018年度基本支出</w:t>
      </w:r>
      <w:r>
        <w:rPr>
          <w:rFonts w:hint="eastAsia" w:ascii="仿宋" w:hAnsi="仿宋" w:eastAsia="仿宋" w:cs="仿宋_GB2312"/>
          <w:color w:val="000000"/>
          <w:sz w:val="32"/>
          <w:szCs w:val="32"/>
        </w:rPr>
        <w:t>1498.09</w:t>
      </w:r>
      <w:r>
        <w:rPr>
          <w:rFonts w:hint="eastAsia" w:ascii="仿宋" w:hAnsi="仿宋" w:eastAsia="仿宋" w:cs="仿宋_GB2312"/>
          <w:sz w:val="32"/>
          <w:szCs w:val="32"/>
        </w:rPr>
        <w:t>万元，主要是按照现行人员待遇政策支付的机关及下属单位人员工资、社会保险等以及按照定额标准核定支付的日常公用经费、对个人和家庭的补助支出。</w:t>
      </w:r>
    </w:p>
    <w:p>
      <w:pPr>
        <w:widowControl/>
        <w:spacing w:line="560" w:lineRule="exact"/>
        <w:ind w:firstLine="672" w:firstLineChars="210"/>
        <w:rPr>
          <w:rFonts w:ascii="仿宋" w:hAnsi="仿宋" w:eastAsia="仿宋" w:cs="仿宋_GB2312"/>
          <w:sz w:val="32"/>
          <w:szCs w:val="32"/>
        </w:rPr>
      </w:pPr>
      <w:r>
        <w:rPr>
          <w:rFonts w:hint="eastAsia" w:ascii="仿宋" w:hAnsi="仿宋" w:eastAsia="仿宋" w:cs="仿宋_GB2312"/>
          <w:color w:val="000000"/>
          <w:sz w:val="32"/>
          <w:szCs w:val="32"/>
        </w:rPr>
        <w:t>2018年度三公经费支出总额</w:t>
      </w:r>
      <w:r>
        <w:rPr>
          <w:rFonts w:hint="eastAsia" w:ascii="仿宋" w:hAnsi="仿宋" w:eastAsia="仿宋" w:cs="仿宋_GB2312"/>
          <w:sz w:val="32"/>
          <w:szCs w:val="32"/>
        </w:rPr>
        <w:t>9.03</w:t>
      </w:r>
      <w:r>
        <w:rPr>
          <w:rFonts w:hint="eastAsia" w:ascii="仿宋" w:hAnsi="仿宋" w:eastAsia="仿宋" w:cs="仿宋_GB2312"/>
          <w:color w:val="000000"/>
          <w:sz w:val="32"/>
          <w:szCs w:val="32"/>
        </w:rPr>
        <w:t>万元，其中公务接待费</w:t>
      </w:r>
      <w:r>
        <w:rPr>
          <w:rFonts w:hint="eastAsia" w:ascii="仿宋" w:hAnsi="仿宋" w:eastAsia="仿宋" w:cs="仿宋_GB2312"/>
          <w:sz w:val="32"/>
          <w:szCs w:val="32"/>
        </w:rPr>
        <w:t>2.56</w:t>
      </w:r>
      <w:r>
        <w:rPr>
          <w:rFonts w:hint="eastAsia" w:ascii="仿宋" w:hAnsi="仿宋" w:eastAsia="仿宋" w:cs="仿宋_GB2312"/>
          <w:color w:val="000000"/>
          <w:sz w:val="32"/>
          <w:szCs w:val="32"/>
        </w:rPr>
        <w:t>万元，公务用车运行维护费</w:t>
      </w:r>
      <w:r>
        <w:rPr>
          <w:rFonts w:hint="eastAsia" w:ascii="仿宋" w:hAnsi="仿宋" w:eastAsia="仿宋" w:cs="仿宋_GB2312"/>
          <w:sz w:val="32"/>
          <w:szCs w:val="32"/>
        </w:rPr>
        <w:t>6.47</w:t>
      </w:r>
      <w:r>
        <w:rPr>
          <w:rFonts w:hint="eastAsia" w:ascii="仿宋" w:hAnsi="仿宋" w:eastAsia="仿宋" w:cs="仿宋_GB2312"/>
          <w:color w:val="000000"/>
          <w:sz w:val="32"/>
          <w:szCs w:val="32"/>
        </w:rPr>
        <w:t>万元，现单位用车保有量2辆。三公经费较上年的26.67万元相比减少了17.64万元，减少66.14%。其中，公务接待费较上年的12.99万元相比减少10.43万元，减少80.29%；公务用车运行维护费较上年的13.68万元相比减少了7.21万元，减少50.7%。三公经费减少的主要原因严格执行中央“八项规定”、省委“九项规定”及市县各项规定，厉行节约，控制接待用餐，实</w:t>
      </w:r>
      <w:r>
        <w:rPr>
          <w:rFonts w:hint="eastAsia" w:ascii="仿宋" w:hAnsi="仿宋" w:eastAsia="仿宋" w:cs="仿宋_GB2312"/>
          <w:sz w:val="32"/>
          <w:szCs w:val="32"/>
        </w:rPr>
        <w:t>行凭函、按标准接待、杜绝各种迎来送往活动所致。</w:t>
      </w:r>
    </w:p>
    <w:p>
      <w:pPr>
        <w:widowControl/>
        <w:spacing w:line="560" w:lineRule="exact"/>
        <w:ind w:firstLine="672" w:firstLineChars="210"/>
        <w:rPr>
          <w:rFonts w:ascii="仿宋" w:hAnsi="仿宋" w:eastAsia="仿宋" w:cs="仿宋_GB2312"/>
          <w:sz w:val="32"/>
          <w:szCs w:val="32"/>
        </w:rPr>
      </w:pPr>
      <w:r>
        <w:rPr>
          <w:rFonts w:hint="eastAsia" w:ascii="仿宋" w:hAnsi="仿宋" w:eastAsia="仿宋" w:cs="仿宋_GB2312"/>
          <w:sz w:val="32"/>
          <w:szCs w:val="32"/>
        </w:rPr>
        <w:t>项目支出</w:t>
      </w:r>
      <w:r>
        <w:rPr>
          <w:rFonts w:hint="eastAsia" w:ascii="仿宋" w:hAnsi="仿宋" w:eastAsia="仿宋" w:cs="仿宋_GB2312"/>
          <w:color w:val="000000"/>
          <w:sz w:val="32"/>
          <w:szCs w:val="32"/>
        </w:rPr>
        <w:t>255.43</w:t>
      </w:r>
      <w:r>
        <w:rPr>
          <w:rFonts w:hint="eastAsia" w:ascii="仿宋" w:hAnsi="仿宋" w:eastAsia="仿宋" w:cs="仿宋_GB2312"/>
          <w:sz w:val="32"/>
          <w:szCs w:val="32"/>
        </w:rPr>
        <w:t>万元。主要用于新型职业农民培训、基层农技推广体系改革与建设、新农村到村扶持资金、清洁工程、农业面源污染、农业资源与环境保护、农村能源专项、杂交水稻制种全程机械化生产示范、做优做强湘米产业、湖南重金属污染修复及种植结构调整、重大农作物病虫害防治、植保防疫及病虫害专业防治、农作物种子安全管理等。</w:t>
      </w:r>
    </w:p>
    <w:p>
      <w:pPr>
        <w:pStyle w:val="7"/>
        <w:tabs>
          <w:tab w:val="left" w:pos="1470"/>
        </w:tabs>
        <w:spacing w:line="560" w:lineRule="exact"/>
        <w:ind w:firstLine="643"/>
        <w:rPr>
          <w:rFonts w:ascii="黑体" w:hAnsi="黑体" w:eastAsia="黑体" w:cs="黑体"/>
          <w:b/>
          <w:sz w:val="32"/>
          <w:szCs w:val="32"/>
        </w:rPr>
      </w:pPr>
      <w:r>
        <w:rPr>
          <w:rFonts w:hint="eastAsia" w:ascii="黑体" w:hAnsi="黑体" w:eastAsia="黑体" w:cs="黑体"/>
          <w:b/>
          <w:sz w:val="32"/>
          <w:szCs w:val="32"/>
        </w:rPr>
        <w:t>三、部门专项组织实施情况</w:t>
      </w:r>
    </w:p>
    <w:p>
      <w:pPr>
        <w:widowControl/>
        <w:shd w:val="clear" w:color="auto" w:fill="FFFFFF"/>
        <w:spacing w:line="560" w:lineRule="exact"/>
        <w:ind w:firstLine="640"/>
        <w:rPr>
          <w:rFonts w:ascii="仿宋" w:hAnsi="仿宋" w:eastAsia="仿宋" w:cs="仿宋_GB2312"/>
          <w:sz w:val="32"/>
          <w:szCs w:val="32"/>
        </w:rPr>
      </w:pPr>
      <w:r>
        <w:rPr>
          <w:rFonts w:hint="eastAsia" w:ascii="仿宋" w:hAnsi="仿宋" w:eastAsia="仿宋" w:cs="仿宋_GB2312"/>
          <w:sz w:val="32"/>
          <w:szCs w:val="32"/>
        </w:rPr>
        <w:t>完善专项资金管理，从源头入手，落实责任，完善制度，合理使用，加强监督。一是加强领导，增强责任制意识。落实管理责任，成立项目领导小组。二是加强资金管理制度建设。结合单位实际，制定出各项规章制度，将各项经济活动划分到具体工作岗位，按照岗位确定任务、职责和权限，贯彻执行所制定的相关财务制度，加强制度执行的监督，使用专项资金的财务管理有章可循。三是加强资金的支出管理。坚持“专项核算、专人管理、专款专用”的原则，严禁挤占、挪用专项资金。</w:t>
      </w:r>
    </w:p>
    <w:p>
      <w:pPr>
        <w:widowControl/>
        <w:spacing w:line="560" w:lineRule="exact"/>
        <w:ind w:firstLine="640"/>
        <w:jc w:val="left"/>
        <w:rPr>
          <w:rFonts w:ascii="黑体" w:hAnsi="黑体" w:eastAsia="黑体" w:cs="黑体"/>
          <w:b/>
          <w:sz w:val="32"/>
          <w:szCs w:val="32"/>
        </w:rPr>
      </w:pPr>
      <w:r>
        <w:rPr>
          <w:rFonts w:hint="eastAsia" w:ascii="黑体" w:hAnsi="黑体" w:eastAsia="黑体" w:cs="黑体"/>
          <w:b/>
          <w:sz w:val="32"/>
          <w:szCs w:val="32"/>
        </w:rPr>
        <w:t>四、财务管理和资产情况</w:t>
      </w:r>
    </w:p>
    <w:p>
      <w:pPr>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我局财务管理严格依法依规，做到公开公平公正，在严格执行各项有关法律法规、财经纪律、财务规章制度的同时，我局根据单位自身情况，结合各项规定，依据财政预（决）算、政府采购、国库集中支付、专项资金等管理办法和操作规程，制定了《芷江农业农村局各项规章制度》，加强资金审批和控制，规范支出标准与范围，确保各项工作正常运转。</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我局现有固定资产987.03万元，全部纳入资产专人管理，设定了固定资卡片，并把固定资产明确到使用人，明确使用人的职责，对固定资产的处置按照财政有关规定处置程序进行处置。</w:t>
      </w:r>
    </w:p>
    <w:p>
      <w:pPr>
        <w:widowControl/>
        <w:spacing w:line="560" w:lineRule="exact"/>
        <w:ind w:firstLine="640"/>
        <w:jc w:val="left"/>
        <w:rPr>
          <w:rFonts w:ascii="黑体" w:hAnsi="黑体" w:eastAsia="黑体" w:cs="黑体"/>
          <w:b/>
          <w:color w:val="333333"/>
          <w:kern w:val="0"/>
          <w:sz w:val="32"/>
          <w:szCs w:val="32"/>
        </w:rPr>
      </w:pPr>
      <w:r>
        <w:rPr>
          <w:rFonts w:hint="eastAsia" w:ascii="黑体" w:hAnsi="黑体" w:eastAsia="黑体" w:cs="黑体"/>
          <w:b/>
          <w:color w:val="333333"/>
          <w:kern w:val="0"/>
          <w:sz w:val="32"/>
          <w:szCs w:val="32"/>
        </w:rPr>
        <w:t>五、当年取得的主要事业成效。</w:t>
      </w:r>
    </w:p>
    <w:p>
      <w:pPr>
        <w:spacing w:line="560" w:lineRule="exact"/>
        <w:ind w:firstLine="643" w:firstLineChars="200"/>
        <w:rPr>
          <w:rFonts w:ascii="仿宋" w:hAnsi="仿宋" w:eastAsia="仿宋" w:cs="仿宋_GB2312"/>
          <w:sz w:val="32"/>
          <w:szCs w:val="32"/>
        </w:rPr>
      </w:pPr>
      <w:r>
        <w:rPr>
          <w:rFonts w:hint="eastAsia" w:ascii="楷体" w:hAnsi="楷体" w:eastAsia="楷体" w:cs="楷体_GB2312"/>
          <w:b/>
          <w:bCs/>
          <w:color w:val="000000"/>
          <w:sz w:val="32"/>
          <w:szCs w:val="32"/>
        </w:rPr>
        <w:t>（一）粮油生产稳步发展。</w:t>
      </w:r>
      <w:r>
        <w:rPr>
          <w:rFonts w:hint="eastAsia" w:ascii="仿宋" w:hAnsi="仿宋" w:eastAsia="仿宋" w:cs="仿宋_GB2312"/>
          <w:sz w:val="32"/>
          <w:szCs w:val="32"/>
        </w:rPr>
        <w:t>据县统计部门统计，全县粮食总播面积完成50.97万亩，总产粮食22.0563万吨，与去年相比总播面积增加0.315万亩，总产增加5169吨，增幅2.4%。其中水稻完成总播面积30.99万亩、稻谷产量159378吨，玉米完成播面积14.5万亩、玉米产量45585吨，薯类种植4万亩、产量12000吨，豆类种植1.48万亩、产量3600吨。今年夏收油菜10.4万亩，总产菜籽0.9万吨，均产87公斤/亩，与去年总播面积及总产基本持平。</w:t>
      </w:r>
    </w:p>
    <w:p>
      <w:pPr>
        <w:spacing w:line="560" w:lineRule="exact"/>
        <w:ind w:firstLine="643" w:firstLineChars="200"/>
        <w:rPr>
          <w:rFonts w:ascii="仿宋" w:hAnsi="仿宋" w:eastAsia="仿宋" w:cs="仿宋_GB2312"/>
          <w:sz w:val="32"/>
          <w:szCs w:val="32"/>
        </w:rPr>
      </w:pPr>
      <w:r>
        <w:rPr>
          <w:rFonts w:hint="eastAsia" w:ascii="楷体" w:hAnsi="楷体" w:eastAsia="楷体" w:cs="楷体_GB2312"/>
          <w:b/>
          <w:bCs/>
          <w:color w:val="000000"/>
          <w:sz w:val="32"/>
          <w:szCs w:val="32"/>
        </w:rPr>
        <w:t>（二）经作产业稳步增长。</w:t>
      </w:r>
      <w:r>
        <w:rPr>
          <w:rFonts w:hint="eastAsia" w:ascii="仿宋" w:hAnsi="仿宋" w:eastAsia="仿宋" w:cs="仿宋_GB2312"/>
          <w:sz w:val="32"/>
          <w:szCs w:val="32"/>
        </w:rPr>
        <w:t>全县水果总面积26.6563万亩，总产量 49.693万吨，总产值110964万元。与去年相比，水果总面积增加0.3135万亩，产量增加1.08万吨，产值增加10365万元。全县蔬菜总播面积预计完成11.4万亩，预计总产量29.2万吨，预计总产值6.3亿元。中药材总面积1.0789万亩，预计总产量0.565万吨，预计总产值10730万元。</w:t>
      </w:r>
    </w:p>
    <w:p>
      <w:pPr>
        <w:spacing w:line="560" w:lineRule="exact"/>
        <w:ind w:firstLine="643" w:firstLineChars="200"/>
        <w:rPr>
          <w:rFonts w:hint="eastAsia" w:ascii="仿宋" w:hAnsi="仿宋" w:eastAsia="仿宋" w:cs="仿宋_GB2312"/>
          <w:color w:val="000000" w:themeColor="text1"/>
          <w:sz w:val="32"/>
          <w:szCs w:val="32"/>
        </w:rPr>
      </w:pPr>
      <w:r>
        <w:rPr>
          <w:rFonts w:hint="eastAsia" w:ascii="楷体" w:hAnsi="楷体" w:eastAsia="楷体" w:cs="楷体_GB2312"/>
          <w:b/>
          <w:bCs/>
          <w:color w:val="000000"/>
          <w:sz w:val="32"/>
          <w:szCs w:val="32"/>
        </w:rPr>
        <w:t>（三）特色产业发展势头良好。</w:t>
      </w:r>
      <w:r>
        <w:rPr>
          <w:rFonts w:hint="eastAsia" w:ascii="仿宋" w:hAnsi="仿宋" w:eastAsia="仿宋" w:cs="仿宋_GB2312"/>
          <w:sz w:val="32"/>
          <w:szCs w:val="32"/>
        </w:rPr>
        <w:t>芷江冰糖橙9.062万亩，总产16.22万吨，产值35680万元。优质稻总播面积26.47万亩，高山刺葡萄2.3万亩，总产5.2万吨，产值9360万元。</w:t>
      </w:r>
    </w:p>
    <w:p>
      <w:pPr>
        <w:spacing w:line="560" w:lineRule="exact"/>
        <w:ind w:firstLine="643" w:firstLineChars="200"/>
        <w:rPr>
          <w:rFonts w:ascii="仿宋" w:hAnsi="仿宋" w:eastAsia="仿宋" w:cs="仿宋_GB2312"/>
          <w:sz w:val="32"/>
          <w:szCs w:val="32"/>
        </w:rPr>
      </w:pPr>
      <w:r>
        <w:rPr>
          <w:rFonts w:hint="eastAsia" w:ascii="楷体" w:hAnsi="楷体" w:eastAsia="楷体" w:cs="楷体_GB2312"/>
          <w:b/>
          <w:bCs/>
          <w:color w:val="000000"/>
          <w:sz w:val="32"/>
          <w:szCs w:val="32"/>
        </w:rPr>
        <w:t>（四）园区建设强势推进。</w:t>
      </w:r>
      <w:r>
        <w:rPr>
          <w:rFonts w:hint="eastAsia" w:ascii="仿宋" w:hAnsi="仿宋" w:eastAsia="仿宋" w:cs="仿宋_GB2312"/>
          <w:sz w:val="32"/>
          <w:szCs w:val="32"/>
        </w:rPr>
        <w:t>加快杨溪河现代农业科技示范园基础设施建设和产业升级改造力度，助力全县农业农村一二三产业融合发展。全年完成1500米主排水渠道、6000千米支水渠道、1200米园区干道、一座桥梁、3处节水灌溉设施建设，建成4个停车场、4栋公厕、一座加油站和一个安装专变葡萄设施建设。1200米干道连接线已完成工程量设计概算。全年投入万元对园区柑桔开展标准化生产，对园区蔬菜、葡萄设施大棚进行了换膜并对葡萄进行了品改，对基围虾养殖实施工厂化养殖技术和设备进行了升级改造、特色水果采摘园、羊肚菌贫困户易地搬迁创业安置养鸭园。启动了总投资2亿元芷江鸭综合产业园项目建设，完成第一期工程12个芷江鸭肉鸭养殖基地、2万㎡芷江鸭孵化育苗基地和</w:t>
      </w:r>
      <w:r>
        <w:rPr>
          <w:rFonts w:hint="eastAsia" w:ascii="仿宋" w:hAnsi="仿宋" w:eastAsia="仿宋" w:cs="仿宋_GB2312"/>
          <w:bCs/>
          <w:sz w:val="32"/>
          <w:szCs w:val="32"/>
        </w:rPr>
        <w:t>22.76亩芷江鸭加工厂区征地、拆迁及土地平整工作，</w:t>
      </w:r>
      <w:r>
        <w:rPr>
          <w:rFonts w:hint="eastAsia" w:ascii="仿宋" w:hAnsi="仿宋" w:eastAsia="仿宋" w:cs="仿宋_GB2312"/>
          <w:sz w:val="32"/>
          <w:szCs w:val="32"/>
        </w:rPr>
        <w:t>已完成3180万元。</w:t>
      </w:r>
    </w:p>
    <w:p>
      <w:pPr>
        <w:spacing w:line="560" w:lineRule="exact"/>
        <w:ind w:firstLine="643" w:firstLineChars="200"/>
        <w:rPr>
          <w:rFonts w:ascii="仿宋" w:hAnsi="仿宋" w:eastAsia="仿宋" w:cs="仿宋_GB2312"/>
          <w:sz w:val="32"/>
          <w:szCs w:val="32"/>
        </w:rPr>
      </w:pPr>
      <w:r>
        <w:rPr>
          <w:rFonts w:hint="eastAsia" w:ascii="楷体" w:hAnsi="楷体" w:eastAsia="楷体" w:cs="楷体_GB2312"/>
          <w:b/>
          <w:bCs/>
          <w:color w:val="000000"/>
          <w:sz w:val="32"/>
          <w:szCs w:val="32"/>
        </w:rPr>
        <w:t>（五）农业产业化较快推进。</w:t>
      </w:r>
      <w:r>
        <w:rPr>
          <w:rFonts w:hint="eastAsia" w:ascii="仿宋" w:hAnsi="仿宋" w:eastAsia="仿宋" w:cs="仿宋_GB2312"/>
          <w:sz w:val="32"/>
          <w:szCs w:val="32"/>
        </w:rPr>
        <w:t>我县龙头企业继续保持平稳较快的发展，规模农产品加工业带动能力进一步增强。目前，我县有各类农产品加工企业65家，其中2000万元规模以上工业企业26家。其中省级龙头企业4家，市级龙头企业12家。全县农业龙头企业资产总额45353万元。2018年，我县完成农产品加工产值23.5002亿元，同比增长17％，其中粮油规模以上有9家，产值9.06亿元，带动农户3216户，生猪家禽规模以上有8家，产值7.48亿元，带动农户4.84万多户，水果蔬菜规模以上有2家，产值9.71亿元，带动农户2134户。各类农产品加工企业按“企业+基地+农户”产业化经营模式带动农业产业化发展，以直接帮扶、委托帮扶、入股分红等多种形式连接基地17.8万亩，带动基地逐步向规模化、标准化、商品化、产业化发展，龙头企业基地在贫困村的覆盖率达51.2%。</w:t>
      </w:r>
    </w:p>
    <w:p>
      <w:pPr>
        <w:spacing w:line="560" w:lineRule="exact"/>
        <w:ind w:firstLine="643" w:firstLineChars="200"/>
        <w:rPr>
          <w:rFonts w:ascii="仿宋" w:hAnsi="仿宋" w:eastAsia="仿宋" w:cs="仿宋_GB2312"/>
          <w:b/>
          <w:sz w:val="32"/>
          <w:szCs w:val="32"/>
        </w:rPr>
      </w:pPr>
      <w:r>
        <w:rPr>
          <w:rFonts w:hint="eastAsia" w:ascii="楷体" w:hAnsi="楷体" w:eastAsia="楷体" w:cs="楷体_GB2312"/>
          <w:b/>
          <w:bCs/>
          <w:color w:val="000000"/>
          <w:sz w:val="32"/>
          <w:szCs w:val="32"/>
        </w:rPr>
        <w:t>（六）休闲农业稳步发展。</w:t>
      </w:r>
      <w:r>
        <w:rPr>
          <w:rFonts w:hint="eastAsia" w:ascii="仿宋" w:hAnsi="仿宋" w:eastAsia="仿宋" w:cs="仿宋_GB2312"/>
          <w:sz w:val="32"/>
          <w:szCs w:val="32"/>
        </w:rPr>
        <w:t>全县有休闲农业24家，从业人数496人，带动农户数587户，全年营业收入11322万元，其中农副产品销售收</w:t>
      </w:r>
      <w:r>
        <w:rPr>
          <w:rFonts w:hint="eastAsia" w:ascii="仿宋" w:hAnsi="仿宋" w:eastAsia="仿宋" w:cs="仿宋_GB2312"/>
          <w:color w:val="000000" w:themeColor="text1"/>
          <w:sz w:val="32"/>
          <w:szCs w:val="32"/>
        </w:rPr>
        <w:t>入6933</w:t>
      </w:r>
      <w:r>
        <w:rPr>
          <w:rFonts w:hint="eastAsia" w:ascii="仿宋" w:hAnsi="仿宋" w:eastAsia="仿宋" w:cs="仿宋_GB2312"/>
          <w:sz w:val="32"/>
          <w:szCs w:val="32"/>
        </w:rPr>
        <w:t>万元，利润1037万元，从业人员工资1081万元。</w:t>
      </w:r>
    </w:p>
    <w:p>
      <w:pPr>
        <w:spacing w:line="560" w:lineRule="exact"/>
        <w:ind w:firstLine="643" w:firstLineChars="200"/>
        <w:rPr>
          <w:rFonts w:ascii="仿宋" w:hAnsi="仿宋" w:eastAsia="仿宋" w:cs="仿宋_GB2312"/>
          <w:sz w:val="32"/>
          <w:szCs w:val="32"/>
        </w:rPr>
      </w:pPr>
      <w:r>
        <w:rPr>
          <w:rFonts w:hint="eastAsia" w:ascii="楷体" w:hAnsi="楷体" w:eastAsia="楷体" w:cs="楷体_GB2312"/>
          <w:b/>
          <w:bCs/>
          <w:color w:val="000000"/>
          <w:sz w:val="32"/>
          <w:szCs w:val="32"/>
        </w:rPr>
        <w:t>（七）农村体制改革持续深化。</w:t>
      </w:r>
      <w:r>
        <w:rPr>
          <w:rFonts w:hint="eastAsia" w:ascii="仿宋" w:hAnsi="仿宋" w:eastAsia="仿宋" w:cs="仿宋_GB2312"/>
          <w:bCs/>
          <w:sz w:val="32"/>
          <w:szCs w:val="32"/>
        </w:rPr>
        <w:t>一是推进农村土地制度改革。</w:t>
      </w:r>
      <w:r>
        <w:rPr>
          <w:rFonts w:hint="eastAsia" w:ascii="仿宋" w:hAnsi="仿宋" w:eastAsia="仿宋" w:cs="仿宋_GB2312"/>
          <w:sz w:val="32"/>
          <w:szCs w:val="32"/>
        </w:rPr>
        <w:t>通过两年的工作，全县农村土地承包经营权确权登记颁证工作已基本完成。共涉及18个乡镇202个村79674户，实测地块面积472834.63亩，调查实测地块数量841018块，其中确权家庭承包面积381632.85亩，完善土地承包合同、建立土地承包经营权登记簿、颁发土地承包经营权证书78579份（本），确权承包涉及家庭成员达277818人，确权确股涉及的行政村达35个。土地确权信息平台建设全面建成，软件数据导入运行正常，完成了档案电子数字化工作，顺利通过省市验收。二是全面启动了农村集体产权制度改革工作。出台了《芷江侗族自治县农村集体产权制度改革试点村工作实施方案》、《芷江侗族自治县农村集体产权制度改革工作方案》、《芷江侗族自治县农村集体资产清产核资工作实施方案》。全县18个乡镇及206个村都成立了相应的产改机构和清产核资工作小组。按程序全面完成了集体资产清查摸底，清产核资的结果公示，账务核销处理等工作，清产核资工作顺利通过省市验收。</w:t>
      </w:r>
    </w:p>
    <w:p>
      <w:pPr>
        <w:spacing w:line="560" w:lineRule="exact"/>
        <w:ind w:firstLine="643" w:firstLineChars="200"/>
        <w:rPr>
          <w:rFonts w:ascii="仿宋" w:hAnsi="仿宋" w:eastAsia="仿宋" w:cs="仿宋_GB2312"/>
          <w:bCs/>
          <w:sz w:val="32"/>
          <w:szCs w:val="32"/>
        </w:rPr>
      </w:pPr>
      <w:r>
        <w:rPr>
          <w:rFonts w:hint="eastAsia" w:ascii="楷体" w:hAnsi="楷体" w:eastAsia="楷体" w:cs="楷体_GB2312"/>
          <w:b/>
          <w:bCs/>
          <w:color w:val="000000"/>
          <w:sz w:val="32"/>
          <w:szCs w:val="32"/>
        </w:rPr>
        <w:t>（八）持续推进产业脱贫工作。</w:t>
      </w:r>
      <w:r>
        <w:rPr>
          <w:rFonts w:hint="eastAsia" w:ascii="仿宋" w:hAnsi="仿宋" w:eastAsia="仿宋" w:cs="仿宋_GB2312"/>
          <w:bCs/>
          <w:sz w:val="32"/>
          <w:szCs w:val="32"/>
        </w:rPr>
        <w:t>紧紧围绕中央按照“四跟四走”的产业扶贫模式，认真落实产业扶贫主体责任。一是认真开展产业奖补工作。全县建档立卡贫困户共15628户，51525人，申报自主发展产业奖补资金贫困户14131户 47976人，共发放产业奖补资金 6755.2906万元。二是加快省重点产业扶贫项目实施。通过认真筛选并确定芷江刺葡萄标准化种植与深加工、芷江鸭养殖与深加工、油茶林标准化基地建设、雷竹笋标准化基地建设4个省重点扶贫产业项目。由唯楚果汁酒业有限公司、芷民丰农牧实业科技有限公司、杨家将茶油股份有限公司、春知蓝笋业开发有限公司为扶贫产业项目实施主体。采取委托帮扶的方式，委托帮扶全县建档立卡贫困人口614户2040 人，保底分红年限5年，分红比例为12%，高出文件规定2个百分点，人均年受益240元，扶贫主体享受奖补20%，共投入资金510万元。已完成项目总体实施方案及4个项目实施子方案的编制，与实施主体签订了《2018年重点产业扶贫项目合作协议》，实施主体与贫困户签订了《帮扶协议书》。三是财政整合涉农资金重点支持产业扶贫项目实施。根据县里安排，投入整合财政涉农资金400万元支持唯楚果汁酒业有限公司发展芷江刺葡萄产业，按湘农联[2018]101号文件要求，编制了实施方案，明确了帮扶模式，共帮扶大树坳乡建档立卡贫困人口423户1500人，其他乡镇45户100人，保底分红年限5年，分红比例为12%，人均年受益240元，企业享受奖补资金80万元。四是强力推进“一村一品”产业发展。全县建档立卡贫困村申报产业扶贫项目共50个（其中：种植类项目36个，养殖类项目16个），总投资3000万元。经实地核实和资格审核，综合评估项目可行性及带动效益，筛选确定“一村一品”产业扶贫项目24个（其中：种植类项目18个，养殖类项目6个），总投资1440万元（其中：经营主体自筹720万元，申请财政帮扶资金720万元）；项目共计联结贫困人口4607户15521人。所有项目以委托帮扶为主，兼顾直接帮扶、劳务帮扶。目前24个项目中13个项目开工实施，其中完工10个。</w:t>
      </w:r>
    </w:p>
    <w:p>
      <w:pPr>
        <w:spacing w:line="560" w:lineRule="exact"/>
        <w:ind w:firstLine="803" w:firstLineChars="250"/>
        <w:rPr>
          <w:rFonts w:ascii="黑体" w:hAnsi="黑体" w:eastAsia="黑体" w:cs="黑体"/>
          <w:b/>
          <w:sz w:val="32"/>
          <w:szCs w:val="32"/>
        </w:rPr>
      </w:pPr>
      <w:r>
        <w:rPr>
          <w:rFonts w:hint="eastAsia" w:ascii="黑体" w:hAnsi="黑体" w:eastAsia="黑体" w:cs="黑体"/>
          <w:b/>
          <w:sz w:val="32"/>
          <w:szCs w:val="32"/>
        </w:rPr>
        <w:t>六、评价结论</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按照部门整体支出绩效评价指标表，认真对照评价标准，我局2018年度部门整体支出自评如下：1、财务管理规范，管理制度健全，财务监控有效，资金使用合规。2、贯彻落实厉行节约，严控单位“三公”经费、降低一般运行经费。3、组织管理到位，成立了项目领导小组，配备了专业管理人员，建立并落实各项制度。4、项目申报规范，实行专账管理，按时、按质、按量完成，产生了良好的经济效益和社会效益，受到群众好评；6、因国库专项资金和追加的项目资金在年初预算时存在不确定性，所以不在单位年初预算范围之内，预算控制率受影响。综上所述，自评综合得分90.5分。</w:t>
      </w:r>
    </w:p>
    <w:p>
      <w:pPr>
        <w:spacing w:line="560" w:lineRule="exact"/>
        <w:ind w:firstLine="803" w:firstLineChars="250"/>
        <w:rPr>
          <w:rFonts w:ascii="黑体" w:hAnsi="黑体" w:eastAsia="黑体" w:cs="黑体"/>
          <w:b/>
          <w:sz w:val="32"/>
          <w:szCs w:val="32"/>
        </w:rPr>
      </w:pPr>
      <w:r>
        <w:rPr>
          <w:rFonts w:hint="eastAsia" w:ascii="黑体" w:hAnsi="黑体" w:eastAsia="黑体" w:cs="黑体"/>
          <w:b/>
          <w:sz w:val="32"/>
          <w:szCs w:val="32"/>
        </w:rPr>
        <w:t>七、存在问题与建议</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问题：</w:t>
      </w:r>
    </w:p>
    <w:p>
      <w:pPr>
        <w:spacing w:line="560" w:lineRule="exact"/>
        <w:ind w:left="420" w:firstLine="420"/>
        <w:rPr>
          <w:rFonts w:ascii="楷体" w:hAnsi="楷体" w:eastAsia="楷体" w:cs="楷体_GB2312"/>
          <w:b/>
          <w:bCs/>
          <w:sz w:val="32"/>
          <w:szCs w:val="32"/>
        </w:rPr>
      </w:pPr>
      <w:r>
        <w:rPr>
          <w:rFonts w:hint="eastAsia" w:ascii="楷体" w:hAnsi="楷体" w:eastAsia="楷体" w:cs="楷体_GB2312"/>
          <w:b/>
          <w:bCs/>
          <w:sz w:val="32"/>
          <w:szCs w:val="32"/>
        </w:rPr>
        <w:t>（一）基本支出经费保障水平偏低。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综合近几年我局批复预算看，预算执行基本围绕保人员经费、保正常运转进行。从决算情况看，基本支出比重比较大，特别是人头公用经费每年预算普遍偏低，基本保障面临巨大的压力。现有在岗职工106人，退休人员196人，县财政在岗职工经费预算运转困难建议财政适当增加基本支出经费预算，保证单位更好的开展农业基础工作，更好的为农服务。</w:t>
      </w:r>
    </w:p>
    <w:p>
      <w:pPr>
        <w:spacing w:line="560" w:lineRule="exact"/>
        <w:ind w:left="420" w:firstLine="420"/>
        <w:rPr>
          <w:rFonts w:ascii="楷体" w:hAnsi="楷体" w:eastAsia="楷体" w:cs="楷体_GB2312"/>
          <w:b/>
          <w:bCs/>
          <w:sz w:val="32"/>
          <w:szCs w:val="32"/>
        </w:rPr>
      </w:pPr>
      <w:r>
        <w:rPr>
          <w:rFonts w:hint="eastAsia" w:ascii="楷体" w:hAnsi="楷体" w:eastAsia="楷体" w:cs="楷体_GB2312"/>
          <w:b/>
          <w:bCs/>
          <w:sz w:val="32"/>
          <w:szCs w:val="32"/>
        </w:rPr>
        <w:t>（二）预算资金拨付滞后，部分预算资金拨付不及时。</w:t>
      </w:r>
    </w:p>
    <w:p>
      <w:pPr>
        <w:spacing w:line="560" w:lineRule="exact"/>
        <w:ind w:left="420" w:firstLine="420"/>
        <w:rPr>
          <w:rFonts w:ascii="楷体" w:hAnsi="楷体" w:eastAsia="楷体" w:cs="楷体_GB2312"/>
          <w:b/>
          <w:bCs/>
          <w:sz w:val="32"/>
          <w:szCs w:val="32"/>
        </w:rPr>
      </w:pPr>
      <w:r>
        <w:rPr>
          <w:rFonts w:hint="eastAsia" w:ascii="楷体" w:hAnsi="楷体" w:eastAsia="楷体" w:cs="楷体_GB2312"/>
          <w:b/>
          <w:bCs/>
          <w:sz w:val="32"/>
          <w:szCs w:val="32"/>
        </w:rPr>
        <w:t>（三）资产管理有待加强。</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未严格按照会计制度的规定核算和管理固定资产，实行定期盘点，及时按程序报废处理资产。严格按照《固定资产管理办法》的规定加强固定资产管理，及时登记、更新台账，加强资产卡片管理，年终前对各类实物资产进行全面盘点并及时按程序报批，确保账账、账实相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建议：</w:t>
      </w:r>
    </w:p>
    <w:p>
      <w:pPr>
        <w:spacing w:line="560" w:lineRule="exact"/>
        <w:ind w:firstLine="803" w:firstLineChars="250"/>
        <w:rPr>
          <w:rFonts w:ascii="楷体" w:hAnsi="楷体" w:eastAsia="楷体" w:cs="楷体_GB2312"/>
          <w:b/>
          <w:bCs/>
          <w:sz w:val="32"/>
          <w:szCs w:val="32"/>
        </w:rPr>
      </w:pPr>
      <w:r>
        <w:rPr>
          <w:rFonts w:hint="eastAsia" w:ascii="楷体" w:hAnsi="楷体" w:eastAsia="楷体" w:cs="楷体_GB2312"/>
          <w:b/>
          <w:bCs/>
          <w:sz w:val="32"/>
          <w:szCs w:val="32"/>
        </w:rPr>
        <w:t>（一）完善管理制度，继续抓好内部控制，加强固定资产管理。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进一步贯彻落实中央“八项规定”、省委“九条规定”、市委、县委各项规定，建立本部门“三公经费”等公务支出管理制度及厉行节约制度，加强经费审批和控制，规范支出标准与范围，并严格执行。严格按照《固定资产管理办法》的规定加强固定资产管理，确保固定资产能保值增值，加强资产卡片管理，及时登记、更新台账，定时对各类实物资产进行全面盘点，确保账账、账实相符。</w:t>
      </w:r>
    </w:p>
    <w:p>
      <w:pPr>
        <w:spacing w:line="560" w:lineRule="exact"/>
        <w:ind w:firstLine="803" w:firstLineChars="250"/>
        <w:rPr>
          <w:rFonts w:ascii="楷体" w:hAnsi="楷体" w:eastAsia="楷体" w:cs="楷体_GB2312"/>
          <w:b/>
          <w:bCs/>
          <w:sz w:val="32"/>
          <w:szCs w:val="32"/>
        </w:rPr>
      </w:pPr>
      <w:r>
        <w:rPr>
          <w:rFonts w:hint="eastAsia" w:ascii="楷体" w:hAnsi="楷体" w:eastAsia="楷体" w:cs="楷体_GB2312"/>
          <w:b/>
          <w:bCs/>
          <w:sz w:val="32"/>
          <w:szCs w:val="32"/>
        </w:rPr>
        <w:t>（二）科学合理编制预算，严格执行预算。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加强预算编制的前瞻性，按照新《预算法》及其实施条例的相关规定，按政策规定及本部门的发展规划，结合上一年度预算执行情况和本年度预算收支变化因素，科学、合理地编制本年预算草案，规范部门预算收支核算，制定和完善基本支出、项目支出等各项支出标准，严格按项目和进度执行预算。对预算执行差异，合理调整、纠正预算执行偏差，执行中确需调剂预算的，按规定程序报经批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预算编制有待优化，在预算执行过程中，预算编制与实际支出有的存在一定偏差。科学合理编制预算，提高预算编制的科学性、精准度。根据项目建设的轻重缓急，合理配财政资金，加强与部门的沟通，按照财力情况认真核定部门预算。依据预算定额标准，建立收支分类体系，约束财政资金的分配行为，不断提高资金使用效益。</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芷江侗族自治县农业农村局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2019年3月27</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tbl>
      <w:tblPr>
        <w:tblStyle w:val="5"/>
        <w:tblW w:w="8340" w:type="dxa"/>
        <w:tblInd w:w="0" w:type="dxa"/>
        <w:tblLayout w:type="fixed"/>
        <w:tblCellMar>
          <w:top w:w="0" w:type="dxa"/>
          <w:left w:w="0" w:type="dxa"/>
          <w:bottom w:w="0" w:type="dxa"/>
          <w:right w:w="0" w:type="dxa"/>
        </w:tblCellMar>
      </w:tblPr>
      <w:tblGrid>
        <w:gridCol w:w="476"/>
        <w:gridCol w:w="378"/>
        <w:gridCol w:w="427"/>
        <w:gridCol w:w="403"/>
        <w:gridCol w:w="879"/>
        <w:gridCol w:w="186"/>
        <w:gridCol w:w="205"/>
        <w:gridCol w:w="738"/>
        <w:gridCol w:w="1001"/>
        <w:gridCol w:w="397"/>
        <w:gridCol w:w="553"/>
        <w:gridCol w:w="812"/>
        <w:gridCol w:w="942"/>
        <w:gridCol w:w="281"/>
        <w:gridCol w:w="662"/>
      </w:tblGrid>
      <w:tr>
        <w:tblPrEx>
          <w:tblLayout w:type="fixed"/>
          <w:tblCellMar>
            <w:top w:w="0" w:type="dxa"/>
            <w:left w:w="0" w:type="dxa"/>
            <w:bottom w:w="0" w:type="dxa"/>
            <w:right w:w="0" w:type="dxa"/>
          </w:tblCellMar>
        </w:tblPrEx>
        <w:trPr>
          <w:trHeight w:val="1200" w:hRule="atLeast"/>
        </w:trPr>
        <w:tc>
          <w:tcPr>
            <w:tcW w:w="8340" w:type="dxa"/>
            <w:gridSpan w:val="15"/>
            <w:tcBorders>
              <w:top w:val="nil"/>
              <w:left w:val="nil"/>
              <w:bottom w:val="single" w:color="000000" w:sz="4" w:space="0"/>
              <w:right w:val="nil"/>
            </w:tcBorders>
            <w:shd w:val="clear" w:color="auto" w:fill="auto"/>
            <w:noWrap/>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cs="方正小标宋_GBK" w:asciiTheme="majorEastAsia" w:hAnsiTheme="majorEastAsia" w:eastAsiaTheme="majorEastAsia"/>
                <w:b/>
                <w:color w:val="000000"/>
                <w:kern w:val="0"/>
                <w:sz w:val="36"/>
                <w:szCs w:val="36"/>
              </w:rPr>
            </w:pPr>
            <w:r>
              <w:rPr>
                <w:rFonts w:hint="eastAsia" w:cs="方正小标宋_GBK" w:asciiTheme="majorEastAsia" w:hAnsiTheme="majorEastAsia" w:eastAsiaTheme="majorEastAsia"/>
                <w:b/>
                <w:color w:val="000000"/>
                <w:kern w:val="0"/>
                <w:sz w:val="36"/>
                <w:szCs w:val="36"/>
              </w:rPr>
              <w:t>2018年农业农村局</w:t>
            </w:r>
            <w:r>
              <w:rPr>
                <w:rFonts w:cs="方正小标宋_GBK" w:asciiTheme="majorEastAsia" w:hAnsiTheme="majorEastAsia" w:eastAsiaTheme="majorEastAsia"/>
                <w:b/>
                <w:color w:val="000000"/>
                <w:kern w:val="0"/>
                <w:sz w:val="36"/>
                <w:szCs w:val="36"/>
              </w:rPr>
              <w:t>部门整体支出绩效评价指标表</w:t>
            </w:r>
          </w:p>
          <w:p>
            <w:pPr>
              <w:keepNext w:val="0"/>
              <w:keepLines w:val="0"/>
              <w:pageBreakBefore w:val="0"/>
              <w:widowControl/>
              <w:kinsoku/>
              <w:wordWrap/>
              <w:overflowPunct/>
              <w:topLinePunct w:val="0"/>
              <w:autoSpaceDE/>
              <w:autoSpaceDN/>
              <w:bidi w:val="0"/>
              <w:adjustRightInd/>
              <w:snapToGrid/>
              <w:spacing w:line="560" w:lineRule="exact"/>
              <w:jc w:val="left"/>
              <w:textAlignment w:val="bottom"/>
              <w:rPr>
                <w:rFonts w:hint="eastAsia" w:cs="方正小标宋_GBK" w:asciiTheme="majorEastAsia" w:hAnsiTheme="majorEastAsia" w:eastAsiaTheme="majorEastAsia"/>
                <w:b/>
                <w:color w:val="000000"/>
                <w:kern w:val="0"/>
                <w:sz w:val="36"/>
                <w:szCs w:val="36"/>
                <w:lang w:eastAsia="zh-CN"/>
              </w:rPr>
            </w:pPr>
            <w:r>
              <w:rPr>
                <w:rFonts w:hint="eastAsia" w:ascii="仿宋" w:hAnsi="仿宋" w:eastAsia="仿宋" w:cs="仿宋"/>
                <w:color w:val="000000"/>
                <w:kern w:val="0"/>
                <w:sz w:val="24"/>
                <w:lang w:eastAsia="zh-CN"/>
              </w:rPr>
              <w:t>填报单位：芷江侗族自治县农业局</w:t>
            </w:r>
          </w:p>
        </w:tc>
      </w:tr>
      <w:tr>
        <w:tblPrEx>
          <w:tblLayout w:type="fixed"/>
          <w:tblCellMar>
            <w:top w:w="0" w:type="dxa"/>
            <w:left w:w="0" w:type="dxa"/>
            <w:bottom w:w="0" w:type="dxa"/>
            <w:right w:w="0" w:type="dxa"/>
          </w:tblCellMar>
        </w:tblPrEx>
        <w:trPr>
          <w:trHeight w:val="285"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一级指标</w:t>
            </w:r>
          </w:p>
        </w:tc>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分值</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二级指标</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分值</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三级</w:t>
            </w:r>
          </w:p>
        </w:tc>
        <w:tc>
          <w:tcPr>
            <w:tcW w:w="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分值</w:t>
            </w:r>
          </w:p>
        </w:tc>
        <w:tc>
          <w:tcPr>
            <w:tcW w:w="21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评价标准</w:t>
            </w:r>
          </w:p>
        </w:tc>
        <w:tc>
          <w:tcPr>
            <w:tcW w:w="258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指标说明</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得分</w:t>
            </w:r>
          </w:p>
        </w:tc>
      </w:tr>
      <w:tr>
        <w:tblPrEx>
          <w:tblLayout w:type="fixed"/>
          <w:tblCellMar>
            <w:top w:w="0" w:type="dxa"/>
            <w:left w:w="0" w:type="dxa"/>
            <w:bottom w:w="0" w:type="dxa"/>
            <w:right w:w="0" w:type="dxa"/>
          </w:tblCellMar>
        </w:tblPrEx>
        <w:trPr>
          <w:trHeight w:val="63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指标</w:t>
            </w:r>
          </w:p>
        </w:tc>
        <w:tc>
          <w:tcPr>
            <w:tcW w:w="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58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r>
      <w:tr>
        <w:tblPrEx>
          <w:tblLayout w:type="fixed"/>
          <w:tblCellMar>
            <w:top w:w="0" w:type="dxa"/>
            <w:left w:w="0" w:type="dxa"/>
            <w:bottom w:w="0" w:type="dxa"/>
            <w:right w:w="0" w:type="dxa"/>
          </w:tblCellMar>
        </w:tblPrEx>
        <w:trPr>
          <w:trHeight w:val="126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投入</w:t>
            </w:r>
          </w:p>
        </w:tc>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13</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预算配置</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13</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在职人员控制率</w:t>
            </w:r>
          </w:p>
        </w:tc>
        <w:tc>
          <w:tcPr>
            <w:tcW w:w="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5</w:t>
            </w:r>
          </w:p>
        </w:tc>
        <w:tc>
          <w:tcPr>
            <w:tcW w:w="2136"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以100%为标准。在职人员控制率</w:t>
            </w:r>
            <w:r>
              <w:rPr>
                <w:rStyle w:val="8"/>
                <w:rFonts w:hint="default"/>
              </w:rPr>
              <w:t>≦</w:t>
            </w:r>
            <w:r>
              <w:rPr>
                <w:rStyle w:val="9"/>
                <w:rFonts w:hint="default" w:hAnsi="宋体"/>
              </w:rPr>
              <w:t>100%，计5分；每超过一个百分点扣0.5分，扣完为止。</w:t>
            </w:r>
          </w:p>
        </w:tc>
        <w:tc>
          <w:tcPr>
            <w:tcW w:w="2588"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在职人员控制率=（在职人员数/编制数）×100%，在职人员数：部门（单位）实际在职人数，以财政确定的部门决算编制口径为准。</w:t>
            </w:r>
          </w:p>
        </w:tc>
        <w:tc>
          <w:tcPr>
            <w:tcW w:w="66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4.5</w:t>
            </w:r>
          </w:p>
        </w:tc>
      </w:tr>
      <w:tr>
        <w:tblPrEx>
          <w:tblLayout w:type="fixed"/>
          <w:tblCellMar>
            <w:top w:w="0" w:type="dxa"/>
            <w:left w:w="0" w:type="dxa"/>
            <w:bottom w:w="0" w:type="dxa"/>
            <w:right w:w="0" w:type="dxa"/>
          </w:tblCellMar>
        </w:tblPrEx>
        <w:trPr>
          <w:trHeight w:val="70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258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编制数：机构编制部门核定批复的部门（单位）的人员编制数。</w:t>
            </w:r>
          </w:p>
        </w:tc>
        <w:tc>
          <w:tcPr>
            <w:tcW w:w="6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111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“三公经费”变动率</w:t>
            </w:r>
          </w:p>
        </w:tc>
        <w:tc>
          <w:tcPr>
            <w:tcW w:w="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8</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“三公经费”变动率</w:t>
            </w:r>
            <w:r>
              <w:rPr>
                <w:rStyle w:val="8"/>
                <w:rFonts w:hint="default"/>
              </w:rPr>
              <w:t>≦</w:t>
            </w:r>
            <w:r>
              <w:rPr>
                <w:rStyle w:val="9"/>
                <w:rFonts w:hint="default" w:hAnsi="宋体"/>
              </w:rPr>
              <w:t>0,计8分；“三公经费”＞0，每超过一个百分点扣0.8分，扣完为止。</w:t>
            </w:r>
          </w:p>
        </w:tc>
        <w:tc>
          <w:tcPr>
            <w:tcW w:w="258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“三公经费”变动率=[（本年度“三公经费”预算数-上年度“三公经费”预算数）/上年度“三公经费”预算数]×100%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8</w:t>
            </w:r>
          </w:p>
        </w:tc>
      </w:tr>
      <w:tr>
        <w:tblPrEx>
          <w:tblLayout w:type="fixed"/>
          <w:tblCellMar>
            <w:top w:w="0" w:type="dxa"/>
            <w:left w:w="0" w:type="dxa"/>
            <w:bottom w:w="0" w:type="dxa"/>
            <w:right w:w="0" w:type="dxa"/>
          </w:tblCellMar>
        </w:tblPrEx>
        <w:trPr>
          <w:trHeight w:val="1005"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过                                                                                                                                       程</w:t>
            </w:r>
          </w:p>
        </w:tc>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61</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预算执行</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20</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预算完成率</w:t>
            </w:r>
          </w:p>
        </w:tc>
        <w:tc>
          <w:tcPr>
            <w:tcW w:w="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5</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100%计满分，每低于5%扣2分，扣完为止。</w:t>
            </w: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预算完成率=（上年结转+年初预算+本年追加预算-年末结余）/（上年结转+年初预算+本年追加预算）×100%。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3</w:t>
            </w:r>
          </w:p>
        </w:tc>
      </w:tr>
      <w:tr>
        <w:tblPrEx>
          <w:tblLayout w:type="fixed"/>
          <w:tblCellMar>
            <w:top w:w="0" w:type="dxa"/>
            <w:left w:w="0" w:type="dxa"/>
            <w:bottom w:w="0" w:type="dxa"/>
            <w:right w:w="0" w:type="dxa"/>
          </w:tblCellMar>
        </w:tblPrEx>
        <w:trPr>
          <w:trHeight w:val="135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预算控制率</w:t>
            </w:r>
          </w:p>
        </w:tc>
        <w:tc>
          <w:tcPr>
            <w:tcW w:w="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5</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预算控制率=0，计5分；0-10%（含），计4分；10-20%（含），计3分；20-30%（含），计2分；大于30%不得分。</w:t>
            </w: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预算控制率=（本年追加预算/年初预算）×100%。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0</w:t>
            </w:r>
          </w:p>
        </w:tc>
      </w:tr>
      <w:tr>
        <w:tblPrEx>
          <w:tblLayout w:type="fixed"/>
          <w:tblCellMar>
            <w:top w:w="0" w:type="dxa"/>
            <w:left w:w="0" w:type="dxa"/>
            <w:bottom w:w="0" w:type="dxa"/>
            <w:right w:w="0" w:type="dxa"/>
          </w:tblCellMar>
        </w:tblPrEx>
        <w:trPr>
          <w:trHeight w:val="64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新建楼堂馆所面积控制率</w:t>
            </w:r>
          </w:p>
        </w:tc>
        <w:tc>
          <w:tcPr>
            <w:tcW w:w="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5</w:t>
            </w:r>
          </w:p>
        </w:tc>
        <w:tc>
          <w:tcPr>
            <w:tcW w:w="21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100%以下（含）计满分，每超出5%扣2分，扣完为止。没有楼堂馆所项目的部门按满分计算。</w:t>
            </w: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楼堂馆所面积控制率=实际建设面积/批准建设面积×100% 。</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5</w:t>
            </w:r>
          </w:p>
        </w:tc>
      </w:tr>
      <w:tr>
        <w:tblPrEx>
          <w:tblLayout w:type="fixed"/>
          <w:tblCellMar>
            <w:top w:w="0" w:type="dxa"/>
            <w:left w:w="0" w:type="dxa"/>
            <w:bottom w:w="0" w:type="dxa"/>
            <w:right w:w="0" w:type="dxa"/>
          </w:tblCellMar>
        </w:tblPrEx>
        <w:trPr>
          <w:trHeight w:val="49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2588"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该指标以2018年完工的新建楼堂馆所为评价内容。</w:t>
            </w: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61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新建楼堂馆所投资概算控制率</w:t>
            </w:r>
          </w:p>
        </w:tc>
        <w:tc>
          <w:tcPr>
            <w:tcW w:w="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5</w:t>
            </w:r>
          </w:p>
        </w:tc>
        <w:tc>
          <w:tcPr>
            <w:tcW w:w="2136"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100%以下（含）计满分，每超出5%扣2分，扣完为止。</w:t>
            </w:r>
          </w:p>
        </w:tc>
        <w:tc>
          <w:tcPr>
            <w:tcW w:w="2588" w:type="dxa"/>
            <w:gridSpan w:val="4"/>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楼堂馆所投资预算控制率=实际投资金额/批准投资金额×100% 。</w:t>
            </w:r>
          </w:p>
        </w:tc>
        <w:tc>
          <w:tcPr>
            <w:tcW w:w="66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5</w:t>
            </w:r>
          </w:p>
        </w:tc>
      </w:tr>
      <w:tr>
        <w:tblPrEx>
          <w:tblLayout w:type="fixed"/>
          <w:tblCellMar>
            <w:top w:w="0" w:type="dxa"/>
            <w:left w:w="0" w:type="dxa"/>
            <w:bottom w:w="0" w:type="dxa"/>
            <w:right w:w="0" w:type="dxa"/>
          </w:tblCellMar>
        </w:tblPrEx>
        <w:trPr>
          <w:trHeight w:val="55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258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该指标以2018年完工的新建楼堂馆所为评价内容。</w:t>
            </w:r>
          </w:p>
        </w:tc>
        <w:tc>
          <w:tcPr>
            <w:tcW w:w="66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72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预算管理</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41</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公用经费控制率</w:t>
            </w:r>
          </w:p>
        </w:tc>
        <w:tc>
          <w:tcPr>
            <w:tcW w:w="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8</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100%以下（含）计满分，每超出1%扣1分，扣完为止。</w:t>
            </w:r>
          </w:p>
        </w:tc>
        <w:tc>
          <w:tcPr>
            <w:tcW w:w="258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公用经费控制率=（实际支出公用经费总额/预算安排公用经费总额）×100%。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8</w:t>
            </w:r>
          </w:p>
        </w:tc>
      </w:tr>
      <w:tr>
        <w:tblPrEx>
          <w:tblLayout w:type="fixed"/>
          <w:tblCellMar>
            <w:top w:w="0" w:type="dxa"/>
            <w:left w:w="0" w:type="dxa"/>
            <w:bottom w:w="0" w:type="dxa"/>
            <w:right w:w="0" w:type="dxa"/>
          </w:tblCellMar>
        </w:tblPrEx>
        <w:trPr>
          <w:trHeight w:val="72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“三公经费”控制率</w:t>
            </w:r>
          </w:p>
        </w:tc>
        <w:tc>
          <w:tcPr>
            <w:tcW w:w="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8</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100%以下（含）计满分，每超出1%扣1分，扣完为止。</w:t>
            </w: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“三公经费”控制率-（“三公经费”实际支出数/“三公经费”预算安排数）×100%。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8</w:t>
            </w:r>
          </w:p>
        </w:tc>
      </w:tr>
      <w:tr>
        <w:tblPrEx>
          <w:tblLayout w:type="fixed"/>
          <w:tblCellMar>
            <w:top w:w="0" w:type="dxa"/>
            <w:left w:w="0" w:type="dxa"/>
            <w:bottom w:w="0" w:type="dxa"/>
            <w:right w:w="0" w:type="dxa"/>
          </w:tblCellMar>
        </w:tblPrEx>
        <w:trPr>
          <w:trHeight w:val="57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政府采购执行率</w:t>
            </w:r>
          </w:p>
        </w:tc>
        <w:tc>
          <w:tcPr>
            <w:tcW w:w="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6</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100%计满分，每超过（降低）5%扣2分。扣完为止。</w:t>
            </w: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政府采购执行率=（实际政府采购金额/政府采购预算数）×100%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6</w:t>
            </w:r>
          </w:p>
        </w:tc>
      </w:tr>
      <w:tr>
        <w:tblPrEx>
          <w:tblLayout w:type="fixed"/>
          <w:tblCellMar>
            <w:top w:w="0" w:type="dxa"/>
            <w:left w:w="0" w:type="dxa"/>
            <w:bottom w:w="0" w:type="dxa"/>
            <w:right w:w="0" w:type="dxa"/>
          </w:tblCellMar>
        </w:tblPrEx>
        <w:trPr>
          <w:trHeight w:val="78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过                                                                                                                                       程</w:t>
            </w:r>
          </w:p>
        </w:tc>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61</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预算管理</w:t>
            </w: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管理制度健全性</w:t>
            </w:r>
          </w:p>
        </w:tc>
        <w:tc>
          <w:tcPr>
            <w:tcW w:w="391"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8</w:t>
            </w:r>
          </w:p>
        </w:tc>
        <w:tc>
          <w:tcPr>
            <w:tcW w:w="2136"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①有内部财务管理制度、会计核算制度等管理制度，2分；</w:t>
            </w:r>
          </w:p>
        </w:tc>
        <w:tc>
          <w:tcPr>
            <w:tcW w:w="2588" w:type="dxa"/>
            <w:gridSpan w:val="4"/>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8</w:t>
            </w:r>
          </w:p>
        </w:tc>
      </w:tr>
      <w:tr>
        <w:tblPrEx>
          <w:tblLayout w:type="fixed"/>
          <w:tblCellMar>
            <w:top w:w="0" w:type="dxa"/>
            <w:left w:w="0" w:type="dxa"/>
            <w:bottom w:w="0" w:type="dxa"/>
            <w:right w:w="0" w:type="dxa"/>
          </w:tblCellMar>
        </w:tblPrEx>
        <w:trPr>
          <w:trHeight w:val="58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9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②有本部门厉行节约制度,2分；</w:t>
            </w:r>
          </w:p>
        </w:tc>
        <w:tc>
          <w:tcPr>
            <w:tcW w:w="2588" w:type="dxa"/>
            <w:gridSpan w:val="4"/>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100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9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③相关管理制度合法、合规、完整，2分；④相关管理制度得到有效执行，2分。</w:t>
            </w:r>
          </w:p>
        </w:tc>
        <w:tc>
          <w:tcPr>
            <w:tcW w:w="2588" w:type="dxa"/>
            <w:gridSpan w:val="4"/>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50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资金使用合规性</w:t>
            </w:r>
          </w:p>
        </w:tc>
        <w:tc>
          <w:tcPr>
            <w:tcW w:w="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6</w:t>
            </w:r>
          </w:p>
        </w:tc>
        <w:tc>
          <w:tcPr>
            <w:tcW w:w="2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258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6</w:t>
            </w:r>
          </w:p>
        </w:tc>
      </w:tr>
      <w:tr>
        <w:tblPrEx>
          <w:tblLayout w:type="fixed"/>
          <w:tblCellMar>
            <w:top w:w="0" w:type="dxa"/>
            <w:left w:w="0" w:type="dxa"/>
            <w:bottom w:w="0" w:type="dxa"/>
            <w:right w:w="0" w:type="dxa"/>
          </w:tblCellMar>
        </w:tblPrEx>
        <w:trPr>
          <w:trHeight w:val="81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以上情况每出现一例不符合要求的扣1分，扣完为止。</w:t>
            </w:r>
          </w:p>
        </w:tc>
        <w:tc>
          <w:tcPr>
            <w:tcW w:w="258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20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预决算信息公开性</w:t>
            </w:r>
          </w:p>
        </w:tc>
        <w:tc>
          <w:tcPr>
            <w:tcW w:w="3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5</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预决算信息是指与部门预算、执行、决算、监督、绩效等管理相关的信息。</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5</w:t>
            </w:r>
          </w:p>
        </w:tc>
      </w:tr>
      <w:tr>
        <w:tblPrEx>
          <w:tblLayout w:type="fixed"/>
          <w:tblCellMar>
            <w:top w:w="0" w:type="dxa"/>
            <w:left w:w="0" w:type="dxa"/>
            <w:bottom w:w="0" w:type="dxa"/>
            <w:right w:w="0" w:type="dxa"/>
          </w:tblCellMar>
        </w:tblPrEx>
        <w:trPr>
          <w:trHeight w:val="117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产出及效率</w:t>
            </w:r>
          </w:p>
        </w:tc>
        <w:tc>
          <w:tcPr>
            <w:tcW w:w="3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职责履行</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8</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重点工作实际完成率</w:t>
            </w:r>
          </w:p>
        </w:tc>
        <w:tc>
          <w:tcPr>
            <w:tcW w:w="39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8</w:t>
            </w:r>
          </w:p>
        </w:tc>
        <w:tc>
          <w:tcPr>
            <w:tcW w:w="21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根据绩效办2018年对各部门重点民生实事和部门重点工程与重点工作考核分数折算。</w:t>
            </w: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8</w:t>
            </w:r>
          </w:p>
        </w:tc>
      </w:tr>
      <w:tr>
        <w:tblPrEx>
          <w:tblLayout w:type="fixed"/>
          <w:tblCellMar>
            <w:top w:w="0" w:type="dxa"/>
            <w:left w:w="0" w:type="dxa"/>
            <w:bottom w:w="0" w:type="dxa"/>
            <w:right w:w="0" w:type="dxa"/>
          </w:tblCellMar>
        </w:tblPrEx>
        <w:trPr>
          <w:trHeight w:val="75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履职 效益</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6</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经济效益</w:t>
            </w:r>
          </w:p>
        </w:tc>
        <w:tc>
          <w:tcPr>
            <w:tcW w:w="3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6</w:t>
            </w:r>
          </w:p>
        </w:tc>
        <w:tc>
          <w:tcPr>
            <w:tcW w:w="21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此两项指标为设置部门整体支出绩效评价指标时必须考虑的共性要素，可根据部门实际情况有选择的进行设置，并将其细化为相应的个性化指标。</w:t>
            </w:r>
          </w:p>
        </w:tc>
        <w:tc>
          <w:tcPr>
            <w:tcW w:w="258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rPr>
                <w:rFonts w:ascii="仿宋_GB2312" w:hAnsi="宋体" w:eastAsia="仿宋_GB2312" w:cs="仿宋_GB2312"/>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3</w:t>
            </w:r>
          </w:p>
        </w:tc>
      </w:tr>
      <w:tr>
        <w:tblPrEx>
          <w:tblLayout w:type="fixed"/>
          <w:tblCellMar>
            <w:top w:w="0" w:type="dxa"/>
            <w:left w:w="0" w:type="dxa"/>
            <w:bottom w:w="0" w:type="dxa"/>
            <w:right w:w="0" w:type="dxa"/>
          </w:tblCellMar>
        </w:tblPrEx>
        <w:trPr>
          <w:trHeight w:val="79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社会效益</w:t>
            </w:r>
          </w:p>
        </w:tc>
        <w:tc>
          <w:tcPr>
            <w:tcW w:w="3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25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rPr>
                <w:rFonts w:ascii="仿宋_GB2312" w:hAnsi="宋体" w:eastAsia="仿宋_GB2312" w:cs="仿宋_GB2312"/>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3</w:t>
            </w:r>
          </w:p>
        </w:tc>
      </w:tr>
      <w:tr>
        <w:tblPrEx>
          <w:tblLayout w:type="fixed"/>
          <w:tblCellMar>
            <w:top w:w="0" w:type="dxa"/>
            <w:left w:w="0" w:type="dxa"/>
            <w:bottom w:w="0" w:type="dxa"/>
            <w:right w:w="0" w:type="dxa"/>
          </w:tblCellMar>
        </w:tblPrEx>
        <w:trPr>
          <w:trHeight w:val="156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12</w:t>
            </w:r>
          </w:p>
        </w:tc>
        <w:tc>
          <w:tcPr>
            <w:tcW w:w="8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行政效能</w:t>
            </w:r>
          </w:p>
        </w:tc>
        <w:tc>
          <w:tcPr>
            <w:tcW w:w="391"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6</w:t>
            </w:r>
          </w:p>
        </w:tc>
        <w:tc>
          <w:tcPr>
            <w:tcW w:w="2136"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促进部门改进文风会风，加强经费及资产管理，推动网上办事，提高行政效率，降低行政成本效果较好的计6分；一般3分；无效果或者效果不明显0分。</w:t>
            </w:r>
          </w:p>
        </w:tc>
        <w:tc>
          <w:tcPr>
            <w:tcW w:w="2588"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根据部门自评材料评定。</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6</w:t>
            </w:r>
          </w:p>
        </w:tc>
      </w:tr>
      <w:tr>
        <w:tblPrEx>
          <w:tblLayout w:type="fixed"/>
          <w:tblCellMar>
            <w:top w:w="0" w:type="dxa"/>
            <w:left w:w="0" w:type="dxa"/>
            <w:bottom w:w="0" w:type="dxa"/>
            <w:right w:w="0" w:type="dxa"/>
          </w:tblCellMar>
        </w:tblPrEx>
        <w:trPr>
          <w:trHeight w:val="49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社会公众或服务对象满意度</w:t>
            </w:r>
          </w:p>
        </w:tc>
        <w:tc>
          <w:tcPr>
            <w:tcW w:w="391"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6</w:t>
            </w: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90%（含）以上计6分；</w:t>
            </w:r>
          </w:p>
        </w:tc>
        <w:tc>
          <w:tcPr>
            <w:tcW w:w="2588" w:type="dxa"/>
            <w:gridSpan w:val="4"/>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社会公众或服务对象是指部门（单位）履行职责而影响到的部门、群体或个人，一般采取社会调查的方式。</w:t>
            </w:r>
          </w:p>
        </w:tc>
        <w:tc>
          <w:tcPr>
            <w:tcW w:w="662"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4</w:t>
            </w:r>
          </w:p>
        </w:tc>
      </w:tr>
      <w:tr>
        <w:tblPrEx>
          <w:tblLayout w:type="fixed"/>
          <w:tblCellMar>
            <w:top w:w="0" w:type="dxa"/>
            <w:left w:w="0" w:type="dxa"/>
            <w:bottom w:w="0" w:type="dxa"/>
            <w:right w:w="0" w:type="dxa"/>
          </w:tblCellMar>
        </w:tblPrEx>
        <w:trPr>
          <w:trHeight w:val="43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9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80%（含）-90%，计4分；</w:t>
            </w:r>
          </w:p>
        </w:tc>
        <w:tc>
          <w:tcPr>
            <w:tcW w:w="2588" w:type="dxa"/>
            <w:gridSpan w:val="4"/>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662"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48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9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70%（含）-80%，计2分；</w:t>
            </w:r>
          </w:p>
        </w:tc>
        <w:tc>
          <w:tcPr>
            <w:tcW w:w="2588" w:type="dxa"/>
            <w:gridSpan w:val="4"/>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662"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91"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低于70%计0分。</w:t>
            </w:r>
          </w:p>
        </w:tc>
        <w:tc>
          <w:tcPr>
            <w:tcW w:w="2588" w:type="dxa"/>
            <w:gridSpan w:val="4"/>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662"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28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40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8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391"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center"/>
              <w:rPr>
                <w:rFonts w:ascii="仿宋_GB2312" w:hAnsi="宋体" w:eastAsia="仿宋_GB2312" w:cs="仿宋_GB2312"/>
                <w:color w:val="000000"/>
                <w:sz w:val="20"/>
                <w:szCs w:val="20"/>
              </w:rPr>
            </w:pPr>
          </w:p>
        </w:tc>
        <w:tc>
          <w:tcPr>
            <w:tcW w:w="213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仿宋_GB2312" w:hAnsi="宋体" w:eastAsia="仿宋_GB2312" w:cs="仿宋_GB2312"/>
                <w:color w:val="000000"/>
                <w:kern w:val="0"/>
                <w:sz w:val="20"/>
                <w:szCs w:val="20"/>
              </w:rPr>
            </w:pPr>
          </w:p>
        </w:tc>
        <w:tc>
          <w:tcPr>
            <w:tcW w:w="258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60" w:lineRule="exact"/>
              <w:jc w:val="left"/>
              <w:rPr>
                <w:rFonts w:ascii="仿宋_GB2312" w:hAnsi="宋体" w:eastAsia="仿宋_GB2312" w:cs="仿宋_GB2312"/>
                <w:color w:val="000000"/>
                <w:sz w:val="20"/>
                <w:szCs w:val="20"/>
              </w:rPr>
            </w:pPr>
          </w:p>
        </w:tc>
        <w:tc>
          <w:tcPr>
            <w:tcW w:w="66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宋体" w:hAnsi="宋体" w:eastAsia="宋体" w:cs="宋体"/>
                <w:color w:val="000000"/>
                <w:sz w:val="24"/>
              </w:rPr>
            </w:pPr>
            <w:r>
              <w:rPr>
                <w:rFonts w:hint="eastAsia" w:ascii="宋体" w:hAnsi="宋体" w:eastAsia="宋体" w:cs="宋体"/>
                <w:color w:val="000000"/>
                <w:sz w:val="24"/>
              </w:rPr>
              <w:t>90.5</w:t>
            </w:r>
          </w:p>
        </w:tc>
      </w:tr>
      <w:tr>
        <w:tblPrEx>
          <w:tblLayout w:type="fixed"/>
          <w:tblCellMar>
            <w:top w:w="0" w:type="dxa"/>
            <w:left w:w="0" w:type="dxa"/>
            <w:bottom w:w="0" w:type="dxa"/>
            <w:right w:w="0" w:type="dxa"/>
          </w:tblCellMar>
        </w:tblPrEx>
        <w:trPr>
          <w:trHeight w:val="585" w:hRule="atLeast"/>
        </w:trPr>
        <w:tc>
          <w:tcPr>
            <w:tcW w:w="8340"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kern w:val="0"/>
                <w:sz w:val="36"/>
                <w:szCs w:val="36"/>
              </w:rPr>
            </w:pPr>
          </w:p>
          <w:p>
            <w:pPr>
              <w:widowControl/>
              <w:spacing w:line="560" w:lineRule="exact"/>
              <w:jc w:val="center"/>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textAlignment w:val="center"/>
              <w:rPr>
                <w:rFonts w:ascii="仿宋" w:hAnsi="仿宋" w:eastAsia="仿宋" w:cs="仿宋"/>
                <w:b/>
                <w:color w:val="000000"/>
                <w:kern w:val="0"/>
                <w:sz w:val="36"/>
                <w:szCs w:val="36"/>
              </w:rPr>
            </w:pPr>
          </w:p>
          <w:p>
            <w:pPr>
              <w:widowControl/>
              <w:spacing w:line="560" w:lineRule="exact"/>
              <w:jc w:val="center"/>
              <w:textAlignment w:val="center"/>
              <w:rPr>
                <w:rFonts w:ascii="仿宋" w:hAnsi="仿宋" w:eastAsia="仿宋" w:cs="仿宋"/>
                <w:b/>
                <w:color w:val="000000"/>
                <w:sz w:val="36"/>
                <w:szCs w:val="36"/>
              </w:rPr>
            </w:pPr>
            <w:r>
              <w:rPr>
                <w:rFonts w:hint="eastAsia" w:ascii="仿宋" w:hAnsi="仿宋" w:eastAsia="仿宋" w:cs="仿宋"/>
                <w:b/>
                <w:color w:val="000000"/>
                <w:kern w:val="0"/>
                <w:sz w:val="36"/>
                <w:szCs w:val="36"/>
              </w:rPr>
              <w:t>2018农业农村局</w:t>
            </w:r>
            <w:r>
              <w:rPr>
                <w:rFonts w:ascii="仿宋" w:hAnsi="仿宋" w:eastAsia="仿宋" w:cs="仿宋"/>
                <w:b/>
                <w:color w:val="000000"/>
                <w:kern w:val="0"/>
                <w:sz w:val="36"/>
                <w:szCs w:val="36"/>
              </w:rPr>
              <w:t>部门整体支出绩效评价基础数据表</w:t>
            </w:r>
          </w:p>
        </w:tc>
      </w:tr>
      <w:tr>
        <w:tblPrEx>
          <w:tblLayout w:type="fixed"/>
          <w:tblCellMar>
            <w:top w:w="0" w:type="dxa"/>
            <w:left w:w="0" w:type="dxa"/>
            <w:bottom w:w="0" w:type="dxa"/>
            <w:right w:w="0" w:type="dxa"/>
          </w:tblCellMar>
        </w:tblPrEx>
        <w:trPr>
          <w:trHeight w:val="360" w:hRule="atLeast"/>
        </w:trPr>
        <w:tc>
          <w:tcPr>
            <w:tcW w:w="8340" w:type="dxa"/>
            <w:gridSpan w:val="15"/>
            <w:tcBorders>
              <w:top w:val="nil"/>
              <w:left w:val="nil"/>
              <w:bottom w:val="nil"/>
              <w:right w:val="nil"/>
            </w:tcBorders>
            <w:shd w:val="clear" w:color="auto" w:fill="auto"/>
            <w:noWrap/>
            <w:tcMar>
              <w:top w:w="15" w:type="dxa"/>
              <w:left w:w="15" w:type="dxa"/>
              <w:right w:w="15" w:type="dxa"/>
            </w:tcMar>
            <w:vAlign w:val="center"/>
          </w:tcPr>
          <w:p>
            <w:pPr>
              <w:spacing w:line="560" w:lineRule="exact"/>
              <w:rPr>
                <w:rFonts w:ascii="仿宋" w:hAnsi="仿宋" w:eastAsia="仿宋" w:cs="仿宋"/>
                <w:color w:val="000000"/>
                <w:sz w:val="24"/>
              </w:rPr>
            </w:pPr>
            <w:r>
              <w:rPr>
                <w:rFonts w:ascii="仿宋" w:hAnsi="仿宋" w:eastAsia="仿宋" w:cs="仿宋"/>
                <w:color w:val="000000"/>
                <w:kern w:val="0"/>
                <w:sz w:val="24"/>
              </w:rPr>
              <w:t>填报单位：</w:t>
            </w:r>
            <w:r>
              <w:rPr>
                <w:rFonts w:hint="eastAsia" w:ascii="仿宋" w:hAnsi="仿宋" w:eastAsia="仿宋" w:cs="仿宋"/>
                <w:color w:val="000000"/>
                <w:kern w:val="0"/>
                <w:sz w:val="24"/>
              </w:rPr>
              <w:t>芷江侗族自县农业农村局</w:t>
            </w:r>
          </w:p>
        </w:tc>
      </w:tr>
      <w:tr>
        <w:tblPrEx>
          <w:tblLayout w:type="fixed"/>
          <w:tblCellMar>
            <w:top w:w="0" w:type="dxa"/>
            <w:left w:w="0" w:type="dxa"/>
            <w:bottom w:w="0" w:type="dxa"/>
            <w:right w:w="0" w:type="dxa"/>
          </w:tblCellMar>
        </w:tblPrEx>
        <w:trPr>
          <w:trHeight w:val="585" w:hRule="atLeast"/>
        </w:trPr>
        <w:tc>
          <w:tcPr>
            <w:tcW w:w="274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color w:val="000000"/>
                <w:sz w:val="24"/>
              </w:rPr>
            </w:pPr>
            <w:r>
              <w:rPr>
                <w:rFonts w:ascii="仿宋" w:hAnsi="仿宋" w:eastAsia="仿宋" w:cs="仿宋"/>
                <w:color w:val="000000"/>
                <w:kern w:val="0"/>
                <w:sz w:val="24"/>
              </w:rPr>
              <w:t>财政供养人员情况</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2"/>
                <w:szCs w:val="22"/>
              </w:rPr>
            </w:pPr>
            <w:r>
              <w:rPr>
                <w:rFonts w:ascii="仿宋" w:hAnsi="仿宋" w:eastAsia="仿宋" w:cs="仿宋"/>
                <w:b/>
                <w:color w:val="000000"/>
                <w:kern w:val="0"/>
                <w:sz w:val="22"/>
                <w:szCs w:val="22"/>
              </w:rPr>
              <w:t>编制数</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2"/>
                <w:szCs w:val="22"/>
              </w:rPr>
            </w:pPr>
            <w:r>
              <w:rPr>
                <w:rFonts w:ascii="仿宋" w:hAnsi="仿宋" w:eastAsia="仿宋" w:cs="仿宋"/>
                <w:b/>
                <w:color w:val="000000"/>
                <w:kern w:val="0"/>
                <w:sz w:val="22"/>
                <w:szCs w:val="22"/>
              </w:rPr>
              <w:t>2018年实际在职人数</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2"/>
                <w:szCs w:val="22"/>
              </w:rPr>
            </w:pPr>
            <w:r>
              <w:rPr>
                <w:rFonts w:ascii="仿宋" w:hAnsi="仿宋" w:eastAsia="仿宋" w:cs="仿宋"/>
                <w:b/>
                <w:color w:val="000000"/>
                <w:kern w:val="0"/>
                <w:sz w:val="22"/>
                <w:szCs w:val="22"/>
              </w:rPr>
              <w:t>控制率</w:t>
            </w:r>
          </w:p>
        </w:tc>
      </w:tr>
      <w:tr>
        <w:tblPrEx>
          <w:tblLayout w:type="fixed"/>
          <w:tblCellMar>
            <w:top w:w="0" w:type="dxa"/>
            <w:left w:w="0" w:type="dxa"/>
            <w:bottom w:w="0" w:type="dxa"/>
            <w:right w:w="0" w:type="dxa"/>
          </w:tblCellMar>
        </w:tblPrEx>
        <w:trPr>
          <w:trHeight w:val="465" w:hRule="atLeast"/>
        </w:trPr>
        <w:tc>
          <w:tcPr>
            <w:tcW w:w="274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2"/>
                <w:szCs w:val="22"/>
              </w:rPr>
            </w:pPr>
            <w:r>
              <w:rPr>
                <w:rFonts w:hint="eastAsia" w:ascii="仿宋" w:hAnsi="仿宋" w:eastAsia="仿宋" w:cs="仿宋"/>
                <w:color w:val="000000"/>
                <w:sz w:val="22"/>
                <w:szCs w:val="22"/>
              </w:rPr>
              <w:t>105</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2"/>
                <w:szCs w:val="22"/>
              </w:rPr>
            </w:pPr>
            <w:r>
              <w:rPr>
                <w:rFonts w:hint="eastAsia" w:ascii="仿宋" w:hAnsi="仿宋" w:eastAsia="仿宋" w:cs="仿宋"/>
                <w:color w:val="000000"/>
                <w:sz w:val="22"/>
                <w:szCs w:val="22"/>
              </w:rPr>
              <w:t>106</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2"/>
                <w:szCs w:val="22"/>
              </w:rPr>
            </w:pPr>
            <w:r>
              <w:rPr>
                <w:rFonts w:hint="eastAsia" w:ascii="仿宋" w:hAnsi="仿宋" w:eastAsia="仿宋" w:cs="仿宋"/>
                <w:color w:val="000000"/>
                <w:sz w:val="22"/>
                <w:szCs w:val="22"/>
              </w:rPr>
              <w:t>101%</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color w:val="000000"/>
                <w:sz w:val="24"/>
              </w:rPr>
            </w:pPr>
            <w:r>
              <w:rPr>
                <w:rFonts w:ascii="仿宋" w:hAnsi="仿宋" w:eastAsia="仿宋" w:cs="仿宋"/>
                <w:color w:val="000000"/>
                <w:kern w:val="0"/>
                <w:sz w:val="24"/>
              </w:rPr>
              <w:t>经费控制情况</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2"/>
                <w:szCs w:val="22"/>
              </w:rPr>
            </w:pPr>
            <w:r>
              <w:rPr>
                <w:rFonts w:ascii="仿宋" w:hAnsi="仿宋" w:eastAsia="仿宋" w:cs="仿宋"/>
                <w:b/>
                <w:color w:val="000000"/>
                <w:kern w:val="0"/>
                <w:sz w:val="22"/>
                <w:szCs w:val="22"/>
              </w:rPr>
              <w:t>2017年决算数</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2"/>
                <w:szCs w:val="22"/>
              </w:rPr>
            </w:pPr>
            <w:r>
              <w:rPr>
                <w:rFonts w:ascii="仿宋" w:hAnsi="仿宋" w:eastAsia="仿宋" w:cs="仿宋"/>
                <w:b/>
                <w:color w:val="000000"/>
                <w:kern w:val="0"/>
                <w:sz w:val="22"/>
                <w:szCs w:val="22"/>
              </w:rPr>
              <w:t>2018年预算数</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2"/>
                <w:szCs w:val="22"/>
              </w:rPr>
            </w:pPr>
            <w:r>
              <w:rPr>
                <w:rFonts w:ascii="仿宋" w:hAnsi="仿宋" w:eastAsia="仿宋" w:cs="仿宋"/>
                <w:b/>
                <w:color w:val="000000"/>
                <w:kern w:val="0"/>
                <w:sz w:val="22"/>
                <w:szCs w:val="22"/>
              </w:rPr>
              <w:t>2018年决算数</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三公经费</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27.67</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35</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9.03</w:t>
            </w:r>
          </w:p>
        </w:tc>
      </w:tr>
      <w:tr>
        <w:tblPrEx>
          <w:tblLayout w:type="fixed"/>
          <w:tblCellMar>
            <w:top w:w="0" w:type="dxa"/>
            <w:left w:w="0" w:type="dxa"/>
            <w:bottom w:w="0" w:type="dxa"/>
            <w:right w:w="0" w:type="dxa"/>
          </w:tblCellMar>
        </w:tblPrEx>
        <w:trPr>
          <w:trHeight w:val="61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 xml:space="preserve">   1、公务用车购置和维护经费</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14.68</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15</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6.47</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 xml:space="preserve">       其中：公车购置</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0</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0</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0</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 xml:space="preserve">             公车运行维护</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14.68</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15</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6.47</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sz w:val="24"/>
              </w:rPr>
            </w:pPr>
            <w:r>
              <w:rPr>
                <w:rFonts w:ascii="仿宋" w:hAnsi="仿宋" w:eastAsia="仿宋" w:cs="仿宋"/>
                <w:color w:val="000000"/>
                <w:kern w:val="0"/>
                <w:sz w:val="24"/>
              </w:rPr>
              <w:t>2、出国经费</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0</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0</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0</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sz w:val="24"/>
              </w:rPr>
            </w:pPr>
            <w:r>
              <w:rPr>
                <w:rFonts w:ascii="仿宋" w:hAnsi="仿宋" w:eastAsia="仿宋" w:cs="仿宋"/>
                <w:color w:val="000000"/>
                <w:kern w:val="0"/>
                <w:sz w:val="24"/>
              </w:rPr>
              <w:t>3、公务接待</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12.99</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20</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2.56</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项目支出：</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255.43</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sz w:val="24"/>
              </w:rPr>
            </w:pPr>
            <w:r>
              <w:rPr>
                <w:rFonts w:ascii="仿宋" w:hAnsi="仿宋" w:eastAsia="仿宋" w:cs="仿宋"/>
                <w:color w:val="000000"/>
                <w:kern w:val="0"/>
                <w:sz w:val="24"/>
              </w:rPr>
              <w:t>1、</w:t>
            </w:r>
            <w:r>
              <w:rPr>
                <w:rFonts w:hint="eastAsia" w:ascii="仿宋" w:hAnsi="仿宋" w:eastAsia="仿宋" w:cs="仿宋"/>
                <w:color w:val="000000"/>
                <w:kern w:val="0"/>
                <w:sz w:val="24"/>
              </w:rPr>
              <w:t>科技转化与推广服务</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36</w:t>
            </w:r>
            <w:r>
              <w:rPr>
                <w:rFonts w:hint="eastAsia" w:ascii="仿宋" w:hAnsi="仿宋" w:eastAsia="仿宋" w:cs="仿宋"/>
                <w:color w:val="000000"/>
                <w:sz w:val="24"/>
              </w:rPr>
              <w:t>.7</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sz w:val="24"/>
              </w:rPr>
            </w:pPr>
            <w:r>
              <w:rPr>
                <w:rFonts w:ascii="仿宋" w:hAnsi="仿宋" w:eastAsia="仿宋" w:cs="仿宋"/>
                <w:color w:val="000000"/>
                <w:kern w:val="0"/>
                <w:sz w:val="24"/>
              </w:rPr>
              <w:t>2、病虫害控制</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19</w:t>
            </w:r>
            <w:r>
              <w:rPr>
                <w:rFonts w:hint="eastAsia" w:ascii="仿宋" w:hAnsi="仿宋" w:eastAsia="仿宋" w:cs="仿宋"/>
                <w:color w:val="000000"/>
                <w:sz w:val="24"/>
              </w:rPr>
              <w:t>.</w:t>
            </w:r>
            <w:r>
              <w:rPr>
                <w:rFonts w:ascii="仿宋" w:hAnsi="仿宋" w:eastAsia="仿宋" w:cs="仿宋"/>
                <w:color w:val="000000"/>
                <w:sz w:val="24"/>
              </w:rPr>
              <w:t>71</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r>
              <w:rPr>
                <w:rFonts w:ascii="仿宋" w:hAnsi="仿宋" w:eastAsia="仿宋" w:cs="仿宋"/>
                <w:color w:val="000000"/>
                <w:kern w:val="0"/>
                <w:sz w:val="24"/>
              </w:rPr>
              <w:t>农产品质量安全</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38</w:t>
            </w:r>
            <w:r>
              <w:rPr>
                <w:rFonts w:hint="eastAsia" w:ascii="仿宋" w:hAnsi="仿宋" w:eastAsia="仿宋" w:cs="仿宋"/>
                <w:color w:val="000000"/>
                <w:sz w:val="24"/>
              </w:rPr>
              <w:t>.</w:t>
            </w:r>
            <w:r>
              <w:rPr>
                <w:rFonts w:ascii="仿宋" w:hAnsi="仿宋" w:eastAsia="仿宋" w:cs="仿宋"/>
                <w:color w:val="000000"/>
                <w:sz w:val="24"/>
              </w:rPr>
              <w:t>9</w:t>
            </w:r>
            <w:r>
              <w:rPr>
                <w:rFonts w:hint="eastAsia" w:ascii="仿宋" w:hAnsi="仿宋" w:eastAsia="仿宋" w:cs="仿宋"/>
                <w:color w:val="000000"/>
                <w:sz w:val="24"/>
              </w:rPr>
              <w:t>9</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4、</w:t>
            </w:r>
            <w:r>
              <w:rPr>
                <w:rFonts w:ascii="仿宋" w:hAnsi="仿宋" w:eastAsia="仿宋" w:cs="仿宋"/>
                <w:color w:val="000000"/>
                <w:kern w:val="0"/>
                <w:sz w:val="24"/>
              </w:rPr>
              <w:t>执法监管</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5</w:t>
            </w:r>
            <w:r>
              <w:rPr>
                <w:rFonts w:hint="eastAsia" w:ascii="仿宋" w:hAnsi="仿宋" w:eastAsia="仿宋" w:cs="仿宋"/>
                <w:color w:val="000000"/>
                <w:sz w:val="24"/>
              </w:rPr>
              <w:t>.</w:t>
            </w:r>
            <w:r>
              <w:rPr>
                <w:rFonts w:ascii="仿宋" w:hAnsi="仿宋" w:eastAsia="仿宋" w:cs="仿宋"/>
                <w:color w:val="000000"/>
                <w:sz w:val="24"/>
              </w:rPr>
              <w:t>1</w:t>
            </w:r>
            <w:r>
              <w:rPr>
                <w:rFonts w:hint="eastAsia" w:ascii="仿宋" w:hAnsi="仿宋" w:eastAsia="仿宋" w:cs="仿宋"/>
                <w:color w:val="000000"/>
                <w:sz w:val="24"/>
              </w:rPr>
              <w:t>9</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5、</w:t>
            </w:r>
            <w:r>
              <w:rPr>
                <w:rFonts w:ascii="仿宋" w:hAnsi="仿宋" w:eastAsia="仿宋" w:cs="仿宋"/>
                <w:color w:val="000000"/>
                <w:kern w:val="0"/>
                <w:sz w:val="24"/>
              </w:rPr>
              <w:t>统计监测与信息服务</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1</w:t>
            </w:r>
            <w:r>
              <w:rPr>
                <w:rFonts w:hint="eastAsia" w:ascii="仿宋" w:hAnsi="仿宋" w:eastAsia="仿宋" w:cs="仿宋"/>
                <w:color w:val="000000"/>
                <w:sz w:val="24"/>
              </w:rPr>
              <w:t>.</w:t>
            </w:r>
            <w:r>
              <w:rPr>
                <w:rFonts w:ascii="仿宋" w:hAnsi="仿宋" w:eastAsia="仿宋" w:cs="仿宋"/>
                <w:color w:val="000000"/>
                <w:sz w:val="24"/>
              </w:rPr>
              <w:t>9</w:t>
            </w:r>
            <w:r>
              <w:rPr>
                <w:rFonts w:hint="eastAsia" w:ascii="仿宋" w:hAnsi="仿宋" w:eastAsia="仿宋" w:cs="仿宋"/>
                <w:color w:val="000000"/>
                <w:sz w:val="24"/>
              </w:rPr>
              <w:t>5</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6、</w:t>
            </w:r>
            <w:r>
              <w:rPr>
                <w:rFonts w:ascii="仿宋" w:hAnsi="仿宋" w:eastAsia="仿宋" w:cs="仿宋"/>
                <w:color w:val="000000"/>
                <w:kern w:val="0"/>
                <w:sz w:val="24"/>
              </w:rPr>
              <w:t>农业行业业务管理</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w:t>
            </w:r>
            <w:r>
              <w:rPr>
                <w:rFonts w:ascii="仿宋" w:hAnsi="仿宋" w:eastAsia="仿宋" w:cs="仿宋"/>
                <w:color w:val="000000"/>
                <w:sz w:val="24"/>
              </w:rPr>
              <w:t>4</w:t>
            </w:r>
            <w:r>
              <w:rPr>
                <w:rFonts w:hint="eastAsia" w:ascii="仿宋" w:hAnsi="仿宋" w:eastAsia="仿宋" w:cs="仿宋"/>
                <w:color w:val="000000"/>
                <w:sz w:val="24"/>
              </w:rPr>
              <w:t>2</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7、</w:t>
            </w:r>
            <w:r>
              <w:rPr>
                <w:rFonts w:ascii="仿宋" w:hAnsi="仿宋" w:eastAsia="仿宋" w:cs="仿宋"/>
                <w:color w:val="000000"/>
                <w:kern w:val="0"/>
                <w:sz w:val="24"/>
              </w:rPr>
              <w:t>防灾救灾</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35</w:t>
            </w:r>
            <w:r>
              <w:rPr>
                <w:rFonts w:hint="eastAsia" w:ascii="仿宋" w:hAnsi="仿宋" w:eastAsia="仿宋" w:cs="仿宋"/>
                <w:color w:val="000000"/>
                <w:sz w:val="24"/>
              </w:rPr>
              <w:t>.</w:t>
            </w:r>
            <w:r>
              <w:rPr>
                <w:rFonts w:ascii="仿宋" w:hAnsi="仿宋" w:eastAsia="仿宋" w:cs="仿宋"/>
                <w:color w:val="000000"/>
                <w:sz w:val="24"/>
              </w:rPr>
              <w:t>2</w:t>
            </w:r>
            <w:r>
              <w:rPr>
                <w:rFonts w:hint="eastAsia" w:ascii="仿宋" w:hAnsi="仿宋" w:eastAsia="仿宋" w:cs="仿宋"/>
                <w:color w:val="000000"/>
                <w:sz w:val="24"/>
              </w:rPr>
              <w:t>8</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8、</w:t>
            </w:r>
            <w:r>
              <w:rPr>
                <w:rFonts w:ascii="仿宋" w:hAnsi="仿宋" w:eastAsia="仿宋" w:cs="仿宋"/>
                <w:color w:val="000000"/>
                <w:kern w:val="0"/>
                <w:sz w:val="24"/>
              </w:rPr>
              <w:t>农业生产支持补贴</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43</w:t>
            </w:r>
            <w:r>
              <w:rPr>
                <w:rFonts w:hint="eastAsia" w:ascii="仿宋" w:hAnsi="仿宋" w:eastAsia="仿宋" w:cs="仿宋"/>
                <w:color w:val="000000"/>
                <w:sz w:val="24"/>
              </w:rPr>
              <w:t>.</w:t>
            </w:r>
            <w:r>
              <w:rPr>
                <w:rFonts w:ascii="仿宋" w:hAnsi="仿宋" w:eastAsia="仿宋" w:cs="仿宋"/>
                <w:color w:val="000000"/>
                <w:sz w:val="24"/>
              </w:rPr>
              <w:t>7</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9、</w:t>
            </w:r>
            <w:r>
              <w:rPr>
                <w:rFonts w:ascii="仿宋" w:hAnsi="仿宋" w:eastAsia="仿宋" w:cs="仿宋"/>
                <w:color w:val="000000"/>
                <w:kern w:val="0"/>
                <w:sz w:val="24"/>
              </w:rPr>
              <w:t>农业组织化与产业化经营</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5</w:t>
            </w:r>
            <w:r>
              <w:rPr>
                <w:rFonts w:hint="eastAsia" w:ascii="仿宋" w:hAnsi="仿宋" w:eastAsia="仿宋" w:cs="仿宋"/>
                <w:color w:val="000000"/>
                <w:sz w:val="24"/>
              </w:rPr>
              <w:t>.</w:t>
            </w:r>
            <w:r>
              <w:rPr>
                <w:rFonts w:ascii="仿宋" w:hAnsi="仿宋" w:eastAsia="仿宋" w:cs="仿宋"/>
                <w:color w:val="000000"/>
                <w:sz w:val="24"/>
              </w:rPr>
              <w:t>46</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10、</w:t>
            </w:r>
            <w:r>
              <w:rPr>
                <w:rFonts w:ascii="仿宋" w:hAnsi="仿宋" w:eastAsia="仿宋" w:cs="仿宋"/>
                <w:color w:val="000000"/>
                <w:kern w:val="0"/>
                <w:sz w:val="24"/>
              </w:rPr>
              <w:t>农村公益事业</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61</w:t>
            </w:r>
            <w:r>
              <w:rPr>
                <w:rFonts w:hint="eastAsia" w:ascii="仿宋" w:hAnsi="仿宋" w:eastAsia="仿宋" w:cs="仿宋"/>
                <w:color w:val="000000"/>
                <w:sz w:val="24"/>
              </w:rPr>
              <w:t>.</w:t>
            </w:r>
            <w:r>
              <w:rPr>
                <w:rFonts w:ascii="仿宋" w:hAnsi="仿宋" w:eastAsia="仿宋" w:cs="仿宋"/>
                <w:color w:val="000000"/>
                <w:sz w:val="24"/>
              </w:rPr>
              <w:t>38</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11、</w:t>
            </w:r>
            <w:r>
              <w:rPr>
                <w:rFonts w:ascii="仿宋" w:hAnsi="仿宋" w:eastAsia="仿宋" w:cs="仿宋"/>
                <w:color w:val="000000"/>
                <w:kern w:val="0"/>
                <w:sz w:val="24"/>
              </w:rPr>
              <w:t>农业资源保护修复与利用</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w:t>
            </w:r>
            <w:r>
              <w:rPr>
                <w:rFonts w:ascii="仿宋" w:hAnsi="仿宋" w:eastAsia="仿宋" w:cs="仿宋"/>
                <w:color w:val="000000"/>
                <w:sz w:val="24"/>
              </w:rPr>
              <w:t>8</w:t>
            </w:r>
            <w:r>
              <w:rPr>
                <w:rFonts w:hint="eastAsia" w:ascii="仿宋" w:hAnsi="仿宋" w:eastAsia="仿宋" w:cs="仿宋"/>
                <w:color w:val="000000"/>
                <w:sz w:val="24"/>
              </w:rPr>
              <w:t>2</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12、</w:t>
            </w:r>
            <w:r>
              <w:rPr>
                <w:rFonts w:ascii="仿宋" w:hAnsi="仿宋" w:eastAsia="仿宋" w:cs="仿宋"/>
                <w:color w:val="000000"/>
                <w:kern w:val="0"/>
                <w:sz w:val="24"/>
              </w:rPr>
              <w:t>其他农业支出</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21</w:t>
            </w:r>
            <w:r>
              <w:rPr>
                <w:rFonts w:hint="eastAsia" w:ascii="仿宋" w:hAnsi="仿宋" w:eastAsia="仿宋" w:cs="仿宋"/>
                <w:color w:val="000000"/>
                <w:sz w:val="24"/>
              </w:rPr>
              <w:t>.</w:t>
            </w:r>
            <w:r>
              <w:rPr>
                <w:rFonts w:ascii="仿宋" w:hAnsi="仿宋" w:eastAsia="仿宋" w:cs="仿宋"/>
                <w:color w:val="000000"/>
                <w:sz w:val="24"/>
              </w:rPr>
              <w:t>45</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ind w:firstLine="240" w:firstLineChars="10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13、</w:t>
            </w:r>
            <w:r>
              <w:rPr>
                <w:rFonts w:ascii="仿宋" w:hAnsi="仿宋" w:eastAsia="仿宋" w:cs="仿宋"/>
                <w:color w:val="000000"/>
                <w:kern w:val="0"/>
                <w:sz w:val="24"/>
              </w:rPr>
              <w:t>其他扶贫支出</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w:t>
            </w:r>
            <w:r>
              <w:rPr>
                <w:rFonts w:ascii="仿宋" w:hAnsi="仿宋" w:eastAsia="仿宋" w:cs="仿宋"/>
                <w:color w:val="000000"/>
                <w:sz w:val="24"/>
              </w:rPr>
              <w:t>69</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kern w:val="0"/>
                <w:sz w:val="24"/>
              </w:rPr>
            </w:pP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 xml:space="preserve">          ……</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公用经费</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69.29</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152.21</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62.96</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 xml:space="preserve">  其中：办公经费</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10.38</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19</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15.19</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 xml:space="preserve">       水费、电费、差旅费</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9.71</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22</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17.89</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 xml:space="preserve">          会议费、培训费</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0.07</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7</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1.95</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政府采购金额</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color w:val="000000" w:themeColor="text1"/>
                <w:sz w:val="24"/>
              </w:rPr>
            </w:pPr>
            <w:r>
              <w:rPr>
                <w:rFonts w:ascii="仿宋" w:hAnsi="仿宋" w:eastAsia="仿宋" w:cs="仿宋"/>
                <w:color w:val="000000" w:themeColor="text1"/>
                <w:kern w:val="0"/>
                <w:sz w:val="24"/>
              </w:rPr>
              <w:t>——</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0</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0</w:t>
            </w:r>
          </w:p>
        </w:tc>
      </w:tr>
      <w:tr>
        <w:tblPrEx>
          <w:tblLayout w:type="fixed"/>
          <w:tblCellMar>
            <w:top w:w="0" w:type="dxa"/>
            <w:left w:w="0" w:type="dxa"/>
            <w:bottom w:w="0" w:type="dxa"/>
            <w:right w:w="0" w:type="dxa"/>
          </w:tblCellMar>
        </w:tblPrEx>
        <w:trPr>
          <w:trHeight w:val="465"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4"/>
              </w:rPr>
            </w:pPr>
            <w:r>
              <w:rPr>
                <w:rFonts w:ascii="仿宋" w:hAnsi="仿宋" w:eastAsia="仿宋" w:cs="仿宋"/>
                <w:color w:val="000000"/>
                <w:kern w:val="0"/>
                <w:sz w:val="24"/>
              </w:rPr>
              <w:t xml:space="preserve">部门整体支出预算调整 </w:t>
            </w:r>
          </w:p>
        </w:tc>
        <w:tc>
          <w:tcPr>
            <w:tcW w:w="19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color w:val="000000"/>
                <w:sz w:val="24"/>
              </w:rPr>
            </w:pPr>
            <w:r>
              <w:rPr>
                <w:rFonts w:ascii="仿宋" w:hAnsi="仿宋" w:eastAsia="仿宋" w:cs="仿宋"/>
                <w:color w:val="000000"/>
                <w:kern w:val="0"/>
                <w:sz w:val="24"/>
              </w:rPr>
              <w:t>——</w:t>
            </w:r>
          </w:p>
        </w:tc>
        <w:tc>
          <w:tcPr>
            <w:tcW w:w="1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1300</w:t>
            </w:r>
          </w:p>
        </w:tc>
        <w:tc>
          <w:tcPr>
            <w:tcW w:w="1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1844</w:t>
            </w:r>
          </w:p>
        </w:tc>
      </w:tr>
      <w:tr>
        <w:tblPrEx>
          <w:tblLayout w:type="fixed"/>
          <w:tblCellMar>
            <w:top w:w="0" w:type="dxa"/>
            <w:left w:w="0" w:type="dxa"/>
            <w:bottom w:w="0" w:type="dxa"/>
            <w:right w:w="0" w:type="dxa"/>
          </w:tblCellMar>
        </w:tblPrEx>
        <w:trPr>
          <w:trHeight w:val="735" w:hRule="atLeast"/>
        </w:trPr>
        <w:tc>
          <w:tcPr>
            <w:tcW w:w="274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color w:val="000000"/>
                <w:sz w:val="24"/>
              </w:rPr>
            </w:pPr>
            <w:r>
              <w:rPr>
                <w:rFonts w:ascii="仿宋" w:hAnsi="仿宋" w:eastAsia="仿宋" w:cs="仿宋"/>
                <w:color w:val="000000"/>
                <w:kern w:val="0"/>
                <w:sz w:val="24"/>
              </w:rPr>
              <w:t>楼堂馆所控制情况      （2018年完工项目）</w:t>
            </w:r>
          </w:p>
        </w:tc>
        <w:tc>
          <w:tcPr>
            <w:tcW w:w="9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4"/>
              </w:rPr>
            </w:pPr>
            <w:r>
              <w:rPr>
                <w:rFonts w:ascii="仿宋" w:hAnsi="仿宋" w:eastAsia="仿宋" w:cs="仿宋"/>
                <w:b/>
                <w:color w:val="000000"/>
                <w:kern w:val="0"/>
                <w:sz w:val="24"/>
              </w:rPr>
              <w:t>批复规模（㎡）</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4"/>
              </w:rPr>
            </w:pPr>
            <w:r>
              <w:rPr>
                <w:rFonts w:ascii="仿宋" w:hAnsi="仿宋" w:eastAsia="仿宋" w:cs="仿宋"/>
                <w:b/>
                <w:color w:val="000000"/>
                <w:kern w:val="0"/>
                <w:sz w:val="24"/>
              </w:rPr>
              <w:t>实际规模（㎡）</w:t>
            </w:r>
          </w:p>
        </w:tc>
        <w:tc>
          <w:tcPr>
            <w:tcW w:w="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4"/>
              </w:rPr>
            </w:pPr>
            <w:r>
              <w:rPr>
                <w:rFonts w:ascii="仿宋" w:hAnsi="仿宋" w:eastAsia="仿宋" w:cs="仿宋"/>
                <w:b/>
                <w:color w:val="000000"/>
                <w:kern w:val="0"/>
                <w:sz w:val="24"/>
              </w:rPr>
              <w:t>规模控制率</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4"/>
              </w:rPr>
            </w:pPr>
            <w:r>
              <w:rPr>
                <w:rFonts w:ascii="仿宋" w:hAnsi="仿宋" w:eastAsia="仿宋" w:cs="仿宋"/>
                <w:b/>
                <w:color w:val="000000"/>
                <w:kern w:val="0"/>
                <w:sz w:val="24"/>
              </w:rPr>
              <w:t>预算投资（万元）</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4"/>
              </w:rPr>
            </w:pPr>
            <w:r>
              <w:rPr>
                <w:rFonts w:ascii="仿宋" w:hAnsi="仿宋" w:eastAsia="仿宋" w:cs="仿宋"/>
                <w:b/>
                <w:color w:val="000000"/>
                <w:kern w:val="0"/>
                <w:sz w:val="24"/>
              </w:rPr>
              <w:t>实际投资（万元）</w:t>
            </w:r>
          </w:p>
        </w:tc>
        <w:tc>
          <w:tcPr>
            <w:tcW w:w="9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b/>
                <w:color w:val="000000"/>
                <w:sz w:val="24"/>
              </w:rPr>
            </w:pPr>
            <w:r>
              <w:rPr>
                <w:rFonts w:ascii="仿宋" w:hAnsi="仿宋" w:eastAsia="仿宋" w:cs="仿宋"/>
                <w:b/>
                <w:color w:val="000000"/>
                <w:kern w:val="0"/>
                <w:sz w:val="24"/>
              </w:rPr>
              <w:t>投资概算控制率</w:t>
            </w:r>
          </w:p>
        </w:tc>
      </w:tr>
      <w:tr>
        <w:tblPrEx>
          <w:tblLayout w:type="fixed"/>
          <w:tblCellMar>
            <w:top w:w="0" w:type="dxa"/>
            <w:left w:w="0" w:type="dxa"/>
            <w:bottom w:w="0" w:type="dxa"/>
            <w:right w:w="0" w:type="dxa"/>
          </w:tblCellMar>
        </w:tblPrEx>
        <w:trPr>
          <w:trHeight w:val="570" w:hRule="atLeast"/>
        </w:trPr>
        <w:tc>
          <w:tcPr>
            <w:tcW w:w="274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b/>
                <w:color w:val="000000"/>
                <w:sz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b/>
                <w:color w:val="000000"/>
                <w:sz w:val="24"/>
              </w:rPr>
            </w:pPr>
          </w:p>
        </w:tc>
        <w:tc>
          <w:tcPr>
            <w:tcW w:w="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b/>
                <w:color w:val="000000"/>
                <w:sz w:val="24"/>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b/>
                <w:color w:val="000000"/>
                <w:sz w:val="24"/>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b/>
                <w:color w:val="000000"/>
                <w:sz w:val="24"/>
              </w:rPr>
            </w:pPr>
          </w:p>
        </w:tc>
        <w:tc>
          <w:tcPr>
            <w:tcW w:w="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b/>
                <w:color w:val="000000"/>
                <w:sz w:val="24"/>
              </w:rPr>
            </w:pPr>
          </w:p>
        </w:tc>
      </w:tr>
      <w:tr>
        <w:tblPrEx>
          <w:tblLayout w:type="fixed"/>
          <w:tblCellMar>
            <w:top w:w="0" w:type="dxa"/>
            <w:left w:w="0" w:type="dxa"/>
            <w:bottom w:w="0" w:type="dxa"/>
            <w:right w:w="0" w:type="dxa"/>
          </w:tblCellMar>
        </w:tblPrEx>
        <w:trPr>
          <w:trHeight w:val="450" w:hRule="atLeast"/>
        </w:trPr>
        <w:tc>
          <w:tcPr>
            <w:tcW w:w="274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sz w:val="24"/>
              </w:rPr>
              <w:t>0</w:t>
            </w:r>
          </w:p>
        </w:tc>
        <w:tc>
          <w:tcPr>
            <w:tcW w:w="9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left"/>
              <w:rPr>
                <w:rFonts w:ascii="仿宋" w:hAnsi="仿宋" w:eastAsia="仿宋" w:cs="仿宋"/>
                <w:color w:val="000000"/>
                <w:sz w:val="24"/>
              </w:rPr>
            </w:pPr>
          </w:p>
        </w:tc>
      </w:tr>
      <w:tr>
        <w:tblPrEx>
          <w:tblLayout w:type="fixed"/>
          <w:tblCellMar>
            <w:top w:w="0" w:type="dxa"/>
            <w:left w:w="0" w:type="dxa"/>
            <w:bottom w:w="0" w:type="dxa"/>
            <w:right w:w="0" w:type="dxa"/>
          </w:tblCellMar>
        </w:tblPrEx>
        <w:trPr>
          <w:trHeight w:val="660" w:hRule="atLeast"/>
        </w:trPr>
        <w:tc>
          <w:tcPr>
            <w:tcW w:w="27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仿宋" w:hAnsi="仿宋" w:eastAsia="仿宋" w:cs="仿宋"/>
                <w:color w:val="000000"/>
                <w:sz w:val="24"/>
              </w:rPr>
            </w:pPr>
            <w:r>
              <w:rPr>
                <w:rFonts w:ascii="仿宋" w:hAnsi="仿宋" w:eastAsia="仿宋" w:cs="仿宋"/>
                <w:color w:val="000000"/>
                <w:kern w:val="0"/>
                <w:sz w:val="24"/>
              </w:rPr>
              <w:t>厉行节约保障措施</w:t>
            </w:r>
          </w:p>
        </w:tc>
        <w:tc>
          <w:tcPr>
            <w:tcW w:w="559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仿宋" w:hAnsi="仿宋" w:eastAsia="仿宋" w:cs="仿宋"/>
                <w:color w:val="000000"/>
                <w:sz w:val="24"/>
              </w:rPr>
            </w:pPr>
            <w:r>
              <w:rPr>
                <w:rFonts w:hint="eastAsia" w:ascii="仿宋" w:hAnsi="仿宋" w:eastAsia="仿宋" w:cs="仿宋"/>
                <w:color w:val="000000"/>
                <w:kern w:val="0"/>
                <w:sz w:val="24"/>
              </w:rPr>
              <w:t>格执行中央“八项规定”、省委“九项规定”及市县各项规定，厉行节约，控制接待用餐，实行凭函、按标准接待</w:t>
            </w:r>
          </w:p>
        </w:tc>
      </w:tr>
      <w:tr>
        <w:tblPrEx>
          <w:tblLayout w:type="fixed"/>
          <w:tblCellMar>
            <w:top w:w="0" w:type="dxa"/>
            <w:left w:w="0" w:type="dxa"/>
            <w:bottom w:w="0" w:type="dxa"/>
            <w:right w:w="0" w:type="dxa"/>
          </w:tblCellMar>
        </w:tblPrEx>
        <w:trPr>
          <w:trHeight w:val="720" w:hRule="atLeast"/>
        </w:trPr>
        <w:tc>
          <w:tcPr>
            <w:tcW w:w="8340" w:type="dxa"/>
            <w:gridSpan w:val="15"/>
            <w:tcBorders>
              <w:top w:val="single" w:color="000000" w:sz="4" w:space="0"/>
              <w:left w:val="nil"/>
              <w:bottom w:val="nil"/>
              <w:right w:val="nil"/>
            </w:tcBorders>
            <w:shd w:val="clear" w:color="auto" w:fill="auto"/>
            <w:tcMar>
              <w:top w:w="15" w:type="dxa"/>
              <w:left w:w="15" w:type="dxa"/>
              <w:right w:w="15" w:type="dxa"/>
            </w:tcMar>
            <w:vAlign w:val="center"/>
          </w:tcPr>
          <w:p>
            <w:pPr>
              <w:widowControl/>
              <w:spacing w:line="560" w:lineRule="exact"/>
              <w:jc w:val="left"/>
              <w:textAlignment w:val="center"/>
              <w:rPr>
                <w:rFonts w:ascii="仿宋" w:hAnsi="仿宋" w:eastAsia="仿宋" w:cs="仿宋"/>
                <w:color w:val="000000"/>
                <w:sz w:val="22"/>
                <w:szCs w:val="22"/>
              </w:rPr>
            </w:pPr>
            <w:r>
              <w:rPr>
                <w:rFonts w:ascii="仿宋" w:hAnsi="仿宋" w:eastAsia="仿宋" w:cs="仿宋"/>
                <w:color w:val="000000"/>
                <w:kern w:val="0"/>
                <w:sz w:val="22"/>
                <w:szCs w:val="22"/>
              </w:rPr>
              <w:t xml:space="preserve">    说明：“项目支出”需要填报除基本支出以外的所有项目情况，包括业务工作项目、运行维护项目等；“公用经费”填报基本支出中的一般商品和服务支出。</w:t>
            </w:r>
          </w:p>
        </w:tc>
      </w:tr>
    </w:tbl>
    <w:p>
      <w:pPr>
        <w:spacing w:line="560" w:lineRule="exact"/>
        <w:ind w:firstLine="640" w:firstLineChars="200"/>
        <w:rPr>
          <w:rFonts w:ascii="仿宋" w:hAnsi="仿宋" w:eastAsia="仿宋"/>
          <w:bCs/>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rPr>
          <w:rFonts w:ascii="仿宋_GB2312" w:hAnsi="仿宋" w:eastAsia="仿宋_GB2312"/>
          <w:b/>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7630392"/>
      <w:docPartObj>
        <w:docPartGallery w:val="autotext"/>
      </w:docPartObj>
    </w:sdtPr>
    <w:sdtContent>
      <w:p>
        <w:pPr>
          <w:pStyle w:val="2"/>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A0343"/>
    <w:multiLevelType w:val="multilevel"/>
    <w:tmpl w:val="2F3A0343"/>
    <w:lvl w:ilvl="0" w:tentative="0">
      <w:start w:val="1"/>
      <w:numFmt w:val="japaneseCounting"/>
      <w:lvlText w:val="%1、"/>
      <w:lvlJc w:val="left"/>
      <w:pPr>
        <w:tabs>
          <w:tab w:val="left" w:pos="1320"/>
        </w:tabs>
        <w:ind w:left="1320" w:hanging="72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BD74789"/>
    <w:rsid w:val="000B6B1D"/>
    <w:rsid w:val="004A7CA6"/>
    <w:rsid w:val="00592796"/>
    <w:rsid w:val="006710A4"/>
    <w:rsid w:val="00752C82"/>
    <w:rsid w:val="00820CD8"/>
    <w:rsid w:val="009E3C92"/>
    <w:rsid w:val="00B04723"/>
    <w:rsid w:val="00F54392"/>
    <w:rsid w:val="00F958A9"/>
    <w:rsid w:val="00FE5377"/>
    <w:rsid w:val="012515FD"/>
    <w:rsid w:val="0E6E17CF"/>
    <w:rsid w:val="0E8544FE"/>
    <w:rsid w:val="14D74530"/>
    <w:rsid w:val="15B67127"/>
    <w:rsid w:val="18A13CA0"/>
    <w:rsid w:val="1F072752"/>
    <w:rsid w:val="1FC63E5C"/>
    <w:rsid w:val="25532579"/>
    <w:rsid w:val="319C7738"/>
    <w:rsid w:val="3E1915F6"/>
    <w:rsid w:val="40724396"/>
    <w:rsid w:val="471F29C0"/>
    <w:rsid w:val="48D7005F"/>
    <w:rsid w:val="4A693A4E"/>
    <w:rsid w:val="4A782FD4"/>
    <w:rsid w:val="4EC27FDB"/>
    <w:rsid w:val="51543C0A"/>
    <w:rsid w:val="532A1F57"/>
    <w:rsid w:val="5CE13960"/>
    <w:rsid w:val="5D562CC9"/>
    <w:rsid w:val="60AC07BD"/>
    <w:rsid w:val="63762D69"/>
    <w:rsid w:val="69B47990"/>
    <w:rsid w:val="6AF22925"/>
    <w:rsid w:val="6BD74789"/>
    <w:rsid w:val="76807597"/>
    <w:rsid w:val="7CB24A6F"/>
    <w:rsid w:val="7E6C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60" w:after="100" w:afterAutospacing="1"/>
      <w:ind w:left="300" w:right="225"/>
      <w:jc w:val="left"/>
    </w:pPr>
    <w:rPr>
      <w:rFonts w:ascii="宋体" w:hAnsi="宋体" w:cs="宋体"/>
      <w:kern w:val="0"/>
      <w:sz w:val="24"/>
    </w:rPr>
  </w:style>
  <w:style w:type="paragraph" w:customStyle="1" w:styleId="7">
    <w:name w:val="列出段落1"/>
    <w:basedOn w:val="1"/>
    <w:qFormat/>
    <w:uiPriority w:val="0"/>
    <w:pPr>
      <w:ind w:firstLine="420" w:firstLineChars="200"/>
    </w:pPr>
    <w:rPr>
      <w:rFonts w:ascii="Calibri" w:hAnsi="Calibri"/>
      <w:szCs w:val="22"/>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21"/>
    <w:basedOn w:val="6"/>
    <w:qFormat/>
    <w:uiPriority w:val="0"/>
    <w:rPr>
      <w:rFonts w:hint="eastAsia" w:ascii="仿宋_GB2312" w:eastAsia="仿宋_GB2312" w:cs="仿宋_GB2312"/>
      <w:color w:val="000000"/>
      <w:sz w:val="20"/>
      <w:szCs w:val="20"/>
      <w:u w:val="none"/>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1575</Words>
  <Characters>8978</Characters>
  <Lines>74</Lines>
  <Paragraphs>21</Paragraphs>
  <TotalTime>100</TotalTime>
  <ScaleCrop>false</ScaleCrop>
  <LinksUpToDate>false</LinksUpToDate>
  <CharactersWithSpaces>10532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2019-05-24T00:08:00Z</dcterms:created>
  <dc:creator>soar</dc:creator>
  <cp:lastModifiedBy>soar</cp:lastModifiedBy>
  <cp:lastPrinted>2019-05-31T04:06:00Z</cp:lastPrinted>
  <dcterms:modified xsi:type="dcterms:W3CDTF">2019-06-03T00:30:17Z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