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芷江县农业农村局2018年蔬菜科技推广工作经费绩效自评报告</w:t>
      </w:r>
    </w:p>
    <w:p>
      <w:pPr>
        <w:spacing w:line="560" w:lineRule="exact"/>
        <w:rPr>
          <w:rFonts w:ascii="方正大标宋简体" w:hAnsi="方正大标宋简体" w:eastAsia="方正大标宋简体"/>
          <w:b/>
          <w:sz w:val="44"/>
          <w:szCs w:val="44"/>
        </w:rPr>
      </w:pPr>
    </w:p>
    <w:p>
      <w:pPr>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为进一步规范财政资金管理，强化部门责任意识，切实提高财政资金使用效益。</w:t>
      </w:r>
      <w:r>
        <w:rPr>
          <w:rFonts w:hint="eastAsia" w:ascii="仿宋" w:hAnsi="仿宋" w:eastAsia="仿宋"/>
          <w:sz w:val="32"/>
          <w:szCs w:val="32"/>
        </w:rPr>
        <w:t>根据</w:t>
      </w:r>
      <w:r>
        <w:rPr>
          <w:rFonts w:ascii="仿宋" w:hAnsi="仿宋" w:eastAsia="仿宋"/>
          <w:color w:val="000000"/>
          <w:sz w:val="32"/>
          <w:szCs w:val="32"/>
        </w:rPr>
        <w:t>《党政机关厉行节约反对浪费条例》</w:t>
      </w:r>
      <w:r>
        <w:rPr>
          <w:rFonts w:hint="eastAsia" w:ascii="仿宋" w:hAnsi="仿宋" w:eastAsia="仿宋"/>
          <w:color w:val="000000"/>
          <w:sz w:val="32"/>
          <w:szCs w:val="32"/>
        </w:rPr>
        <w:t>、</w:t>
      </w:r>
      <w:r>
        <w:rPr>
          <w:rFonts w:ascii="仿宋" w:hAnsi="仿宋" w:eastAsia="仿宋"/>
          <w:color w:val="000000"/>
          <w:sz w:val="32"/>
          <w:szCs w:val="32"/>
        </w:rPr>
        <w:t>财政部《</w:t>
      </w:r>
      <w:r>
        <w:rPr>
          <w:rFonts w:hint="eastAsia" w:ascii="仿宋" w:hAnsi="仿宋" w:eastAsia="仿宋"/>
          <w:color w:val="000000"/>
          <w:sz w:val="32"/>
          <w:szCs w:val="32"/>
        </w:rPr>
        <w:t>财政支出</w:t>
      </w:r>
      <w:r>
        <w:rPr>
          <w:rFonts w:ascii="仿宋" w:hAnsi="仿宋" w:eastAsia="仿宋"/>
          <w:color w:val="000000"/>
          <w:sz w:val="32"/>
          <w:szCs w:val="32"/>
        </w:rPr>
        <w:t>绩效</w:t>
      </w:r>
      <w:r>
        <w:rPr>
          <w:rFonts w:hint="eastAsia" w:ascii="仿宋" w:hAnsi="仿宋" w:eastAsia="仿宋"/>
          <w:color w:val="000000"/>
          <w:sz w:val="32"/>
          <w:szCs w:val="32"/>
        </w:rPr>
        <w:t>评价管理暂行办法</w:t>
      </w:r>
      <w:r>
        <w:rPr>
          <w:rFonts w:ascii="仿宋" w:hAnsi="仿宋" w:eastAsia="仿宋"/>
          <w:color w:val="000000"/>
          <w:sz w:val="32"/>
          <w:szCs w:val="32"/>
        </w:rPr>
        <w:t>》（财预〔201</w:t>
      </w:r>
      <w:r>
        <w:rPr>
          <w:rFonts w:hint="eastAsia" w:ascii="仿宋" w:hAnsi="仿宋" w:eastAsia="仿宋"/>
          <w:color w:val="000000"/>
          <w:sz w:val="32"/>
          <w:szCs w:val="32"/>
        </w:rPr>
        <w:t>1</w:t>
      </w:r>
      <w:r>
        <w:rPr>
          <w:rFonts w:ascii="仿宋" w:hAnsi="仿宋" w:eastAsia="仿宋"/>
          <w:color w:val="000000"/>
          <w:sz w:val="32"/>
          <w:szCs w:val="32"/>
        </w:rPr>
        <w:t>〕</w:t>
      </w:r>
      <w:r>
        <w:rPr>
          <w:rFonts w:hint="eastAsia" w:ascii="仿宋" w:hAnsi="仿宋" w:eastAsia="仿宋"/>
          <w:color w:val="000000"/>
          <w:sz w:val="32"/>
          <w:szCs w:val="32"/>
        </w:rPr>
        <w:t>285</w:t>
      </w:r>
      <w:r>
        <w:rPr>
          <w:rFonts w:ascii="仿宋" w:hAnsi="仿宋" w:eastAsia="仿宋"/>
          <w:color w:val="000000"/>
          <w:sz w:val="32"/>
          <w:szCs w:val="32"/>
        </w:rPr>
        <w:t>号）</w:t>
      </w:r>
      <w:r>
        <w:rPr>
          <w:rFonts w:hint="eastAsia" w:ascii="仿宋" w:hAnsi="仿宋" w:eastAsia="仿宋"/>
          <w:color w:val="000000"/>
          <w:sz w:val="32"/>
          <w:szCs w:val="32"/>
        </w:rPr>
        <w:t>、《湖南省人民政府关于深化预算管理制度改革的实施意见》（湘政发〔2015〕8号）、《芷江侗族自治县人民政府关于全面推进预算绩效管理的实施意见》（芷政发[2014]8号）、《芷江侗族自治县财政支出绩效评价管理暂行办法》（芷财绩[2014]4号）</w:t>
      </w:r>
      <w:r>
        <w:rPr>
          <w:rFonts w:hint="eastAsia" w:ascii="仿宋" w:hAnsi="仿宋" w:eastAsia="仿宋"/>
          <w:sz w:val="32"/>
          <w:szCs w:val="32"/>
        </w:rPr>
        <w:t>文件精神，</w:t>
      </w:r>
      <w:r>
        <w:rPr>
          <w:rFonts w:hint="eastAsia" w:ascii="仿宋" w:hAnsi="仿宋" w:eastAsia="仿宋" w:cs="Times New Roman"/>
          <w:sz w:val="32"/>
          <w:szCs w:val="32"/>
        </w:rPr>
        <w:t>我局认真开展了</w:t>
      </w:r>
      <w:r>
        <w:rPr>
          <w:rFonts w:ascii="仿宋" w:hAnsi="仿宋" w:eastAsia="仿宋" w:cs="Times New Roman"/>
          <w:sz w:val="32"/>
          <w:szCs w:val="32"/>
        </w:rPr>
        <w:t>201</w:t>
      </w:r>
      <w:r>
        <w:rPr>
          <w:rFonts w:hint="eastAsia" w:ascii="仿宋" w:hAnsi="仿宋" w:eastAsia="仿宋" w:cs="Times New Roman"/>
          <w:sz w:val="32"/>
          <w:szCs w:val="32"/>
        </w:rPr>
        <w:t>8年度蔬菜科技推广工作经费的绩效评价工作，现将相关情况报告如下：</w:t>
      </w:r>
    </w:p>
    <w:p>
      <w:pPr>
        <w:spacing w:line="560" w:lineRule="exact"/>
        <w:ind w:firstLine="643" w:firstLineChars="200"/>
        <w:rPr>
          <w:rFonts w:ascii="黑体" w:hAnsi="黑体" w:eastAsia="黑体" w:cs="黑体"/>
          <w:b/>
          <w:sz w:val="32"/>
          <w:szCs w:val="32"/>
        </w:rPr>
      </w:pPr>
      <w:r>
        <w:rPr>
          <w:rFonts w:hint="eastAsia" w:ascii="黑体" w:hAnsi="黑体" w:eastAsia="黑体" w:cs="黑体"/>
          <w:b/>
          <w:sz w:val="32"/>
          <w:szCs w:val="32"/>
        </w:rPr>
        <w:t>一、基本情况</w:t>
      </w:r>
    </w:p>
    <w:p>
      <w:pPr>
        <w:spacing w:line="560" w:lineRule="exact"/>
        <w:ind w:firstLine="630" w:firstLineChars="196"/>
        <w:rPr>
          <w:rFonts w:ascii="楷体" w:hAnsi="楷体" w:eastAsia="楷体" w:cs="楷体_GB2312"/>
          <w:b/>
          <w:bCs/>
          <w:color w:val="000000"/>
          <w:sz w:val="32"/>
          <w:szCs w:val="32"/>
        </w:rPr>
      </w:pPr>
      <w:r>
        <w:rPr>
          <w:rFonts w:hint="eastAsia" w:ascii="楷体" w:hAnsi="楷体" w:eastAsia="楷体" w:cs="楷体_GB2312"/>
          <w:b/>
          <w:bCs/>
          <w:color w:val="000000"/>
          <w:sz w:val="32"/>
          <w:szCs w:val="32"/>
        </w:rPr>
        <w:t>（一）项目概况</w:t>
      </w:r>
    </w:p>
    <w:p>
      <w:pPr>
        <w:spacing w:line="560" w:lineRule="exact"/>
        <w:ind w:firstLine="627" w:firstLineChars="196"/>
        <w:rPr>
          <w:rFonts w:hint="eastAsia" w:ascii="仿宋" w:hAnsi="仿宋" w:eastAsia="仿宋"/>
          <w:sz w:val="32"/>
          <w:szCs w:val="32"/>
        </w:rPr>
        <w:sectPr>
          <w:footerReference r:id="rId3" w:type="default"/>
          <w:pgSz w:w="11906" w:h="16838"/>
          <w:pgMar w:top="1440" w:right="1800" w:bottom="1440" w:left="1800" w:header="851" w:footer="992" w:gutter="0"/>
          <w:cols w:space="425" w:num="1"/>
          <w:titlePg/>
          <w:docGrid w:type="lines" w:linePitch="312" w:charSpace="0"/>
        </w:sectPr>
      </w:pPr>
      <w:r>
        <w:rPr>
          <w:rFonts w:hint="eastAsia" w:ascii="仿宋" w:hAnsi="仿宋" w:eastAsia="仿宋"/>
          <w:sz w:val="32"/>
          <w:szCs w:val="32"/>
        </w:rPr>
        <w:t>2018年全县蔬菜种植面积11.4万亩，总产量29.2万吨，产值 6.3亿元，</w:t>
      </w:r>
      <w:r>
        <w:rPr>
          <w:rFonts w:hint="eastAsia" w:ascii="仿宋" w:hAnsi="仿宋" w:eastAsia="仿宋" w:cs="仿宋"/>
          <w:color w:val="000000"/>
          <w:sz w:val="32"/>
          <w:szCs w:val="32"/>
        </w:rPr>
        <w:t>是我县农业五大支柱产业之一，</w:t>
      </w:r>
      <w:r>
        <w:rPr>
          <w:rFonts w:hint="eastAsia" w:ascii="仿宋" w:hAnsi="仿宋" w:eastAsia="仿宋"/>
          <w:sz w:val="32"/>
          <w:szCs w:val="32"/>
        </w:rPr>
        <w:t>重要蔬菜产品平均自给率不仅达到了85%，有些产品还能占有怀化市场30%的份额，每天销往贵州市场2万多斤，年外销蔬菜18.6万吨，确保了我县及怀化市场蔬菜产品市场供应及价格稳定，蔬菜平均亩产值达0.8万元以上,最高的达3万元，蔬菜产业已成为我县农民主要的经济来源。蔬菜产品商品率达85%，优质率达90%，商品率、优质率逐年得到提高，蔬菜产业逐步出现规模化、标准化、生态化、品牌化、产业化的局</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面，但一些蔬菜品种抗性、产量在下降，需更新替换。</w:t>
      </w:r>
    </w:p>
    <w:p>
      <w:pPr>
        <w:spacing w:line="560" w:lineRule="exact"/>
        <w:ind w:firstLine="630" w:firstLineChars="196"/>
        <w:rPr>
          <w:rFonts w:ascii="楷体" w:hAnsi="楷体" w:eastAsia="楷体" w:cs="楷体_GB2312"/>
          <w:b/>
          <w:bCs/>
          <w:color w:val="000000"/>
          <w:sz w:val="32"/>
          <w:szCs w:val="32"/>
        </w:rPr>
      </w:pPr>
      <w:r>
        <w:rPr>
          <w:rFonts w:hint="eastAsia" w:ascii="楷体" w:hAnsi="楷体" w:eastAsia="楷体" w:cs="楷体_GB2312"/>
          <w:b/>
          <w:bCs/>
          <w:color w:val="000000"/>
          <w:sz w:val="32"/>
          <w:szCs w:val="32"/>
        </w:rPr>
        <w:t>（二）绩效目标</w:t>
      </w:r>
    </w:p>
    <w:p>
      <w:pPr>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大力发展蔬菜产业，磷选适合我县发展抗性好、品质优的新品种，提高我县蔬菜产业优质率，增加农民收入，满足人们对优质产品日益增长需求，促进农业供给侧的改革。</w:t>
      </w:r>
    </w:p>
    <w:p>
      <w:pPr>
        <w:spacing w:line="560" w:lineRule="exact"/>
        <w:ind w:firstLine="630" w:firstLineChars="196"/>
        <w:rPr>
          <w:rFonts w:ascii="楷体" w:hAnsi="楷体" w:eastAsia="楷体" w:cs="楷体_GB2312"/>
          <w:b/>
          <w:bCs/>
          <w:color w:val="000000"/>
          <w:sz w:val="32"/>
          <w:szCs w:val="32"/>
        </w:rPr>
      </w:pPr>
      <w:r>
        <w:rPr>
          <w:rFonts w:hint="eastAsia" w:ascii="楷体" w:hAnsi="楷体" w:eastAsia="楷体" w:cs="楷体_GB2312"/>
          <w:b/>
          <w:bCs/>
          <w:color w:val="000000"/>
          <w:sz w:val="32"/>
          <w:szCs w:val="32"/>
        </w:rPr>
        <w:t>（三）项目实施情况</w:t>
      </w:r>
    </w:p>
    <w:p>
      <w:pPr>
        <w:spacing w:line="560" w:lineRule="exact"/>
        <w:ind w:firstLine="803" w:firstLineChars="250"/>
        <w:rPr>
          <w:rFonts w:ascii="仿宋" w:hAnsi="仿宋" w:eastAsia="仿宋"/>
          <w:b/>
          <w:bCs/>
          <w:sz w:val="32"/>
          <w:szCs w:val="32"/>
        </w:rPr>
      </w:pPr>
      <w:r>
        <w:rPr>
          <w:rFonts w:hint="eastAsia" w:ascii="仿宋" w:hAnsi="仿宋" w:eastAsia="仿宋"/>
          <w:b/>
          <w:bCs/>
          <w:sz w:val="32"/>
          <w:szCs w:val="32"/>
        </w:rPr>
        <w:t>1、资金到位及使用情况</w:t>
      </w:r>
    </w:p>
    <w:p>
      <w:pPr>
        <w:spacing w:line="560" w:lineRule="exact"/>
        <w:ind w:firstLine="800" w:firstLineChars="250"/>
        <w:rPr>
          <w:rFonts w:ascii="仿宋" w:hAnsi="仿宋" w:eastAsia="仿宋" w:cs="仿宋"/>
          <w:bCs/>
          <w:sz w:val="32"/>
          <w:szCs w:val="32"/>
        </w:rPr>
      </w:pPr>
      <w:r>
        <w:rPr>
          <w:rFonts w:hint="eastAsia" w:ascii="仿宋" w:hAnsi="仿宋" w:eastAsia="仿宋"/>
          <w:sz w:val="32"/>
          <w:szCs w:val="32"/>
        </w:rPr>
        <w:t>2018年安排蔬菜科技推广工作经费8万元，资金到位率100%，到位及时率100%，主要用于</w:t>
      </w:r>
      <w:r>
        <w:rPr>
          <w:rFonts w:hint="eastAsia" w:ascii="仿宋" w:hAnsi="仿宋" w:eastAsia="仿宋" w:cs="仿宋"/>
          <w:bCs/>
          <w:sz w:val="32"/>
          <w:szCs w:val="32"/>
        </w:rPr>
        <w:t>蔬菜科技示范技术推广、人工工资等支出。</w:t>
      </w:r>
    </w:p>
    <w:p>
      <w:pPr>
        <w:spacing w:line="560" w:lineRule="exact"/>
        <w:ind w:firstLine="640" w:firstLineChars="200"/>
        <w:jc w:val="left"/>
        <w:rPr>
          <w:rFonts w:ascii="仿宋" w:hAnsi="仿宋" w:eastAsia="仿宋"/>
          <w:b/>
          <w:bCs/>
          <w:sz w:val="32"/>
          <w:szCs w:val="32"/>
        </w:rPr>
      </w:pPr>
      <w:r>
        <w:rPr>
          <w:rFonts w:hint="eastAsia" w:ascii="仿宋" w:hAnsi="仿宋" w:eastAsia="仿宋" w:cs="仿宋"/>
          <w:sz w:val="32"/>
          <w:szCs w:val="32"/>
        </w:rPr>
        <w:t>在芷江镇白溪坪村蔬菜科技推广基地上试验示范西兰花、茄子蔬菜新品种2个,生物农药品种1个; 通过新品种,新农药的试验示范后再推广到全县蔬菜基地上, 从而提高我县蔬菜品种的优质率,带动全县蔬菜种植户发展高产优质蔬菜品种,增加亩产量,提高市场供应量,保障蔬菜供应,增加农民收入,提升产品质量安全.保障市民"舌尖"上的安全。</w:t>
      </w:r>
      <w:r>
        <w:rPr>
          <w:rFonts w:hint="eastAsia" w:ascii="仿宋_GB2312" w:hAnsi="仿宋" w:eastAsia="仿宋_GB2312" w:cs="仿宋"/>
          <w:sz w:val="32"/>
          <w:szCs w:val="32"/>
        </w:rPr>
        <w:t xml:space="preserve">            </w:t>
      </w:r>
      <w:r>
        <w:rPr>
          <w:rFonts w:hint="eastAsia" w:ascii="仿宋" w:hAnsi="仿宋" w:eastAsia="仿宋" w:cs="仿宋"/>
          <w:sz w:val="32"/>
          <w:szCs w:val="32"/>
        </w:rPr>
        <w:tab/>
      </w:r>
      <w:r>
        <w:rPr>
          <w:rFonts w:hint="eastAsia" w:ascii="仿宋" w:hAnsi="仿宋" w:eastAsia="仿宋"/>
          <w:b/>
          <w:bCs/>
          <w:sz w:val="32"/>
          <w:szCs w:val="32"/>
        </w:rPr>
        <w:tab/>
      </w:r>
      <w:r>
        <w:rPr>
          <w:rFonts w:hint="eastAsia" w:ascii="仿宋" w:hAnsi="仿宋" w:eastAsia="仿宋"/>
          <w:b/>
          <w:bCs/>
          <w:sz w:val="32"/>
          <w:szCs w:val="32"/>
        </w:rPr>
        <w:t>2、资金管理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根据项目实施要求初步制定项目资金预算方案，由局领导班子开会讨论通过批准后确定资金使用方案，方案明确了专项资金支持</w:t>
      </w:r>
      <w:r>
        <w:rPr>
          <w:rFonts w:hint="eastAsia" w:ascii="仿宋" w:hAnsi="仿宋" w:eastAsia="仿宋" w:cs="Times New Roman"/>
          <w:sz w:val="32"/>
          <w:szCs w:val="32"/>
        </w:rPr>
        <w:t>的范围和资金支持额度，项目实施按预算计划进行，资金按规定的用途使用并达到预期目的。</w:t>
      </w:r>
    </w:p>
    <w:p>
      <w:pPr>
        <w:spacing w:line="560" w:lineRule="exact"/>
        <w:ind w:firstLine="643" w:firstLineChars="200"/>
        <w:rPr>
          <w:rFonts w:ascii="黑体" w:hAnsi="黑体" w:eastAsia="黑体" w:cs="黑体"/>
          <w:b/>
          <w:sz w:val="32"/>
          <w:szCs w:val="32"/>
        </w:rPr>
      </w:pPr>
      <w:r>
        <w:rPr>
          <w:rFonts w:hint="eastAsia" w:ascii="黑体" w:hAnsi="黑体" w:eastAsia="黑体" w:cs="黑体"/>
          <w:b/>
          <w:sz w:val="32"/>
          <w:szCs w:val="32"/>
        </w:rPr>
        <w:t>二、主要绩效</w:t>
      </w:r>
    </w:p>
    <w:p>
      <w:pPr>
        <w:spacing w:line="560" w:lineRule="exact"/>
        <w:ind w:firstLine="643" w:firstLineChars="200"/>
        <w:rPr>
          <w:rFonts w:ascii="楷体" w:hAnsi="楷体" w:eastAsia="楷体" w:cs="楷体_GB2312"/>
          <w:b/>
          <w:bCs/>
          <w:sz w:val="32"/>
          <w:szCs w:val="32"/>
        </w:rPr>
      </w:pPr>
      <w:r>
        <w:rPr>
          <w:rFonts w:hint="eastAsia" w:ascii="楷体" w:hAnsi="楷体" w:eastAsia="楷体" w:cs="楷体_GB2312"/>
          <w:b/>
          <w:bCs/>
          <w:sz w:val="32"/>
          <w:szCs w:val="32"/>
        </w:rPr>
        <w:t>（一）试验示范综合评价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试验示范品种辣博士2号，西红柿品种广红综合表现：商品性好、产量高，比参照品种高出18%，口感佳，抗性好，两个品种高抗青枯病，具有推广前景和种植效益，有机肥料试验表现为改善土壤结构，疏松，增加土壤有机质，肥效期长，能提高品种的商品性，有效降低枯萎病的发生，提高作物的抗逆性，生物农药枯草芽苞杆菌有效降低枯萎病的发生。</w:t>
      </w:r>
    </w:p>
    <w:p>
      <w:pPr>
        <w:spacing w:line="560" w:lineRule="exact"/>
        <w:ind w:firstLine="643" w:firstLineChars="200"/>
        <w:rPr>
          <w:rFonts w:ascii="楷体" w:hAnsi="楷体" w:eastAsia="楷体" w:cs="楷体_GB2312"/>
          <w:b/>
          <w:bCs/>
          <w:sz w:val="32"/>
          <w:szCs w:val="32"/>
        </w:rPr>
      </w:pPr>
      <w:r>
        <w:rPr>
          <w:rFonts w:hint="eastAsia" w:ascii="楷体" w:hAnsi="楷体" w:eastAsia="楷体" w:cs="楷体_GB2312"/>
          <w:b/>
          <w:bCs/>
          <w:sz w:val="32"/>
          <w:szCs w:val="32"/>
        </w:rPr>
        <w:t>（二）社会效益</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社会效益主要体现在：</w:t>
      </w:r>
      <w:r>
        <w:rPr>
          <w:rFonts w:hint="eastAsia" w:ascii="仿宋" w:hAnsi="仿宋" w:eastAsia="仿宋" w:cs="仿宋"/>
          <w:sz w:val="32"/>
          <w:szCs w:val="32"/>
        </w:rPr>
        <w:t>试验示范品种辣博士2号测算亩产6500斤，比参照品种高出1100斤，亩产值高出1716元，西红柿品种广红测算亩产8500斤，比参照品种高出2000斤，亩产值高出3000元，两个品种高抗青枯病，能减少损失10%，节约成本30元，商品性提高5%，具有推广前景和种植效益，生物农药枯草芽苞杆菌有效降低枯萎病的发生，降低农民损失30%，有效提高种植效益。</w:t>
      </w:r>
    </w:p>
    <w:p>
      <w:pPr>
        <w:numPr>
          <w:ilvl w:val="0"/>
          <w:numId w:val="1"/>
        </w:numPr>
        <w:spacing w:line="560" w:lineRule="exact"/>
        <w:ind w:firstLine="643" w:firstLineChars="200"/>
        <w:rPr>
          <w:rFonts w:ascii="楷体" w:hAnsi="楷体" w:eastAsia="楷体" w:cs="楷体_GB2312"/>
          <w:b/>
          <w:bCs/>
          <w:sz w:val="32"/>
          <w:szCs w:val="32"/>
        </w:rPr>
      </w:pPr>
      <w:r>
        <w:rPr>
          <w:rFonts w:hint="eastAsia" w:ascii="楷体" w:hAnsi="楷体" w:eastAsia="楷体" w:cs="楷体_GB2312"/>
          <w:b/>
          <w:bCs/>
          <w:sz w:val="32"/>
          <w:szCs w:val="32"/>
        </w:rPr>
        <w:t>生态效益</w:t>
      </w:r>
    </w:p>
    <w:p>
      <w:pPr>
        <w:spacing w:line="560" w:lineRule="exact"/>
        <w:rPr>
          <w:rFonts w:ascii="仿宋" w:hAnsi="仿宋" w:eastAsia="仿宋" w:cs="仿宋"/>
          <w:b/>
          <w:sz w:val="32"/>
          <w:szCs w:val="32"/>
        </w:rPr>
      </w:pPr>
      <w:r>
        <w:rPr>
          <w:rFonts w:hint="eastAsia" w:ascii="仿宋" w:hAnsi="仿宋" w:eastAsia="仿宋" w:cs="仿宋"/>
          <w:sz w:val="32"/>
          <w:szCs w:val="32"/>
        </w:rPr>
        <w:t xml:space="preserve">   有机肥料及生物农药的推广有效降低化肥及农药的使用量，改善土壤环境，降低化肥及农药的污染。</w:t>
      </w:r>
    </w:p>
    <w:p>
      <w:pPr>
        <w:spacing w:line="560" w:lineRule="exact"/>
        <w:ind w:firstLine="643" w:firstLineChars="200"/>
        <w:jc w:val="left"/>
        <w:rPr>
          <w:rFonts w:ascii="黑体" w:hAnsi="黑体" w:eastAsia="黑体" w:cs="黑体"/>
          <w:b/>
          <w:sz w:val="32"/>
          <w:szCs w:val="32"/>
        </w:rPr>
      </w:pPr>
      <w:r>
        <w:rPr>
          <w:rFonts w:hint="eastAsia" w:ascii="黑体" w:hAnsi="黑体" w:eastAsia="黑体" w:cs="黑体"/>
          <w:b/>
          <w:sz w:val="32"/>
          <w:szCs w:val="32"/>
        </w:rPr>
        <w:t>三、绩效评价工作情况</w:t>
      </w:r>
    </w:p>
    <w:p>
      <w:pPr>
        <w:spacing w:line="560" w:lineRule="exact"/>
        <w:ind w:firstLine="643" w:firstLineChars="200"/>
        <w:jc w:val="left"/>
        <w:rPr>
          <w:rFonts w:ascii="楷体" w:hAnsi="楷体" w:eastAsia="楷体" w:cs="楷体_GB2312"/>
          <w:b/>
          <w:bCs/>
          <w:sz w:val="32"/>
          <w:szCs w:val="32"/>
        </w:rPr>
      </w:pPr>
      <w:r>
        <w:rPr>
          <w:rFonts w:hint="eastAsia" w:ascii="楷体" w:hAnsi="楷体" w:eastAsia="楷体" w:cs="楷体_GB2312"/>
          <w:b/>
          <w:bCs/>
          <w:sz w:val="32"/>
          <w:szCs w:val="32"/>
        </w:rPr>
        <w:t>（一）绩效评价目的</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通过绩效评价，</w:t>
      </w:r>
      <w:r>
        <w:rPr>
          <w:rFonts w:hint="eastAsia" w:ascii="仿宋" w:hAnsi="仿宋" w:eastAsia="仿宋" w:cs="Times New Roman"/>
          <w:sz w:val="32"/>
          <w:szCs w:val="32"/>
        </w:rPr>
        <w:t>强化部门责任意识，</w:t>
      </w:r>
      <w:r>
        <w:rPr>
          <w:rFonts w:hint="eastAsia" w:ascii="仿宋" w:hAnsi="仿宋" w:eastAsia="仿宋"/>
          <w:sz w:val="32"/>
          <w:szCs w:val="32"/>
        </w:rPr>
        <w:t>总结资金管理的经验，发现资金管理中存在的问题，提高财政资金的使用效益，加强财政支出的规范化管理，健全和完善支出项目和资金使用管理办法，加强绩效目标管理和绩效考核工作提供重要的参考依据。</w:t>
      </w:r>
    </w:p>
    <w:p>
      <w:pPr>
        <w:numPr>
          <w:ilvl w:val="0"/>
          <w:numId w:val="2"/>
        </w:numPr>
        <w:spacing w:line="560" w:lineRule="exact"/>
        <w:ind w:firstLine="643" w:firstLineChars="200"/>
        <w:jc w:val="left"/>
        <w:rPr>
          <w:rFonts w:ascii="楷体" w:hAnsi="楷体" w:eastAsia="楷体" w:cs="楷体_GB2312"/>
          <w:b/>
          <w:bCs/>
          <w:sz w:val="32"/>
          <w:szCs w:val="32"/>
        </w:rPr>
      </w:pPr>
      <w:r>
        <w:rPr>
          <w:rFonts w:hint="eastAsia" w:ascii="楷体" w:hAnsi="楷体" w:eastAsia="楷体" w:cs="楷体_GB2312"/>
          <w:b/>
          <w:bCs/>
          <w:sz w:val="32"/>
          <w:szCs w:val="32"/>
        </w:rPr>
        <w:t>评价内容及方法</w:t>
      </w:r>
    </w:p>
    <w:p>
      <w:pPr>
        <w:spacing w:line="560" w:lineRule="exact"/>
        <w:rPr>
          <w:rFonts w:ascii="仿宋" w:hAnsi="仿宋" w:eastAsia="仿宋"/>
          <w:color w:val="000000"/>
          <w:sz w:val="32"/>
          <w:szCs w:val="32"/>
        </w:rPr>
      </w:pPr>
      <w:r>
        <w:rPr>
          <w:rFonts w:hint="eastAsia" w:ascii="仿宋" w:hAnsi="仿宋" w:eastAsia="仿宋"/>
          <w:color w:val="000000"/>
          <w:sz w:val="32"/>
          <w:szCs w:val="32"/>
        </w:rPr>
        <w:t>内容：</w:t>
      </w:r>
    </w:p>
    <w:p>
      <w:pPr>
        <w:spacing w:line="560" w:lineRule="exact"/>
        <w:ind w:firstLine="643" w:firstLineChars="200"/>
        <w:rPr>
          <w:rFonts w:ascii="仿宋_GB2312" w:hAnsi="仿宋" w:eastAsia="仿宋_GB2312"/>
          <w:color w:val="000000"/>
          <w:sz w:val="32"/>
          <w:szCs w:val="32"/>
        </w:rPr>
      </w:pPr>
      <w:r>
        <w:rPr>
          <w:rFonts w:hint="eastAsia" w:ascii="仿宋" w:hAnsi="仿宋" w:eastAsia="仿宋"/>
          <w:b/>
          <w:bCs/>
          <w:color w:val="000000"/>
          <w:sz w:val="32"/>
          <w:szCs w:val="32"/>
        </w:rPr>
        <w:t>1、专项资金政策情况。</w:t>
      </w:r>
      <w:r>
        <w:rPr>
          <w:rFonts w:hint="eastAsia" w:ascii="仿宋" w:hAnsi="仿宋" w:eastAsia="仿宋"/>
          <w:color w:val="000000"/>
          <w:sz w:val="32"/>
          <w:szCs w:val="32"/>
        </w:rPr>
        <w:t>包括设立专项资金的政策依据是否充分、政策目标设置是否科学、目标是否如期完成、政策实施的环境和条件是否发生了变化；是否出现了适用范围相似或相近的政策、可否归并或整合。</w:t>
      </w:r>
    </w:p>
    <w:p>
      <w:pPr>
        <w:spacing w:line="56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2、专项</w:t>
      </w:r>
      <w:r>
        <w:rPr>
          <w:rFonts w:ascii="仿宋" w:hAnsi="仿宋" w:eastAsia="仿宋"/>
          <w:b/>
          <w:bCs/>
          <w:color w:val="000000"/>
          <w:sz w:val="32"/>
          <w:szCs w:val="32"/>
        </w:rPr>
        <w:t>资金管理</w:t>
      </w:r>
      <w:r>
        <w:rPr>
          <w:rFonts w:hint="eastAsia" w:ascii="仿宋" w:hAnsi="仿宋" w:eastAsia="仿宋"/>
          <w:b/>
          <w:bCs/>
          <w:color w:val="000000"/>
          <w:sz w:val="32"/>
          <w:szCs w:val="32"/>
        </w:rPr>
        <w:t>情况。</w:t>
      </w:r>
      <w:r>
        <w:rPr>
          <w:rFonts w:hint="eastAsia" w:ascii="仿宋" w:hAnsi="仿宋" w:eastAsia="仿宋"/>
          <w:color w:val="000000"/>
          <w:sz w:val="32"/>
          <w:szCs w:val="32"/>
        </w:rPr>
        <w:t>包括</w:t>
      </w:r>
      <w:r>
        <w:rPr>
          <w:rFonts w:ascii="仿宋" w:hAnsi="仿宋" w:eastAsia="仿宋"/>
          <w:color w:val="000000"/>
          <w:sz w:val="32"/>
          <w:szCs w:val="32"/>
        </w:rPr>
        <w:t>专项资金管理办法是否</w:t>
      </w:r>
      <w:r>
        <w:rPr>
          <w:rFonts w:hint="eastAsia" w:ascii="仿宋" w:hAnsi="仿宋" w:eastAsia="仿宋"/>
          <w:color w:val="000000"/>
          <w:sz w:val="32"/>
          <w:szCs w:val="32"/>
        </w:rPr>
        <w:t>为</w:t>
      </w:r>
      <w:r>
        <w:rPr>
          <w:rFonts w:ascii="仿宋" w:hAnsi="仿宋" w:eastAsia="仿宋"/>
          <w:color w:val="000000"/>
          <w:sz w:val="32"/>
          <w:szCs w:val="32"/>
        </w:rPr>
        <w:t>规范</w:t>
      </w:r>
      <w:r>
        <w:rPr>
          <w:rFonts w:hint="eastAsia" w:ascii="仿宋" w:hAnsi="仿宋" w:eastAsia="仿宋"/>
          <w:color w:val="000000"/>
          <w:sz w:val="32"/>
          <w:szCs w:val="32"/>
        </w:rPr>
        <w:t>性文件；资金主管部门内部是否实现了统一管理，是否建立了项目库，项目申报是否规范，项目确定是否实行统一申报、专家评审等。</w:t>
      </w:r>
    </w:p>
    <w:p>
      <w:pPr>
        <w:spacing w:line="56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3、</w:t>
      </w:r>
      <w:r>
        <w:rPr>
          <w:rFonts w:ascii="仿宋" w:hAnsi="仿宋" w:eastAsia="仿宋"/>
          <w:b/>
          <w:bCs/>
          <w:color w:val="000000"/>
          <w:sz w:val="32"/>
          <w:szCs w:val="32"/>
        </w:rPr>
        <w:t>专项资金</w:t>
      </w:r>
      <w:r>
        <w:rPr>
          <w:rFonts w:hint="eastAsia" w:ascii="仿宋" w:hAnsi="仿宋" w:eastAsia="仿宋"/>
          <w:b/>
          <w:bCs/>
          <w:color w:val="000000"/>
          <w:sz w:val="32"/>
          <w:szCs w:val="32"/>
        </w:rPr>
        <w:t>安排</w:t>
      </w:r>
      <w:r>
        <w:rPr>
          <w:rFonts w:ascii="仿宋" w:hAnsi="仿宋" w:eastAsia="仿宋"/>
          <w:b/>
          <w:bCs/>
          <w:color w:val="000000"/>
          <w:sz w:val="32"/>
          <w:szCs w:val="32"/>
        </w:rPr>
        <w:t>情况</w:t>
      </w:r>
      <w:r>
        <w:rPr>
          <w:rFonts w:hint="eastAsia" w:ascii="仿宋" w:hAnsi="仿宋" w:eastAsia="仿宋"/>
          <w:b/>
          <w:bCs/>
          <w:color w:val="000000"/>
          <w:sz w:val="32"/>
          <w:szCs w:val="32"/>
        </w:rPr>
        <w:t>。</w:t>
      </w:r>
      <w:r>
        <w:rPr>
          <w:rFonts w:hint="eastAsia" w:ascii="仿宋" w:hAnsi="仿宋" w:eastAsia="仿宋"/>
          <w:color w:val="000000"/>
          <w:sz w:val="32"/>
          <w:szCs w:val="32"/>
        </w:rPr>
        <w:t>包括资金分配是否“散、小、乱”，是否有结余、挪用等情况；财政部门是否及时拨付资金、项目单位的相关配套资金是否按时到位。</w:t>
      </w:r>
    </w:p>
    <w:p>
      <w:pPr>
        <w:spacing w:line="56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4、</w:t>
      </w:r>
      <w:r>
        <w:rPr>
          <w:rFonts w:ascii="仿宋" w:hAnsi="仿宋" w:eastAsia="仿宋"/>
          <w:b/>
          <w:bCs/>
          <w:color w:val="000000"/>
          <w:sz w:val="32"/>
          <w:szCs w:val="32"/>
        </w:rPr>
        <w:t>专项资金</w:t>
      </w:r>
      <w:r>
        <w:rPr>
          <w:rFonts w:hint="eastAsia" w:ascii="仿宋" w:hAnsi="仿宋" w:eastAsia="仿宋"/>
          <w:b/>
          <w:bCs/>
          <w:color w:val="000000"/>
          <w:sz w:val="32"/>
          <w:szCs w:val="32"/>
        </w:rPr>
        <w:t>使用</w:t>
      </w:r>
      <w:r>
        <w:rPr>
          <w:rFonts w:ascii="仿宋" w:hAnsi="仿宋" w:eastAsia="仿宋"/>
          <w:b/>
          <w:bCs/>
          <w:color w:val="000000"/>
          <w:sz w:val="32"/>
          <w:szCs w:val="32"/>
        </w:rPr>
        <w:t>情况</w:t>
      </w:r>
      <w:r>
        <w:rPr>
          <w:rFonts w:hint="eastAsia" w:ascii="仿宋" w:hAnsi="仿宋" w:eastAsia="仿宋"/>
          <w:b/>
          <w:bCs/>
          <w:color w:val="000000"/>
          <w:sz w:val="32"/>
          <w:szCs w:val="32"/>
        </w:rPr>
        <w:t>。</w:t>
      </w:r>
      <w:r>
        <w:rPr>
          <w:rFonts w:hint="eastAsia" w:ascii="仿宋" w:hAnsi="仿宋" w:eastAsia="仿宋"/>
          <w:color w:val="000000"/>
          <w:sz w:val="32"/>
          <w:szCs w:val="32"/>
        </w:rPr>
        <w:t>包括资金使用单位财务制度是否健全、管理是否规范，是否按时、按质、按量完成项目任务，有无浪费或套取资金等行为。</w:t>
      </w:r>
    </w:p>
    <w:p>
      <w:pPr>
        <w:spacing w:line="560" w:lineRule="exact"/>
        <w:ind w:firstLine="643" w:firstLineChars="200"/>
        <w:rPr>
          <w:rFonts w:ascii="仿宋" w:hAnsi="仿宋" w:eastAsia="仿宋" w:cs="仿宋"/>
          <w:sz w:val="32"/>
          <w:szCs w:val="32"/>
        </w:rPr>
      </w:pPr>
      <w:r>
        <w:rPr>
          <w:rFonts w:hint="eastAsia" w:ascii="仿宋" w:hAnsi="仿宋" w:eastAsia="仿宋"/>
          <w:b/>
          <w:bCs/>
          <w:color w:val="000000"/>
          <w:sz w:val="32"/>
          <w:szCs w:val="32"/>
        </w:rPr>
        <w:t>5、专项资金绩效情况。</w:t>
      </w:r>
      <w:r>
        <w:rPr>
          <w:rFonts w:hint="eastAsia" w:ascii="仿宋" w:hAnsi="仿宋" w:eastAsia="仿宋"/>
          <w:color w:val="000000"/>
          <w:sz w:val="32"/>
          <w:szCs w:val="32"/>
        </w:rPr>
        <w:t>是否完成了预算编制时提出的绩效目标，专项的实施效果如何，社会、经济、生态效益如何。</w:t>
      </w:r>
    </w:p>
    <w:p>
      <w:pPr>
        <w:spacing w:line="560" w:lineRule="exact"/>
        <w:rPr>
          <w:rFonts w:ascii="仿宋" w:hAnsi="仿宋" w:eastAsia="仿宋" w:cs="仿宋"/>
          <w:sz w:val="32"/>
          <w:szCs w:val="32"/>
        </w:rPr>
      </w:pPr>
      <w:r>
        <w:rPr>
          <w:rFonts w:hint="eastAsia" w:ascii="仿宋" w:hAnsi="仿宋" w:eastAsia="仿宋" w:cs="仿宋"/>
          <w:sz w:val="32"/>
          <w:szCs w:val="32"/>
        </w:rPr>
        <w:t>方法：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及时成立绩效评价工作领导小组，落实层层责任，按照为做好蔬菜科技推广经费资金绩效评价工作，按照评价内容：专项资金政策情况、专项资金管理情况、专项资金安排情况、专项资金使用情况、专项资金绩效情况制定了评价计划和实施方案，安排部署了绩效评价工作。分阶段组织实施：第一阶段，对2018年蔬菜科技推广经费资金进行自查；第二阶段，对资金投入、使用、绩效进行汇总；第三阶段，按照绩效评价指标进行自评；第四阶段，撰写绩效评价报告。选用的评价指标：具体指标包括项目组织管理、项目资金使用管理及项目社会效益等三部分。</w:t>
      </w:r>
    </w:p>
    <w:p>
      <w:pPr>
        <w:spacing w:line="560" w:lineRule="exact"/>
        <w:ind w:firstLine="643" w:firstLineChars="200"/>
        <w:rPr>
          <w:rFonts w:ascii="黑体" w:hAnsi="黑体" w:eastAsia="黑体" w:cs="黑体"/>
          <w:b/>
          <w:sz w:val="32"/>
          <w:szCs w:val="32"/>
        </w:rPr>
      </w:pPr>
      <w:r>
        <w:rPr>
          <w:rFonts w:hint="eastAsia" w:ascii="黑体" w:hAnsi="黑体" w:eastAsia="黑体" w:cs="黑体"/>
          <w:b/>
          <w:sz w:val="32"/>
          <w:szCs w:val="32"/>
        </w:rPr>
        <w:t>四、评价结论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通过对2018年</w:t>
      </w:r>
      <w:r>
        <w:rPr>
          <w:rFonts w:hint="eastAsia" w:ascii="仿宋" w:hAnsi="仿宋" w:eastAsia="仿宋" w:cs="仿宋"/>
          <w:bCs/>
          <w:sz w:val="32"/>
          <w:szCs w:val="32"/>
        </w:rPr>
        <w:t>蔬菜推广经费</w:t>
      </w:r>
      <w:r>
        <w:rPr>
          <w:rFonts w:hint="eastAsia" w:ascii="仿宋" w:hAnsi="仿宋" w:eastAsia="仿宋" w:cs="仿宋"/>
          <w:sz w:val="32"/>
          <w:szCs w:val="32"/>
        </w:rPr>
        <w:t>绩效评价内容和指标，结合现场勘验、检查、核实的情况，自评如下：1、项目立项规范，绩效目标合理，绩效指标明确；2、资金到位及时；3、组织管理到位，成立了项目领导小组，配备了专业管理人员，建立并落实各项制度；4、项目按时、按质、按量完成，产生了良好的经济效益和社会效益，受到群众好评。自评得分92分。</w:t>
      </w:r>
    </w:p>
    <w:p>
      <w:pPr>
        <w:spacing w:line="560" w:lineRule="exact"/>
        <w:ind w:firstLine="643" w:firstLineChars="200"/>
        <w:rPr>
          <w:rFonts w:ascii="黑体" w:hAnsi="黑体" w:eastAsia="黑体" w:cs="黑体"/>
          <w:b/>
          <w:sz w:val="32"/>
          <w:szCs w:val="32"/>
        </w:rPr>
      </w:pPr>
      <w:r>
        <w:rPr>
          <w:rFonts w:hint="eastAsia" w:ascii="黑体" w:hAnsi="黑体" w:eastAsia="黑体" w:cs="黑体"/>
          <w:b/>
          <w:sz w:val="32"/>
          <w:szCs w:val="32"/>
        </w:rPr>
        <w:t>五、存在的问题及建议</w:t>
      </w:r>
    </w:p>
    <w:p>
      <w:pPr>
        <w:spacing w:line="560" w:lineRule="exact"/>
        <w:rPr>
          <w:rFonts w:ascii="仿宋" w:hAnsi="仿宋" w:eastAsia="仿宋" w:cs="仿宋"/>
          <w:sz w:val="32"/>
          <w:szCs w:val="32"/>
        </w:rPr>
      </w:pPr>
      <w:r>
        <w:rPr>
          <w:rFonts w:hint="eastAsia" w:ascii="仿宋" w:hAnsi="仿宋" w:eastAsia="仿宋" w:cs="仿宋"/>
          <w:sz w:val="32"/>
          <w:szCs w:val="32"/>
        </w:rPr>
        <w:t>问题：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1、专项资金较少，建设规模不大，示范效果有限；2、专项资金投资不连续,不能产生持续效果速推广。</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建议：</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1、加大财政投资力度，扩大建设规模。2、蔬菜是我县五大支柱产业之一,农民脱贫致富经济来源,继续重视蔬菜产业,加大投入,把蔬菜科技推广经费纳入财</w:t>
      </w:r>
    </w:p>
    <w:p>
      <w:pPr>
        <w:spacing w:line="560" w:lineRule="exact"/>
        <w:ind w:firstLine="3200" w:firstLineChars="1000"/>
        <w:rPr>
          <w:rFonts w:ascii="仿宋" w:hAnsi="仿宋" w:eastAsia="仿宋" w:cs="Times New Roman"/>
          <w:sz w:val="32"/>
          <w:szCs w:val="32"/>
        </w:rPr>
      </w:pPr>
      <w:r>
        <w:rPr>
          <w:rFonts w:hint="eastAsia" w:ascii="仿宋" w:hAnsi="仿宋" w:eastAsia="仿宋" w:cs="Times New Roman"/>
          <w:sz w:val="32"/>
          <w:szCs w:val="32"/>
        </w:rPr>
        <w:t>芷江侗族自治县农业农村局</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2019年3月27日</w:t>
      </w:r>
    </w:p>
    <w:p>
      <w:pPr>
        <w:spacing w:line="480" w:lineRule="exact"/>
        <w:rPr>
          <w:rFonts w:ascii="仿宋_GB2312" w:hAnsi="Times New Roman" w:eastAsia="仿宋_GB2312" w:cs="Times New Roman"/>
          <w:sz w:val="32"/>
          <w:szCs w:val="32"/>
        </w:rPr>
      </w:pPr>
    </w:p>
    <w:tbl>
      <w:tblPr>
        <w:tblStyle w:val="5"/>
        <w:tblW w:w="8325" w:type="dxa"/>
        <w:tblInd w:w="-17" w:type="dxa"/>
        <w:tblLayout w:type="fixed"/>
        <w:tblCellMar>
          <w:top w:w="15" w:type="dxa"/>
          <w:left w:w="15" w:type="dxa"/>
          <w:bottom w:w="15" w:type="dxa"/>
          <w:right w:w="15" w:type="dxa"/>
        </w:tblCellMar>
      </w:tblPr>
      <w:tblGrid>
        <w:gridCol w:w="307"/>
        <w:gridCol w:w="9"/>
        <w:gridCol w:w="387"/>
        <w:gridCol w:w="38"/>
        <w:gridCol w:w="284"/>
        <w:gridCol w:w="425"/>
        <w:gridCol w:w="366"/>
        <w:gridCol w:w="390"/>
        <w:gridCol w:w="2040"/>
        <w:gridCol w:w="2805"/>
        <w:gridCol w:w="569"/>
        <w:gridCol w:w="705"/>
      </w:tblGrid>
      <w:tr>
        <w:tblPrEx>
          <w:tblLayout w:type="fixed"/>
          <w:tblCellMar>
            <w:top w:w="15" w:type="dxa"/>
            <w:left w:w="15" w:type="dxa"/>
            <w:bottom w:w="15" w:type="dxa"/>
            <w:right w:w="15" w:type="dxa"/>
          </w:tblCellMar>
        </w:tblPrEx>
        <w:trPr>
          <w:trHeight w:val="585" w:hRule="atLeast"/>
        </w:trPr>
        <w:tc>
          <w:tcPr>
            <w:tcW w:w="8325" w:type="dxa"/>
            <w:gridSpan w:val="12"/>
            <w:vAlign w:val="center"/>
          </w:tcPr>
          <w:p>
            <w:pPr>
              <w:widowControl/>
              <w:jc w:val="center"/>
              <w:textAlignment w:val="center"/>
              <w:rPr>
                <w:rFonts w:ascii="宋体" w:hAnsi="宋体" w:cs="宋体"/>
                <w:b/>
                <w:color w:val="000000"/>
                <w:kern w:val="0"/>
                <w:sz w:val="36"/>
                <w:szCs w:val="36"/>
              </w:rPr>
            </w:pPr>
            <w:bookmarkStart w:id="0" w:name="_GoBack"/>
            <w:r>
              <w:rPr>
                <w:rFonts w:hint="eastAsia" w:ascii="宋体" w:hAnsi="宋体" w:cs="宋体"/>
                <w:b/>
                <w:color w:val="000000"/>
                <w:kern w:val="0"/>
                <w:sz w:val="36"/>
                <w:szCs w:val="36"/>
              </w:rPr>
              <w:t>芷江侗族自治县农业农村局2018年蔬菜推广专项资金绩效评价指标</w:t>
            </w:r>
          </w:p>
        </w:tc>
      </w:tr>
      <w:bookmarkEnd w:id="0"/>
      <w:tr>
        <w:tblPrEx>
          <w:tblLayout w:type="fixed"/>
          <w:tblCellMar>
            <w:top w:w="15" w:type="dxa"/>
            <w:left w:w="15" w:type="dxa"/>
            <w:bottom w:w="15" w:type="dxa"/>
            <w:right w:w="15" w:type="dxa"/>
          </w:tblCellMar>
        </w:tblPrEx>
        <w:trPr>
          <w:trHeight w:val="435" w:hRule="atLeast"/>
        </w:trPr>
        <w:tc>
          <w:tcPr>
            <w:tcW w:w="8325" w:type="dxa"/>
            <w:gridSpan w:val="12"/>
            <w:tcBorders>
              <w:bottom w:val="single" w:color="000000" w:sz="4" w:space="0"/>
            </w:tcBorders>
            <w:vAlign w:val="center"/>
          </w:tcPr>
          <w:p>
            <w:pPr>
              <w:widowControl/>
              <w:jc w:val="left"/>
              <w:textAlignment w:val="center"/>
              <w:rPr>
                <w:rFonts w:ascii="宋体" w:hAnsi="宋体" w:cs="宋体"/>
                <w:b/>
                <w:color w:val="000000"/>
                <w:kern w:val="0"/>
                <w:sz w:val="24"/>
                <w:szCs w:val="24"/>
              </w:rPr>
            </w:pPr>
          </w:p>
          <w:p>
            <w:pPr>
              <w:widowControl/>
              <w:jc w:val="left"/>
              <w:textAlignment w:val="center"/>
              <w:rPr>
                <w:rFonts w:ascii="宋体" w:hAnsi="宋体" w:cs="宋体"/>
                <w:b/>
                <w:color w:val="000000"/>
                <w:kern w:val="0"/>
                <w:sz w:val="24"/>
                <w:szCs w:val="24"/>
              </w:rPr>
            </w:pPr>
            <w:r>
              <w:rPr>
                <w:rFonts w:hint="eastAsia" w:ascii="宋体" w:hAnsi="宋体" w:cs="宋体"/>
                <w:b/>
                <w:color w:val="000000"/>
                <w:kern w:val="0"/>
                <w:sz w:val="24"/>
                <w:szCs w:val="24"/>
              </w:rPr>
              <w:t>填报单位：芷江侗族自治县农业农村局</w:t>
            </w:r>
          </w:p>
        </w:tc>
      </w:tr>
      <w:tr>
        <w:tblPrEx>
          <w:tblLayout w:type="fixed"/>
          <w:tblCellMar>
            <w:top w:w="15" w:type="dxa"/>
            <w:left w:w="15" w:type="dxa"/>
            <w:bottom w:w="15" w:type="dxa"/>
            <w:right w:w="15" w:type="dxa"/>
          </w:tblCellMar>
        </w:tblPrEx>
        <w:trPr>
          <w:trHeight w:val="915" w:hRule="atLeast"/>
        </w:trPr>
        <w:tc>
          <w:tcPr>
            <w:tcW w:w="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一级指标</w:t>
            </w:r>
          </w:p>
        </w:tc>
        <w:tc>
          <w:tcPr>
            <w:tcW w:w="39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分值</w:t>
            </w:r>
          </w:p>
        </w:tc>
        <w:tc>
          <w:tcPr>
            <w:tcW w:w="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二级指标</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分值</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三级指标</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分值</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指标解释</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评价标准</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评分</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备注</w:t>
            </w:r>
          </w:p>
        </w:tc>
      </w:tr>
      <w:tr>
        <w:tblPrEx>
          <w:tblLayout w:type="fixed"/>
          <w:tblCellMar>
            <w:top w:w="15" w:type="dxa"/>
            <w:left w:w="15" w:type="dxa"/>
            <w:bottom w:w="15" w:type="dxa"/>
            <w:right w:w="15" w:type="dxa"/>
          </w:tblCellMar>
        </w:tblPrEx>
        <w:trPr>
          <w:trHeight w:val="1110" w:hRule="atLeast"/>
        </w:trPr>
        <w:tc>
          <w:tcPr>
            <w:tcW w:w="30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投入</w:t>
            </w:r>
          </w:p>
        </w:tc>
        <w:tc>
          <w:tcPr>
            <w:tcW w:w="396"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3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项目立项</w:t>
            </w:r>
            <w:r>
              <w:rPr>
                <w:rFonts w:hint="eastAsia" w:ascii="宋体" w:hAnsi="宋体" w:cs="宋体"/>
                <w:color w:val="000000"/>
                <w:kern w:val="0"/>
                <w:sz w:val="18"/>
                <w:szCs w:val="18"/>
              </w:rPr>
              <w:drawing>
                <wp:inline distT="0" distB="0" distL="114300" distR="114300">
                  <wp:extent cx="9525" cy="9525"/>
                  <wp:effectExtent l="0" t="0" r="0" b="0"/>
                  <wp:docPr id="1" name="图片 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63"/>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rPr>
              <w:t xml:space="preserve"> </w:t>
            </w:r>
            <w:r>
              <w:rPr>
                <w:rFonts w:hint="eastAsia" w:ascii="宋体" w:hAnsi="宋体" w:cs="宋体"/>
                <w:color w:val="000000"/>
                <w:kern w:val="0"/>
                <w:sz w:val="18"/>
                <w:szCs w:val="18"/>
              </w:rPr>
              <w:drawing>
                <wp:inline distT="0" distB="0" distL="114300" distR="114300">
                  <wp:extent cx="9525" cy="9525"/>
                  <wp:effectExtent l="0" t="0" r="0" b="0"/>
                  <wp:docPr id="6" name="图片 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63"/>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rPr>
              <w:drawing>
                <wp:inline distT="0" distB="0" distL="114300" distR="114300">
                  <wp:extent cx="9525" cy="9525"/>
                  <wp:effectExtent l="0" t="0" r="0" b="0"/>
                  <wp:docPr id="7" name="图片 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63"/>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rPr>
              <w:drawing>
                <wp:inline distT="0" distB="0" distL="114300" distR="114300">
                  <wp:extent cx="9525" cy="9525"/>
                  <wp:effectExtent l="0" t="0" r="0" b="0"/>
                  <wp:docPr id="8" name="图片 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63"/>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rPr>
              <w:drawing>
                <wp:inline distT="0" distB="0" distL="114300" distR="114300">
                  <wp:extent cx="9525" cy="9525"/>
                  <wp:effectExtent l="0" t="0" r="0" b="0"/>
                  <wp:docPr id="3" name="图片 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3"/>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rPr>
              <w:drawing>
                <wp:inline distT="0" distB="0" distL="114300" distR="114300">
                  <wp:extent cx="9525" cy="9525"/>
                  <wp:effectExtent l="0" t="0" r="0" b="0"/>
                  <wp:docPr id="4" name="图片 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3"/>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rPr>
              <w:drawing>
                <wp:inline distT="0" distB="0" distL="114300" distR="114300">
                  <wp:extent cx="9525" cy="9525"/>
                  <wp:effectExtent l="0" t="0" r="0" b="0"/>
                  <wp:docPr id="5" name="图片 7"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3"/>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rPr>
              <w:drawing>
                <wp:inline distT="0" distB="0" distL="114300" distR="114300">
                  <wp:extent cx="9525" cy="9525"/>
                  <wp:effectExtent l="0" t="0" r="0" b="0"/>
                  <wp:docPr id="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63"/>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项目立项规范性</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项目的申请、设立过程是否符合相关要求，用以反映和考核项目立项的规范情况。</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1035" w:hRule="atLeast"/>
        </w:trPr>
        <w:tc>
          <w:tcPr>
            <w:tcW w:w="307"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20"/>
                <w:szCs w:val="20"/>
              </w:rPr>
            </w:pPr>
          </w:p>
        </w:tc>
        <w:tc>
          <w:tcPr>
            <w:tcW w:w="396" w:type="dxa"/>
            <w:gridSpan w:val="2"/>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绩效目标合理性</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项目所设定的绩效目标是否依据充分，是否符合客观实际，用以反映和考核项目绩效目标与项目实施的相符情况。</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①符合国家相关法律法规、国民经济发展规划和党委政府决策记1分，否则不记分；             ②与项目实施单位或委托单位职责密切相关记1分，否则不记分；                              ③项目能促进事业发展所需要记1分，否则不记分；                                     ④项目预期产出效益和效果符合正常的业绩水平记1分，否则不记分。</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1095" w:hRule="atLeast"/>
        </w:trPr>
        <w:tc>
          <w:tcPr>
            <w:tcW w:w="307"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20"/>
                <w:szCs w:val="20"/>
              </w:rPr>
            </w:pPr>
          </w:p>
        </w:tc>
        <w:tc>
          <w:tcPr>
            <w:tcW w:w="396" w:type="dxa"/>
            <w:gridSpan w:val="2"/>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绩效指标明确性</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依据绩效目标设定的绩效指标是否清晰、细化、可衡量等，用以反映和考核项目绩效目标的明细化情况。</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795" w:hRule="atLeast"/>
        </w:trPr>
        <w:tc>
          <w:tcPr>
            <w:tcW w:w="307"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20"/>
                <w:szCs w:val="20"/>
              </w:rPr>
            </w:pPr>
          </w:p>
        </w:tc>
        <w:tc>
          <w:tcPr>
            <w:tcW w:w="396" w:type="dxa"/>
            <w:gridSpan w:val="2"/>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22"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资金落实</w:t>
            </w:r>
          </w:p>
        </w:tc>
        <w:tc>
          <w:tcPr>
            <w:tcW w:w="42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资金到位率</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资金到位率＝（实际到位资金/计划投入资金）×100%</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资金足额到位记5分，未足额到位按比例计分。</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795" w:hRule="atLeast"/>
        </w:trPr>
        <w:tc>
          <w:tcPr>
            <w:tcW w:w="307"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20"/>
                <w:szCs w:val="20"/>
              </w:rPr>
            </w:pPr>
          </w:p>
        </w:tc>
        <w:tc>
          <w:tcPr>
            <w:tcW w:w="396" w:type="dxa"/>
            <w:gridSpan w:val="2"/>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22" w:type="dxa"/>
            <w:gridSpan w:val="2"/>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425"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到位及时率</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到位及时率＝（及时到位资金/应到位资金）×100%</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资金按时到位记5分，未按时按比例计分。</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945" w:hRule="atLeast"/>
        </w:trPr>
        <w:tc>
          <w:tcPr>
            <w:tcW w:w="30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过程</w:t>
            </w:r>
          </w:p>
        </w:tc>
        <w:tc>
          <w:tcPr>
            <w:tcW w:w="396"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3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业务管理</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项目实施单位的业务管理制度是否健全，用以反映和考核业务管理制度对项目顺利实施的保障情况。</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①已制定或具有相应的业务管理制度记2.5分， 不制定不记分；                                        ②业务管理制度合法、合规、完整记2.5分；不合法、不合规、不完整不记分。</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1140" w:hRule="atLeast"/>
        </w:trPr>
        <w:tc>
          <w:tcPr>
            <w:tcW w:w="307"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20"/>
                <w:szCs w:val="20"/>
              </w:rPr>
            </w:pPr>
          </w:p>
        </w:tc>
        <w:tc>
          <w:tcPr>
            <w:tcW w:w="396" w:type="dxa"/>
            <w:gridSpan w:val="2"/>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制度执行有效性</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项目实施是否符合相关业务管理规定，用以反映和考核业务管理制度的有效执行情况。</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遵守相关法律法规和业务管理规定记5分，否则不记分。</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1170" w:hRule="atLeast"/>
        </w:trPr>
        <w:tc>
          <w:tcPr>
            <w:tcW w:w="307"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20"/>
                <w:szCs w:val="20"/>
              </w:rPr>
            </w:pPr>
          </w:p>
        </w:tc>
        <w:tc>
          <w:tcPr>
            <w:tcW w:w="396" w:type="dxa"/>
            <w:gridSpan w:val="2"/>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项目质量可控性</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项目实施单位是否为达到项目质量要求而采取了必需的措施，用以反映和考核项目实施单位对项目质量的控制情况。</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①制定或有相应的项目质量要求或标准记2.5分，否则不记分；                                          ②采取了相应的项目质量检查、验收等必需的控制措施或手段记2.5分，否则不记分。</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1035" w:hRule="atLeast"/>
        </w:trPr>
        <w:tc>
          <w:tcPr>
            <w:tcW w:w="307"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20"/>
                <w:szCs w:val="20"/>
              </w:rPr>
            </w:pPr>
          </w:p>
        </w:tc>
        <w:tc>
          <w:tcPr>
            <w:tcW w:w="396" w:type="dxa"/>
            <w:gridSpan w:val="2"/>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22"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财务管理</w:t>
            </w:r>
          </w:p>
        </w:tc>
        <w:tc>
          <w:tcPr>
            <w:tcW w:w="42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项目实施单位的财务制度是否健全，用以反映和考核财务管理制度对资金规范、安全运行的保障情况。</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①已制定或具有相应的项目资金管理办法记2.5分，否则不记分；                                           ②项目资金管理办法符合相关财务会计制定记2.5分，否则不记分。</w:t>
            </w:r>
          </w:p>
        </w:tc>
        <w:tc>
          <w:tcPr>
            <w:tcW w:w="569"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705"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2545" w:hRule="atLeast"/>
        </w:trPr>
        <w:tc>
          <w:tcPr>
            <w:tcW w:w="307"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20"/>
                <w:szCs w:val="20"/>
              </w:rPr>
            </w:pPr>
          </w:p>
        </w:tc>
        <w:tc>
          <w:tcPr>
            <w:tcW w:w="396" w:type="dxa"/>
            <w:gridSpan w:val="2"/>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18"/>
                <w:szCs w:val="18"/>
              </w:rPr>
            </w:pPr>
          </w:p>
        </w:tc>
        <w:tc>
          <w:tcPr>
            <w:tcW w:w="322" w:type="dxa"/>
            <w:gridSpan w:val="2"/>
            <w:vMerge w:val="continue"/>
            <w:tcBorders>
              <w:left w:val="single" w:color="000000" w:sz="4" w:space="0"/>
              <w:bottom w:val="nil"/>
              <w:right w:val="single" w:color="000000" w:sz="4" w:space="0"/>
            </w:tcBorders>
            <w:vAlign w:val="center"/>
          </w:tcPr>
          <w:p>
            <w:pPr>
              <w:jc w:val="center"/>
              <w:rPr>
                <w:rFonts w:ascii="宋体" w:hAnsi="宋体" w:cs="宋体"/>
                <w:color w:val="000000"/>
                <w:sz w:val="18"/>
                <w:szCs w:val="18"/>
              </w:rPr>
            </w:pPr>
          </w:p>
        </w:tc>
        <w:tc>
          <w:tcPr>
            <w:tcW w:w="425" w:type="dxa"/>
            <w:vMerge w:val="continue"/>
            <w:tcBorders>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366" w:type="dxa"/>
            <w:tcBorders>
              <w:top w:val="single" w:color="000000" w:sz="4" w:space="0"/>
              <w:left w:val="single" w:color="000000" w:sz="4" w:space="0"/>
              <w:bottom w:val="single" w:color="auto" w:sz="4" w:space="0"/>
              <w:right w:val="single" w:color="000000" w:sz="4" w:space="0"/>
            </w:tcBorders>
            <w:vAlign w:val="center"/>
          </w:tcPr>
          <w:p>
            <w:pPr>
              <w:jc w:val="left"/>
              <w:textAlignment w:val="center"/>
              <w:rPr>
                <w:rFonts w:ascii="宋体" w:hAnsi="宋体" w:cs="宋体"/>
                <w:color w:val="000000"/>
                <w:sz w:val="18"/>
                <w:szCs w:val="18"/>
              </w:rPr>
            </w:pPr>
            <w:r>
              <w:rPr>
                <w:rFonts w:hint="eastAsia" w:ascii="宋体" w:hAnsi="宋体" w:cs="宋体"/>
                <w:color w:val="000000"/>
                <w:kern w:val="0"/>
                <w:sz w:val="18"/>
                <w:szCs w:val="18"/>
              </w:rPr>
              <w:t>资金使用合规性</w:t>
            </w:r>
          </w:p>
        </w:tc>
        <w:tc>
          <w:tcPr>
            <w:tcW w:w="390"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040" w:type="dxa"/>
            <w:tcBorders>
              <w:top w:val="single" w:color="000000" w:sz="4" w:space="0"/>
              <w:left w:val="single" w:color="000000" w:sz="4" w:space="0"/>
              <w:bottom w:val="single" w:color="auto" w:sz="4" w:space="0"/>
              <w:right w:val="single" w:color="000000" w:sz="4" w:space="0"/>
            </w:tcBorders>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项目资金使用是否符合相关的财务管理制度规定，用以反映和考核项目资金的规范运行情况。</w:t>
            </w:r>
          </w:p>
        </w:tc>
        <w:tc>
          <w:tcPr>
            <w:tcW w:w="2805" w:type="dxa"/>
            <w:tcBorders>
              <w:top w:val="single" w:color="000000" w:sz="4" w:space="0"/>
              <w:left w:val="single" w:color="000000" w:sz="4" w:space="0"/>
              <w:bottom w:val="single" w:color="auto" w:sz="4" w:space="0"/>
              <w:right w:val="single" w:color="000000" w:sz="4" w:space="0"/>
            </w:tcBorders>
            <w:vAlign w:val="center"/>
          </w:tcPr>
          <w:p>
            <w:pPr>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①符合国家财经法规和财务管理制度以及有关专项资金管理办法的规定记1分,否则不记分；                                                           ②资金的拨付有完整的审批程序和手续记1分,否则不记分；                                              ③是否存在支出依据不合规、虚列项目支出的情况；是否存在截留、挤占、挪用项目资金情况；是否存在超标准开支情况;资金管理、费用支出等制度是否健全，是否严格执行；会计核算是否规范(3分）</w:t>
            </w:r>
          </w:p>
        </w:tc>
        <w:tc>
          <w:tcPr>
            <w:tcW w:w="569" w:type="dxa"/>
            <w:tcBorders>
              <w:bottom w:val="single" w:color="auto" w:sz="4" w:space="0"/>
              <w:right w:val="single" w:color="000000" w:sz="4" w:space="0"/>
            </w:tcBorders>
            <w:vAlign w:val="center"/>
          </w:tcPr>
          <w:p>
            <w:pPr>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705" w:type="dxa"/>
            <w:tcBorders>
              <w:bottom w:val="single" w:color="auto" w:sz="4" w:space="0"/>
              <w:right w:val="single" w:color="000000" w:sz="4" w:space="0"/>
            </w:tcBorders>
            <w:vAlign w:val="center"/>
          </w:tcPr>
          <w:p>
            <w:pPr>
              <w:jc w:val="center"/>
              <w:textAlignment w:val="center"/>
              <w:rPr>
                <w:rFonts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1050" w:hRule="atLeast"/>
        </w:trPr>
        <w:tc>
          <w:tcPr>
            <w:tcW w:w="307"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20"/>
                <w:szCs w:val="20"/>
              </w:rPr>
            </w:pPr>
          </w:p>
        </w:tc>
        <w:tc>
          <w:tcPr>
            <w:tcW w:w="396" w:type="dxa"/>
            <w:gridSpan w:val="2"/>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22" w:type="dxa"/>
            <w:gridSpan w:val="2"/>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425"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财务监控有效性</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项目单位是否为保障资金的安全、规范运行而采取了必要的监控措施，用以反映和考核项目单位对资金运行的控制情况。</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①已制定或具有相应的监控机制记2.5分，否则不记分；                                       ②采取了相应的财务检查等必要的监控措施或手段记2.5分，否则不记分。</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1155" w:hRule="atLeast"/>
        </w:trPr>
        <w:tc>
          <w:tcPr>
            <w:tcW w:w="31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       出</w:t>
            </w:r>
          </w:p>
        </w:tc>
        <w:tc>
          <w:tcPr>
            <w:tcW w:w="42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2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项目产出</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实际完成率</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项目实施的实际完成数与计划完成数的比率，用以反映和考核项目完成数量目标的实现程度。</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18"/>
                <w:szCs w:val="18"/>
              </w:rPr>
              <w:t>①推广新品种、新肥料、新农药面积100亩，记3分；每减少30亩扣1分，扣完为止。</w:t>
            </w:r>
          </w:p>
          <w:p>
            <w:pPr>
              <w:widowControl/>
              <w:jc w:val="left"/>
              <w:textAlignment w:val="center"/>
              <w:rPr>
                <w:rFonts w:ascii="宋体" w:hAnsi="宋体" w:cs="宋体"/>
                <w:color w:val="000000"/>
                <w:sz w:val="20"/>
                <w:szCs w:val="20"/>
              </w:rPr>
            </w:pPr>
            <w:r>
              <w:rPr>
                <w:rFonts w:hint="eastAsia" w:ascii="宋体" w:hAnsi="宋体" w:cs="宋体"/>
                <w:color w:val="000000"/>
                <w:kern w:val="0"/>
                <w:sz w:val="18"/>
                <w:szCs w:val="18"/>
              </w:rPr>
              <w:t>②试验示范新品种、新肥料、新农药4个，记3分；每减少1个试验示范片扣1分，扣完为止。</w:t>
            </w:r>
            <w:r>
              <w:rPr>
                <w:rFonts w:hint="eastAsia" w:ascii="宋体" w:hAnsi="宋体" w:cs="宋体"/>
                <w:color w:val="000000"/>
                <w:sz w:val="20"/>
                <w:szCs w:val="20"/>
              </w:rPr>
              <w:t xml:space="preserve"> </w:t>
            </w:r>
          </w:p>
        </w:tc>
        <w:tc>
          <w:tcPr>
            <w:tcW w:w="56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70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1365" w:hRule="atLeast"/>
        </w:trPr>
        <w:tc>
          <w:tcPr>
            <w:tcW w:w="31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完成及时率</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完成是否及时</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18"/>
                <w:szCs w:val="18"/>
              </w:rPr>
              <w:t>按时完成计6分，不按时完成的不计分。</w:t>
            </w:r>
          </w:p>
        </w:tc>
        <w:tc>
          <w:tcPr>
            <w:tcW w:w="56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70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1020" w:hRule="atLeast"/>
        </w:trPr>
        <w:tc>
          <w:tcPr>
            <w:tcW w:w="31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质量达标率</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项目完成的质量达标产出数与实际产出数的比率，用以反映和考核项目产出质量目标的实现程度。</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提高产品优质率10%以上，记3分；产量优质率7-10%记2分，未提高产品优质率不记分 ；</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产品检测农药残留量不超标记3分；产品检测农药残留量超标记0分。</w:t>
            </w:r>
          </w:p>
        </w:tc>
        <w:tc>
          <w:tcPr>
            <w:tcW w:w="56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70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885" w:hRule="atLeast"/>
        </w:trPr>
        <w:tc>
          <w:tcPr>
            <w:tcW w:w="3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成本节约率</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对照项目绩效目标申报表中成本指标金额与项目实际支出成本金额对比确定本项目得分</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项目实际投资比项目预算金额节约和持平满分，项目每超支5%扣一分，扣完为止</w:t>
            </w:r>
          </w:p>
        </w:tc>
        <w:tc>
          <w:tcPr>
            <w:tcW w:w="56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w:t>
            </w:r>
          </w:p>
        </w:tc>
        <w:tc>
          <w:tcPr>
            <w:tcW w:w="70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930" w:hRule="atLeast"/>
        </w:trPr>
        <w:tc>
          <w:tcPr>
            <w:tcW w:w="316"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效果</w:t>
            </w:r>
          </w:p>
        </w:tc>
        <w:tc>
          <w:tcPr>
            <w:tcW w:w="425" w:type="dxa"/>
            <w:gridSpan w:val="2"/>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28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项目效益</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ascii="宋体" w:hAnsi="宋体" w:cs="宋体"/>
                <w:color w:val="000000"/>
                <w:kern w:val="0"/>
                <w:sz w:val="18"/>
                <w:szCs w:val="18"/>
              </w:rPr>
              <w:t>经济效益</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18"/>
                <w:szCs w:val="18"/>
              </w:rPr>
              <w:t>项目实施对经济发展所带来的直接或间接影响情况。</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18"/>
                <w:szCs w:val="18"/>
              </w:rPr>
              <w:t>经济效益突出的，记5分，项目经济效益较好的，记4分，项目经济效益一般的，不记分。</w:t>
            </w:r>
          </w:p>
        </w:tc>
        <w:tc>
          <w:tcPr>
            <w:tcW w:w="56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0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660" w:hRule="atLeast"/>
        </w:trPr>
        <w:tc>
          <w:tcPr>
            <w:tcW w:w="316" w:type="dxa"/>
            <w:gridSpan w:val="2"/>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社会效益</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项目实施对社会发展所带来的直接或间接影响情况。</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社会效益突出的，记5分，社会效益较好的，记4分，社会效益一般的，不记分。</w:t>
            </w:r>
          </w:p>
        </w:tc>
        <w:tc>
          <w:tcPr>
            <w:tcW w:w="56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70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585" w:hRule="atLeast"/>
        </w:trPr>
        <w:tc>
          <w:tcPr>
            <w:tcW w:w="316" w:type="dxa"/>
            <w:gridSpan w:val="2"/>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生态效益</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项目实施对生态环境发展所带来的直接或间接影响情况。</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生态效益明显，记5分，生态效益较好的，记4分，生态效益一般的，不记分。</w:t>
            </w:r>
          </w:p>
        </w:tc>
        <w:tc>
          <w:tcPr>
            <w:tcW w:w="56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70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60" w:hRule="atLeast"/>
        </w:trPr>
        <w:tc>
          <w:tcPr>
            <w:tcW w:w="316" w:type="dxa"/>
            <w:gridSpan w:val="2"/>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可持续影响</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项目后续运行及成效发挥的可持续影响情况。</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好5分，一般4分，不好不计分。</w:t>
            </w:r>
          </w:p>
        </w:tc>
        <w:tc>
          <w:tcPr>
            <w:tcW w:w="56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0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660" w:hRule="atLeast"/>
        </w:trPr>
        <w:tc>
          <w:tcPr>
            <w:tcW w:w="316" w:type="dxa"/>
            <w:gridSpan w:val="2"/>
            <w:vMerge w:val="continue"/>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425" w:type="dxa"/>
            <w:gridSpan w:val="2"/>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284"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示范片群众满意度</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对示范农户进行调查</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满意度度90%以上得满分，满意度度70%-90%计5分，满意度度70%以下的不计分。</w:t>
            </w:r>
          </w:p>
        </w:tc>
        <w:tc>
          <w:tcPr>
            <w:tcW w:w="56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70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660" w:hRule="atLeast"/>
        </w:trPr>
        <w:tc>
          <w:tcPr>
            <w:tcW w:w="316"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总分</w:t>
            </w:r>
          </w:p>
        </w:tc>
        <w:tc>
          <w:tcPr>
            <w:tcW w:w="425"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284"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rPr>
            </w:pP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rPr>
            </w:pP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p>
        </w:tc>
        <w:tc>
          <w:tcPr>
            <w:tcW w:w="56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92</w:t>
            </w:r>
          </w:p>
        </w:tc>
        <w:tc>
          <w:tcPr>
            <w:tcW w:w="70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bl>
    <w:p>
      <w:pPr>
        <w:spacing w:line="480" w:lineRule="exact"/>
        <w:ind w:firstLine="640" w:firstLineChars="200"/>
        <w:rPr>
          <w:rFonts w:ascii="仿宋_GB2312" w:hAnsi="Times New Roman" w:eastAsia="仿宋_GB2312" w:cs="Times New Roman"/>
          <w:sz w:val="32"/>
          <w:szCs w:val="32"/>
        </w:rPr>
      </w:pPr>
    </w:p>
    <w:p>
      <w:pPr>
        <w:jc w:val="center"/>
        <w:rPr>
          <w:rFonts w:ascii="方正大标宋简体" w:hAnsi="方正大标宋简体" w:eastAsia="方正大标宋简体"/>
          <w:b/>
          <w:sz w:val="36"/>
          <w:szCs w:val="36"/>
        </w:rPr>
      </w:pPr>
    </w:p>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357630396"/>
                  <w:docPartObj>
                    <w:docPartGallery w:val="autotext"/>
                  </w:docPartObj>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txbxContent>
          </v:textbox>
        </v:shape>
      </w:pic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6" o:spid="_x0000_s307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85ED6A"/>
    <w:multiLevelType w:val="singleLevel"/>
    <w:tmpl w:val="F685ED6A"/>
    <w:lvl w:ilvl="0" w:tentative="0">
      <w:start w:val="2"/>
      <w:numFmt w:val="chineseCounting"/>
      <w:suff w:val="nothing"/>
      <w:lvlText w:val="（%1）"/>
      <w:lvlJc w:val="left"/>
      <w:rPr>
        <w:rFonts w:hint="eastAsia"/>
      </w:rPr>
    </w:lvl>
  </w:abstractNum>
  <w:abstractNum w:abstractNumId="1">
    <w:nsid w:val="58D9B58E"/>
    <w:multiLevelType w:val="singleLevel"/>
    <w:tmpl w:val="58D9B58E"/>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26A23AB"/>
    <w:rsid w:val="00215078"/>
    <w:rsid w:val="005B6CC8"/>
    <w:rsid w:val="00755A26"/>
    <w:rsid w:val="008E302C"/>
    <w:rsid w:val="00BF5E74"/>
    <w:rsid w:val="015D0B4A"/>
    <w:rsid w:val="0C232365"/>
    <w:rsid w:val="1A5B7DF4"/>
    <w:rsid w:val="226A23AB"/>
    <w:rsid w:val="2B97685D"/>
    <w:rsid w:val="32FC29CB"/>
    <w:rsid w:val="43E00449"/>
    <w:rsid w:val="558127A4"/>
    <w:rsid w:val="65307238"/>
    <w:rsid w:val="71021886"/>
    <w:rsid w:val="73133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font11"/>
    <w:basedOn w:val="6"/>
    <w:qFormat/>
    <w:uiPriority w:val="0"/>
    <w:rPr>
      <w:rFonts w:hint="eastAsia" w:ascii="宋体" w:hAnsi="宋体" w:eastAsia="宋体" w:cs="宋体"/>
      <w:color w:val="000000"/>
      <w:sz w:val="20"/>
      <w:szCs w:val="20"/>
      <w:u w:val="none"/>
    </w:rPr>
  </w:style>
  <w:style w:type="character" w:customStyle="1" w:styleId="8">
    <w:name w:val="font21"/>
    <w:basedOn w:val="6"/>
    <w:qFormat/>
    <w:uiPriority w:val="0"/>
    <w:rPr>
      <w:rFonts w:hint="eastAsia" w:ascii="仿宋_GB2312" w:eastAsia="仿宋_GB2312" w:cs="仿宋_GB2312"/>
      <w:color w:val="000000"/>
      <w:sz w:val="20"/>
      <w:szCs w:val="20"/>
      <w:u w:val="none"/>
    </w:rPr>
  </w:style>
  <w:style w:type="character" w:customStyle="1" w:styleId="9">
    <w:name w:val="页眉 Char"/>
    <w:basedOn w:val="6"/>
    <w:link w:val="4"/>
    <w:uiPriority w:val="0"/>
    <w:rPr>
      <w:rFonts w:ascii="Calibri" w:hAnsi="Calibri" w:cs="Arial"/>
      <w:kern w:val="2"/>
      <w:sz w:val="18"/>
      <w:szCs w:val="18"/>
    </w:rPr>
  </w:style>
  <w:style w:type="character" w:customStyle="1" w:styleId="10">
    <w:name w:val="页脚 Char"/>
    <w:basedOn w:val="6"/>
    <w:link w:val="3"/>
    <w:uiPriority w:val="99"/>
    <w:rPr>
      <w:rFonts w:ascii="Calibri" w:hAnsi="Calibri" w:cs="Arial"/>
      <w:kern w:val="2"/>
      <w:sz w:val="18"/>
      <w:szCs w:val="18"/>
    </w:rPr>
  </w:style>
  <w:style w:type="character" w:customStyle="1" w:styleId="11">
    <w:name w:val="批注框文本 Char"/>
    <w:basedOn w:val="6"/>
    <w:link w:val="2"/>
    <w:uiPriority w:val="0"/>
    <w:rPr>
      <w:rFonts w:ascii="Calibri" w:hAnsi="Calibri" w:cs="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textRotate="1"/>
    <customShpInfo spid="_x0000_s307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968</Words>
  <Characters>5519</Characters>
  <Lines>45</Lines>
  <Paragraphs>12</Paragraphs>
  <TotalTime>1</TotalTime>
  <ScaleCrop>false</ScaleCrop>
  <LinksUpToDate>false</LinksUpToDate>
  <CharactersWithSpaces>6475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2019-05-27T01:32:00Z</dcterms:created>
  <dc:creator>soar</dc:creator>
  <cp:lastModifiedBy>soar</cp:lastModifiedBy>
  <dcterms:modified xsi:type="dcterms:W3CDTF">2019-05-31T07:06:07Z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