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1B" w:rsidRDefault="001F286C" w:rsidP="00B96C00">
      <w:pPr>
        <w:spacing w:line="64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noProof/>
          <w:sz w:val="44"/>
          <w:szCs w:val="44"/>
        </w:rPr>
        <mc:AlternateContent>
          <mc:Choice Requires="wpg">
            <w:drawing>
              <wp:anchor distT="0" distB="0" distL="114300" distR="114300" simplePos="0" relativeHeight="251660288" behindDoc="0" locked="0" layoutInCell="1" allowOverlap="1">
                <wp:simplePos x="0" y="0"/>
                <wp:positionH relativeFrom="column">
                  <wp:posOffset>-116457</wp:posOffset>
                </wp:positionH>
                <wp:positionV relativeFrom="paragraph">
                  <wp:posOffset>34506</wp:posOffset>
                </wp:positionV>
                <wp:extent cx="5495027" cy="1943818"/>
                <wp:effectExtent l="0" t="0" r="0" b="37465"/>
                <wp:wrapNone/>
                <wp:docPr id="3" name="组合 3"/>
                <wp:cNvGraphicFramePr/>
                <a:graphic xmlns:a="http://schemas.openxmlformats.org/drawingml/2006/main">
                  <a:graphicData uri="http://schemas.microsoft.com/office/word/2010/wordprocessingGroup">
                    <wpg:wgp>
                      <wpg:cNvGrpSpPr/>
                      <wpg:grpSpPr>
                        <a:xfrm>
                          <a:off x="0" y="0"/>
                          <a:ext cx="5495027" cy="1943818"/>
                          <a:chOff x="0" y="0"/>
                          <a:chExt cx="5495027" cy="1943818"/>
                        </a:xfrm>
                      </wpg:grpSpPr>
                      <wps:wsp>
                        <wps:cNvPr id="1" name="文本框 1"/>
                        <wps:cNvSpPr txBox="1"/>
                        <wps:spPr>
                          <a:xfrm>
                            <a:off x="0" y="0"/>
                            <a:ext cx="5495027" cy="1052423"/>
                          </a:xfrm>
                          <a:prstGeom prst="rect">
                            <a:avLst/>
                          </a:prstGeom>
                          <a:solidFill>
                            <a:schemeClr val="lt1"/>
                          </a:solidFill>
                          <a:ln w="6350">
                            <a:noFill/>
                          </a:ln>
                        </wps:spPr>
                        <wps:txbx>
                          <w:txbxContent>
                            <w:p w:rsidR="0041081B" w:rsidRPr="001F286C" w:rsidRDefault="0041081B">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接连接符 2"/>
                        <wps:cNvCnPr/>
                        <wps:spPr>
                          <a:xfrm flipV="1">
                            <a:off x="120770" y="1940943"/>
                            <a:ext cx="5139187" cy="28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 o:spid="_x0000_s1026" style="position:absolute;left:0;text-align:left;margin-left:-9.15pt;margin-top:2.7pt;width:432.7pt;height:153.05pt;z-index:251660288" coordsize="54950,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">
                <v:shapetype id="_x0000_t202" coordsize="21600,21600" o:spt="202" path="m,l,21600r21600,l21600,xe">
                  <v:stroke joinstyle="miter"/>
                  <v:path gradientshapeok="t" o:connecttype="rect"/>
                </v:shapetype>
                <v:shape id="文本框 1" o:spid="_x0000_s1027" type="#_x0000_t202" style="position:absolute;width:54950;height:1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41081B" w:rsidRPr="001F286C" w:rsidRDefault="0041081B">
                        <w:pPr>
                          <w:rPr>
                            <w:rFonts w:ascii="方正小标宋简体" w:eastAsia="方正小标宋简体"/>
                            <w:color w:val="FF0000"/>
                            <w:spacing w:val="-40"/>
                            <w:w w:val="80"/>
                            <w:sz w:val="84"/>
                            <w:szCs w:val="84"/>
                          </w:rPr>
                        </w:pPr>
                        <w:r w:rsidRPr="001F286C">
                          <w:rPr>
                            <w:rFonts w:ascii="方正小标宋简体" w:eastAsia="方正小标宋简体" w:hint="eastAsia"/>
                            <w:color w:val="FF0000"/>
                            <w:spacing w:val="-40"/>
                            <w:w w:val="80"/>
                            <w:sz w:val="84"/>
                            <w:szCs w:val="84"/>
                          </w:rPr>
                          <w:t>芷江侗族自治县农业农村局文件</w:t>
                        </w:r>
                      </w:p>
                    </w:txbxContent>
                  </v:textbox>
                </v:shape>
                <v:line id="直接连接符 2" o:spid="_x0000_s1028" style="position:absolute;flip:y;visibility:visible;mso-wrap-style:square" from="1207,19409" to="52599,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" strokecolor="red" strokeweight="3pt">
                  <v:stroke joinstyle="miter"/>
                </v:line>
              </v:group>
            </w:pict>
          </mc:Fallback>
        </mc:AlternateContent>
      </w: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41081B" w:rsidRDefault="0041081B" w:rsidP="00B96C00">
      <w:pPr>
        <w:spacing w:line="640" w:lineRule="exact"/>
        <w:jc w:val="center"/>
        <w:rPr>
          <w:rFonts w:ascii="方正小标宋简体" w:eastAsia="方正小标宋简体" w:hAnsiTheme="majorEastAsia" w:cstheme="majorEastAsia"/>
          <w:sz w:val="44"/>
          <w:szCs w:val="44"/>
        </w:rPr>
      </w:pPr>
    </w:p>
    <w:p w:rsidR="008B5536" w:rsidRDefault="008B5536" w:rsidP="00B96C00">
      <w:pPr>
        <w:spacing w:line="640" w:lineRule="exact"/>
        <w:jc w:val="center"/>
        <w:rPr>
          <w:rFonts w:ascii="方正小标宋简体" w:eastAsia="方正小标宋简体" w:hAnsiTheme="majorEastAsia" w:cstheme="majorEastAsia"/>
          <w:sz w:val="44"/>
          <w:szCs w:val="44"/>
        </w:rPr>
      </w:pPr>
      <w:r>
        <w:rPr>
          <w:rFonts w:ascii="方正小标宋简体" w:eastAsia="方正小标宋简体" w:hAnsiTheme="majorEastAsia" w:cstheme="majorEastAsia" w:hint="eastAsia"/>
          <w:sz w:val="44"/>
          <w:szCs w:val="44"/>
        </w:rPr>
        <w:t>芷</w:t>
      </w:r>
      <w:r>
        <w:rPr>
          <w:rFonts w:ascii="方正小标宋简体" w:eastAsia="方正小标宋简体" w:hAnsiTheme="majorEastAsia" w:cstheme="majorEastAsia"/>
          <w:sz w:val="44"/>
          <w:szCs w:val="44"/>
        </w:rPr>
        <w:t>江侗族自治县农业农村局</w:t>
      </w:r>
    </w:p>
    <w:p w:rsidR="008262E3" w:rsidRDefault="004C6C0A" w:rsidP="00B96C00">
      <w:pPr>
        <w:spacing w:line="640" w:lineRule="exact"/>
        <w:jc w:val="center"/>
        <w:rPr>
          <w:rFonts w:ascii="方正小标宋简体" w:eastAsia="方正小标宋简体" w:hAnsiTheme="majorEastAsia" w:cstheme="majorEastAsia"/>
          <w:sz w:val="44"/>
          <w:szCs w:val="44"/>
        </w:rPr>
      </w:pPr>
      <w:r w:rsidRPr="00B96C00">
        <w:rPr>
          <w:rFonts w:ascii="方正小标宋简体" w:eastAsia="方正小标宋简体" w:hAnsiTheme="majorEastAsia" w:cstheme="majorEastAsia" w:hint="eastAsia"/>
          <w:sz w:val="44"/>
          <w:szCs w:val="44"/>
        </w:rPr>
        <w:t>20</w:t>
      </w:r>
      <w:r w:rsidR="00675B6D">
        <w:rPr>
          <w:rFonts w:ascii="方正小标宋简体" w:eastAsia="方正小标宋简体" w:hAnsiTheme="majorEastAsia" w:cstheme="majorEastAsia"/>
          <w:sz w:val="44"/>
          <w:szCs w:val="44"/>
        </w:rPr>
        <w:t>20</w:t>
      </w:r>
      <w:r w:rsidRPr="00B96C00">
        <w:rPr>
          <w:rFonts w:ascii="方正小标宋简体" w:eastAsia="方正小标宋简体" w:hAnsiTheme="majorEastAsia" w:cstheme="majorEastAsia" w:hint="eastAsia"/>
          <w:sz w:val="44"/>
          <w:szCs w:val="44"/>
        </w:rPr>
        <w:t>年蔬菜科技推广工作经费绩效自评</w:t>
      </w:r>
    </w:p>
    <w:p w:rsidR="00F92CEB" w:rsidRPr="00B96C00" w:rsidRDefault="004C6C0A" w:rsidP="00B96C00">
      <w:pPr>
        <w:spacing w:line="640" w:lineRule="exact"/>
        <w:jc w:val="center"/>
        <w:rPr>
          <w:rFonts w:ascii="方正小标宋简体" w:eastAsia="方正小标宋简体" w:hAnsiTheme="majorEastAsia" w:cstheme="majorEastAsia"/>
          <w:sz w:val="44"/>
          <w:szCs w:val="44"/>
        </w:rPr>
      </w:pPr>
      <w:r w:rsidRPr="00B96C00">
        <w:rPr>
          <w:rFonts w:ascii="方正小标宋简体" w:eastAsia="方正小标宋简体" w:hAnsiTheme="majorEastAsia" w:cstheme="majorEastAsia" w:hint="eastAsia"/>
          <w:sz w:val="44"/>
          <w:szCs w:val="44"/>
        </w:rPr>
        <w:t>报</w:t>
      </w:r>
      <w:r w:rsidR="008262E3">
        <w:rPr>
          <w:rFonts w:ascii="方正小标宋简体" w:eastAsia="方正小标宋简体" w:hAnsiTheme="majorEastAsia" w:cstheme="majorEastAsia" w:hint="eastAsia"/>
          <w:sz w:val="44"/>
          <w:szCs w:val="44"/>
        </w:rPr>
        <w:t xml:space="preserve">  </w:t>
      </w:r>
      <w:r w:rsidRPr="00B96C00">
        <w:rPr>
          <w:rFonts w:ascii="方正小标宋简体" w:eastAsia="方正小标宋简体" w:hAnsiTheme="majorEastAsia" w:cstheme="majorEastAsia" w:hint="eastAsia"/>
          <w:sz w:val="44"/>
          <w:szCs w:val="44"/>
        </w:rPr>
        <w:t>告</w:t>
      </w:r>
    </w:p>
    <w:p w:rsidR="00B96C00" w:rsidRDefault="00B96C00">
      <w:pPr>
        <w:spacing w:line="560" w:lineRule="exact"/>
        <w:ind w:firstLineChars="200" w:firstLine="640"/>
        <w:rPr>
          <w:rFonts w:asciiTheme="minorEastAsia" w:eastAsiaTheme="minorEastAsia" w:hAnsiTheme="minorEastAsia" w:cstheme="minorEastAsia"/>
          <w:color w:val="000000"/>
          <w:sz w:val="32"/>
          <w:szCs w:val="32"/>
        </w:rPr>
      </w:pP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为进一步规范财政资金管理，强化部门责任意识，切实提高财政资金使用效益。根据《党政机关厉行节约反对浪费条例》、财政部《财政支出绩效评价管理暂行办法》（财预〔2011〕285号）、《中共湖南省委办公厅湖南省人民政府办公厅关于全面实施预算绩效管理的实施意见》（湘办发〔2019〕10号）、《芷江侗族自治县人民政府关于全面推进预算绩效管理的实施意见》（芷政发</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2014</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8号）、《芷江侗族自治县财政支出绩效评价管理暂行办法》（芷财绩</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2014</w:t>
      </w:r>
      <w:r w:rsidR="00675B6D">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4号），以及相关专项资金绩效目标，专项资金及项目管理办法，中央、省相关政策规定和财务会计制度，部门预算及决算报告、项目审计报告和验收报告等。我局认真开展了20</w:t>
      </w:r>
      <w:r w:rsidR="00B96C00">
        <w:rPr>
          <w:rFonts w:ascii="仿宋" w:eastAsia="仿宋" w:hAnsi="仿宋" w:cstheme="minorEastAsia"/>
          <w:color w:val="000000"/>
          <w:sz w:val="32"/>
          <w:szCs w:val="32"/>
        </w:rPr>
        <w:t>20</w:t>
      </w:r>
      <w:r w:rsidRPr="00B96C00">
        <w:rPr>
          <w:rFonts w:ascii="仿宋" w:eastAsia="仿宋" w:hAnsi="仿宋" w:cstheme="minorEastAsia" w:hint="eastAsia"/>
          <w:color w:val="000000"/>
          <w:sz w:val="32"/>
          <w:szCs w:val="32"/>
        </w:rPr>
        <w:t>年部门整体支出绩效评价工作，现将相关情况报告如下：</w:t>
      </w:r>
    </w:p>
    <w:p w:rsidR="00F92CEB" w:rsidRPr="00B96C00" w:rsidRDefault="004C6C0A" w:rsidP="00B96C00">
      <w:pPr>
        <w:spacing w:line="560" w:lineRule="exact"/>
        <w:ind w:firstLineChars="200" w:firstLine="640"/>
        <w:rPr>
          <w:rFonts w:ascii="黑体" w:eastAsia="黑体" w:hAnsi="黑体" w:cs="黑体"/>
          <w:sz w:val="32"/>
          <w:szCs w:val="32"/>
        </w:rPr>
      </w:pPr>
      <w:r w:rsidRPr="00B96C00">
        <w:rPr>
          <w:rFonts w:ascii="黑体" w:eastAsia="黑体" w:hAnsi="黑体" w:cs="黑体" w:hint="eastAsia"/>
          <w:sz w:val="32"/>
          <w:szCs w:val="32"/>
        </w:rPr>
        <w:t>一、基本情况</w:t>
      </w:r>
    </w:p>
    <w:p w:rsidR="000C7109" w:rsidRDefault="004C6C0A" w:rsidP="00B96C00">
      <w:pPr>
        <w:spacing w:line="560" w:lineRule="exact"/>
        <w:ind w:firstLineChars="200" w:firstLine="643"/>
        <w:rPr>
          <w:rFonts w:ascii="楷体" w:eastAsia="楷体" w:hAnsi="楷体" w:cs="楷体_GB2312"/>
          <w:b/>
          <w:bCs/>
          <w:color w:val="000000"/>
          <w:sz w:val="32"/>
          <w:szCs w:val="32"/>
        </w:rPr>
        <w:sectPr w:rsidR="000C7109">
          <w:footerReference w:type="default" r:id="rId8"/>
          <w:pgSz w:w="11906" w:h="16838"/>
          <w:pgMar w:top="1440" w:right="1800" w:bottom="1440" w:left="1800" w:header="851" w:footer="992" w:gutter="0"/>
          <w:cols w:space="425"/>
          <w:docGrid w:type="lines" w:linePitch="312"/>
        </w:sectPr>
      </w:pPr>
      <w:r w:rsidRPr="00B96C00">
        <w:rPr>
          <w:rFonts w:ascii="楷体" w:eastAsia="楷体" w:hAnsi="楷体" w:cs="楷体_GB2312" w:hint="eastAsia"/>
          <w:b/>
          <w:bCs/>
          <w:color w:val="000000"/>
          <w:sz w:val="32"/>
          <w:szCs w:val="32"/>
        </w:rPr>
        <w:t>（一）项目概况</w:t>
      </w:r>
    </w:p>
    <w:p w:rsidR="00F92CEB" w:rsidRPr="00B96C00" w:rsidRDefault="004C6C0A" w:rsidP="000C7109">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lastRenderedPageBreak/>
        <w:t>20</w:t>
      </w:r>
      <w:r w:rsidR="00B96C00">
        <w:rPr>
          <w:rFonts w:ascii="仿宋" w:eastAsia="仿宋" w:hAnsi="仿宋" w:cstheme="minorEastAsia"/>
          <w:color w:val="000000"/>
          <w:sz w:val="32"/>
          <w:szCs w:val="32"/>
        </w:rPr>
        <w:t>20</w:t>
      </w:r>
      <w:r w:rsidRPr="00B96C00">
        <w:rPr>
          <w:rFonts w:ascii="仿宋" w:eastAsia="仿宋" w:hAnsi="仿宋" w:cstheme="minorEastAsia" w:hint="eastAsia"/>
          <w:color w:val="000000"/>
          <w:sz w:val="32"/>
          <w:szCs w:val="32"/>
        </w:rPr>
        <w:t>年全县蔬菜种植面积1</w:t>
      </w:r>
      <w:r w:rsidR="00675B6D">
        <w:rPr>
          <w:rFonts w:ascii="仿宋" w:eastAsia="仿宋" w:hAnsi="仿宋" w:cstheme="minorEastAsia"/>
          <w:color w:val="000000"/>
          <w:sz w:val="32"/>
          <w:szCs w:val="32"/>
        </w:rPr>
        <w:t>2</w:t>
      </w:r>
      <w:r w:rsidRPr="00B96C00">
        <w:rPr>
          <w:rFonts w:ascii="仿宋" w:eastAsia="仿宋" w:hAnsi="仿宋" w:cstheme="minorEastAsia" w:hint="eastAsia"/>
          <w:color w:val="000000"/>
          <w:sz w:val="32"/>
          <w:szCs w:val="32"/>
        </w:rPr>
        <w:t>万亩，总产量22万吨，是我县农业五大支柱产业之一，重要蔬菜产品平均自给率不仅达到了85%，有些产品还能占有怀化市场30%的份额，每天销往贵州市场2万多斤，年外销蔬菜18.6万吨，确保了我县及怀化市场蔬菜产品市场供应及价格稳定，蔬菜平均亩产值达0.8万元以上,最高的达3万元，蔬菜产业已成为我县农民主要的经济来源。蔬菜产品商品率达85%，优质率达90%，商品率、优质率逐年得到提高，蔬菜产业逐步出现规模化、标准化、生态化、品牌化、产业化的局面，但一些蔬菜品种抗性、产量在下降，需更新替换。</w:t>
      </w:r>
    </w:p>
    <w:p w:rsidR="00F92CEB" w:rsidRPr="00B96C00" w:rsidRDefault="00B96C00" w:rsidP="00B96C00">
      <w:pPr>
        <w:spacing w:line="560" w:lineRule="exact"/>
        <w:ind w:firstLineChars="200" w:firstLine="643"/>
        <w:rPr>
          <w:rFonts w:ascii="楷体" w:eastAsia="楷体" w:hAnsi="楷体" w:cs="楷体_GB2312"/>
          <w:b/>
          <w:bCs/>
          <w:color w:val="000000"/>
          <w:sz w:val="32"/>
          <w:szCs w:val="32"/>
        </w:rPr>
      </w:pPr>
      <w:r w:rsidRPr="00B96C00">
        <w:rPr>
          <w:rFonts w:ascii="楷体" w:eastAsia="楷体" w:hAnsi="楷体" w:cs="楷体_GB2312" w:hint="eastAsia"/>
          <w:b/>
          <w:bCs/>
          <w:color w:val="000000"/>
          <w:sz w:val="32"/>
          <w:szCs w:val="32"/>
        </w:rPr>
        <w:t>（二</w:t>
      </w:r>
      <w:r w:rsidRPr="00B96C00">
        <w:rPr>
          <w:rFonts w:ascii="楷体" w:eastAsia="楷体" w:hAnsi="楷体" w:cs="楷体_GB2312"/>
          <w:b/>
          <w:bCs/>
          <w:color w:val="000000"/>
          <w:sz w:val="32"/>
          <w:szCs w:val="32"/>
        </w:rPr>
        <w:t>）</w:t>
      </w:r>
      <w:r w:rsidR="004C6C0A" w:rsidRPr="00B96C00">
        <w:rPr>
          <w:rFonts w:ascii="楷体" w:eastAsia="楷体" w:hAnsi="楷体" w:cs="楷体_GB2312" w:hint="eastAsia"/>
          <w:b/>
          <w:bCs/>
          <w:color w:val="000000"/>
          <w:sz w:val="32"/>
          <w:szCs w:val="32"/>
        </w:rPr>
        <w:t>绩效目标</w:t>
      </w: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在芷江镇白溪坪村蔬菜科技推广基地上试验示范西兰花、茄子蔬菜新品种2个,生物农药品种1个; 通过新品种,新农药的试验示范后再推广到全县蔬菜基地上, 从而提高我县蔬菜品种的优质率,带动全县蔬菜种植户发展高产优质蔬菜品种,增加亩产量,提高市场供应量,保障蔬菜供应,增加农民收入,提升产品质量安全</w:t>
      </w:r>
      <w:r w:rsidR="000F460A">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保障市民</w:t>
      </w:r>
      <w:r w:rsidR="000F460A">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舌尖</w:t>
      </w:r>
      <w:r w:rsidR="000F460A">
        <w:rPr>
          <w:rFonts w:ascii="仿宋" w:eastAsia="仿宋" w:hAnsi="仿宋" w:cstheme="minorEastAsia" w:hint="eastAsia"/>
          <w:color w:val="000000"/>
          <w:sz w:val="32"/>
          <w:szCs w:val="32"/>
        </w:rPr>
        <w:t>”</w:t>
      </w:r>
      <w:r w:rsidRPr="00B96C00">
        <w:rPr>
          <w:rFonts w:ascii="仿宋" w:eastAsia="仿宋" w:hAnsi="仿宋" w:cstheme="minorEastAsia" w:hint="eastAsia"/>
          <w:color w:val="000000"/>
          <w:sz w:val="32"/>
          <w:szCs w:val="32"/>
        </w:rPr>
        <w:t xml:space="preserve">上的安全.  </w:t>
      </w:r>
    </w:p>
    <w:p w:rsidR="00F92CEB" w:rsidRPr="00B96C00" w:rsidRDefault="004C6C0A" w:rsidP="00B96C00">
      <w:pPr>
        <w:spacing w:line="560" w:lineRule="exact"/>
        <w:ind w:firstLineChars="200" w:firstLine="643"/>
        <w:rPr>
          <w:rFonts w:ascii="楷体" w:eastAsia="楷体" w:hAnsi="楷体" w:cs="楷体_GB2312"/>
          <w:b/>
          <w:bCs/>
          <w:color w:val="000000"/>
          <w:sz w:val="32"/>
          <w:szCs w:val="32"/>
        </w:rPr>
      </w:pPr>
      <w:r w:rsidRPr="00B96C00">
        <w:rPr>
          <w:rFonts w:ascii="楷体" w:eastAsia="楷体" w:hAnsi="楷体" w:cs="楷体_GB2312" w:hint="eastAsia"/>
          <w:b/>
          <w:bCs/>
          <w:color w:val="000000"/>
          <w:sz w:val="32"/>
          <w:szCs w:val="32"/>
        </w:rPr>
        <w:t>（三）项目实施情况</w:t>
      </w:r>
    </w:p>
    <w:p w:rsidR="00F92CEB" w:rsidRPr="00B96C00" w:rsidRDefault="004C6C0A" w:rsidP="00B96C00">
      <w:pPr>
        <w:spacing w:line="560" w:lineRule="exact"/>
        <w:ind w:firstLineChars="200" w:firstLine="643"/>
        <w:rPr>
          <w:rFonts w:ascii="仿宋" w:eastAsia="仿宋" w:hAnsi="仿宋" w:cstheme="majorEastAsia"/>
          <w:b/>
          <w:bCs/>
          <w:sz w:val="32"/>
          <w:szCs w:val="32"/>
        </w:rPr>
      </w:pPr>
      <w:r w:rsidRPr="00B96C00">
        <w:rPr>
          <w:rFonts w:ascii="仿宋" w:eastAsia="仿宋" w:hAnsi="仿宋" w:cstheme="majorEastAsia" w:hint="eastAsia"/>
          <w:b/>
          <w:bCs/>
          <w:sz w:val="32"/>
          <w:szCs w:val="32"/>
        </w:rPr>
        <w:t>1、资金到位及使用情况</w:t>
      </w:r>
    </w:p>
    <w:p w:rsidR="00F92CEB" w:rsidRPr="00B96C00" w:rsidRDefault="004C6C0A" w:rsidP="00B96C00">
      <w:pPr>
        <w:spacing w:line="560" w:lineRule="exact"/>
        <w:ind w:firstLineChars="200" w:firstLine="640"/>
        <w:rPr>
          <w:rFonts w:ascii="仿宋" w:eastAsia="仿宋" w:hAnsi="仿宋" w:cstheme="minorEastAsia"/>
          <w:bCs/>
          <w:sz w:val="32"/>
          <w:szCs w:val="32"/>
        </w:rPr>
      </w:pPr>
      <w:r w:rsidRPr="00B96C00">
        <w:rPr>
          <w:rFonts w:ascii="仿宋" w:eastAsia="仿宋" w:hAnsi="仿宋" w:cstheme="minorEastAsia" w:hint="eastAsia"/>
          <w:sz w:val="32"/>
          <w:szCs w:val="32"/>
        </w:rPr>
        <w:t>20</w:t>
      </w:r>
      <w:r w:rsidR="00B96C00">
        <w:rPr>
          <w:rFonts w:ascii="仿宋" w:eastAsia="仿宋" w:hAnsi="仿宋" w:cstheme="minorEastAsia"/>
          <w:sz w:val="32"/>
          <w:szCs w:val="32"/>
        </w:rPr>
        <w:t>20</w:t>
      </w:r>
      <w:r w:rsidRPr="00B96C00">
        <w:rPr>
          <w:rFonts w:ascii="仿宋" w:eastAsia="仿宋" w:hAnsi="仿宋" w:cstheme="minorEastAsia" w:hint="eastAsia"/>
          <w:sz w:val="32"/>
          <w:szCs w:val="32"/>
        </w:rPr>
        <w:t>年安排蔬菜科技推广工作经费</w:t>
      </w:r>
      <w:r w:rsidR="00AE7FB2">
        <w:rPr>
          <w:rFonts w:ascii="仿宋" w:eastAsia="仿宋" w:hAnsi="仿宋" w:cstheme="minorEastAsia" w:hint="eastAsia"/>
          <w:sz w:val="32"/>
          <w:szCs w:val="32"/>
        </w:rPr>
        <w:t>5.6</w:t>
      </w:r>
      <w:r w:rsidRPr="00B96C00">
        <w:rPr>
          <w:rFonts w:ascii="仿宋" w:eastAsia="仿宋" w:hAnsi="仿宋" w:cstheme="minorEastAsia" w:hint="eastAsia"/>
          <w:sz w:val="32"/>
          <w:szCs w:val="32"/>
        </w:rPr>
        <w:t>万元，资金到位率100%，到位及时率100%，主要用于</w:t>
      </w:r>
      <w:r w:rsidRPr="00B96C00">
        <w:rPr>
          <w:rFonts w:ascii="仿宋" w:eastAsia="仿宋" w:hAnsi="仿宋" w:cstheme="minorEastAsia" w:hint="eastAsia"/>
          <w:bCs/>
          <w:sz w:val="32"/>
          <w:szCs w:val="32"/>
        </w:rPr>
        <w:t>蔬菜科技示范技术推广、人工工资等支出。</w:t>
      </w:r>
    </w:p>
    <w:p w:rsid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在芷江镇白溪坪村蔬菜科技推广基地上试验示范</w:t>
      </w:r>
      <w:r w:rsidR="00AE7FB2">
        <w:rPr>
          <w:rFonts w:ascii="仿宋" w:eastAsia="仿宋" w:hAnsi="仿宋" w:cstheme="minorEastAsia" w:hint="eastAsia"/>
          <w:sz w:val="32"/>
          <w:szCs w:val="32"/>
        </w:rPr>
        <w:t>辣椒</w:t>
      </w:r>
      <w:r w:rsidR="00AE7FB2">
        <w:rPr>
          <w:rFonts w:ascii="仿宋" w:eastAsia="仿宋" w:hAnsi="仿宋" w:cstheme="minorEastAsia"/>
          <w:sz w:val="32"/>
          <w:szCs w:val="32"/>
        </w:rPr>
        <w:t>、</w:t>
      </w:r>
      <w:r w:rsidR="00AE7FB2">
        <w:rPr>
          <w:rFonts w:ascii="仿宋" w:eastAsia="仿宋" w:hAnsi="仿宋" w:cstheme="minorEastAsia"/>
          <w:sz w:val="32"/>
          <w:szCs w:val="32"/>
        </w:rPr>
        <w:lastRenderedPageBreak/>
        <w:t>西红杮</w:t>
      </w:r>
      <w:r w:rsidRPr="00B96C00">
        <w:rPr>
          <w:rFonts w:ascii="仿宋" w:eastAsia="仿宋" w:hAnsi="仿宋" w:cstheme="minorEastAsia" w:hint="eastAsia"/>
          <w:sz w:val="32"/>
          <w:szCs w:val="32"/>
        </w:rPr>
        <w:t>蔬菜新品种2个,</w:t>
      </w:r>
      <w:r w:rsidR="00AE7FB2">
        <w:rPr>
          <w:rFonts w:ascii="仿宋" w:eastAsia="仿宋" w:hAnsi="仿宋" w:cstheme="minorEastAsia" w:hint="eastAsia"/>
          <w:sz w:val="32"/>
          <w:szCs w:val="32"/>
        </w:rPr>
        <w:t>有机</w:t>
      </w:r>
      <w:r w:rsidR="00AE7FB2">
        <w:rPr>
          <w:rFonts w:ascii="仿宋" w:eastAsia="仿宋" w:hAnsi="仿宋" w:cstheme="minorEastAsia"/>
          <w:sz w:val="32"/>
          <w:szCs w:val="32"/>
        </w:rPr>
        <w:t>肥料</w:t>
      </w:r>
      <w:r w:rsidRPr="00B96C00">
        <w:rPr>
          <w:rFonts w:ascii="仿宋" w:eastAsia="仿宋" w:hAnsi="仿宋" w:cstheme="minorEastAsia" w:hint="eastAsia"/>
          <w:sz w:val="32"/>
          <w:szCs w:val="32"/>
        </w:rPr>
        <w:t>品种1个</w:t>
      </w:r>
      <w:r w:rsidR="00AE7FB2">
        <w:rPr>
          <w:rFonts w:ascii="仿宋" w:eastAsia="仿宋" w:hAnsi="仿宋" w:cstheme="minorEastAsia" w:hint="eastAsia"/>
          <w:sz w:val="32"/>
          <w:szCs w:val="32"/>
        </w:rPr>
        <w:t>，</w:t>
      </w:r>
      <w:r w:rsidR="00AE7FB2">
        <w:rPr>
          <w:rFonts w:ascii="仿宋" w:eastAsia="仿宋" w:hAnsi="仿宋" w:cstheme="minorEastAsia"/>
          <w:sz w:val="32"/>
          <w:szCs w:val="32"/>
        </w:rPr>
        <w:t>生物农药品种</w:t>
      </w:r>
      <w:r w:rsidR="00AE7FB2">
        <w:rPr>
          <w:rFonts w:ascii="仿宋" w:eastAsia="仿宋" w:hAnsi="仿宋" w:cstheme="minorEastAsia" w:hint="eastAsia"/>
          <w:sz w:val="32"/>
          <w:szCs w:val="32"/>
        </w:rPr>
        <w:t>1个</w:t>
      </w:r>
      <w:r w:rsidRPr="00B96C00">
        <w:rPr>
          <w:rFonts w:ascii="仿宋" w:eastAsia="仿宋" w:hAnsi="仿宋" w:cstheme="minorEastAsia" w:hint="eastAsia"/>
          <w:sz w:val="32"/>
          <w:szCs w:val="32"/>
        </w:rPr>
        <w:t>；通过新品种,新农药的试验示范后再推广到全县蔬菜基地上, 从而提高我县蔬菜品种的优质率,带动全县蔬菜种植户发展高产优质蔬菜品种,增加亩产量,提高市场供应量,保障蔬菜供应,增加农民收入,提升产品质量安全</w:t>
      </w:r>
      <w:r w:rsidR="000F460A">
        <w:rPr>
          <w:rFonts w:ascii="仿宋" w:eastAsia="仿宋" w:hAnsi="仿宋" w:cstheme="minorEastAsia" w:hint="eastAsia"/>
          <w:sz w:val="32"/>
          <w:szCs w:val="32"/>
        </w:rPr>
        <w:t>，</w:t>
      </w:r>
      <w:r w:rsidRPr="00B96C00">
        <w:rPr>
          <w:rFonts w:ascii="仿宋" w:eastAsia="仿宋" w:hAnsi="仿宋" w:cstheme="minorEastAsia" w:hint="eastAsia"/>
          <w:sz w:val="32"/>
          <w:szCs w:val="32"/>
        </w:rPr>
        <w:t>保障市民</w:t>
      </w:r>
      <w:r w:rsidR="000F460A">
        <w:rPr>
          <w:rFonts w:ascii="仿宋" w:eastAsia="仿宋" w:hAnsi="仿宋" w:cstheme="minorEastAsia" w:hint="eastAsia"/>
          <w:sz w:val="32"/>
          <w:szCs w:val="32"/>
        </w:rPr>
        <w:t>“</w:t>
      </w:r>
      <w:r w:rsidRPr="00B96C00">
        <w:rPr>
          <w:rFonts w:ascii="仿宋" w:eastAsia="仿宋" w:hAnsi="仿宋" w:cstheme="minorEastAsia" w:hint="eastAsia"/>
          <w:sz w:val="32"/>
          <w:szCs w:val="32"/>
        </w:rPr>
        <w:t>舌尖</w:t>
      </w:r>
      <w:r w:rsidR="000F460A">
        <w:rPr>
          <w:rFonts w:ascii="仿宋" w:eastAsia="仿宋" w:hAnsi="仿宋" w:cstheme="minorEastAsia" w:hint="eastAsia"/>
          <w:sz w:val="32"/>
          <w:szCs w:val="32"/>
        </w:rPr>
        <w:t>”</w:t>
      </w:r>
      <w:r w:rsidRPr="00B96C00">
        <w:rPr>
          <w:rFonts w:ascii="仿宋" w:eastAsia="仿宋" w:hAnsi="仿宋" w:cstheme="minorEastAsia" w:hint="eastAsia"/>
          <w:sz w:val="32"/>
          <w:szCs w:val="32"/>
        </w:rPr>
        <w:t>上的安全。</w:t>
      </w:r>
    </w:p>
    <w:p w:rsidR="00F92CEB" w:rsidRPr="00B96C00" w:rsidRDefault="004C6C0A" w:rsidP="00B96C00">
      <w:pPr>
        <w:spacing w:line="560" w:lineRule="exact"/>
        <w:ind w:firstLineChars="200" w:firstLine="643"/>
        <w:rPr>
          <w:rFonts w:ascii="仿宋" w:eastAsia="仿宋" w:hAnsi="仿宋" w:cstheme="minorEastAsia"/>
          <w:b/>
          <w:bCs/>
          <w:sz w:val="32"/>
          <w:szCs w:val="32"/>
        </w:rPr>
      </w:pPr>
      <w:r w:rsidRPr="00B96C00">
        <w:rPr>
          <w:rFonts w:ascii="仿宋" w:eastAsia="仿宋" w:hAnsi="仿宋" w:cstheme="minorEastAsia" w:hint="eastAsia"/>
          <w:b/>
          <w:bCs/>
          <w:sz w:val="32"/>
          <w:szCs w:val="32"/>
        </w:rPr>
        <w:t>2、资金管理</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根据项目实施要求初步制定项目资金预算方案，由局领导班子开会讨论通过批准后确定资金使用方案，方案明确了专项资金支持的范围和资金支持额度，项目实施按预算计划进行，资金按规定的用途使用并达到预期目的。</w:t>
      </w:r>
    </w:p>
    <w:p w:rsidR="00F92CEB" w:rsidRPr="00B96C00" w:rsidRDefault="004C6C0A" w:rsidP="00B96C00">
      <w:pPr>
        <w:spacing w:line="560" w:lineRule="exact"/>
        <w:ind w:firstLineChars="200" w:firstLine="640"/>
        <w:rPr>
          <w:rFonts w:ascii="黑体" w:eastAsia="黑体" w:hAnsi="黑体" w:cs="黑体"/>
          <w:sz w:val="32"/>
          <w:szCs w:val="32"/>
        </w:rPr>
      </w:pPr>
      <w:r w:rsidRPr="00B96C00">
        <w:rPr>
          <w:rFonts w:ascii="黑体" w:eastAsia="黑体" w:hAnsi="黑体" w:cs="黑体" w:hint="eastAsia"/>
          <w:sz w:val="32"/>
          <w:szCs w:val="32"/>
        </w:rPr>
        <w:t>二、主要绩效</w:t>
      </w:r>
    </w:p>
    <w:p w:rsidR="00F92CEB" w:rsidRPr="00B96C00" w:rsidRDefault="004C6C0A"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（一）试验示范综合评价</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试验示范品种辣博士2号，西红柿品种广红综合表现：商品性好、产量高，比参照品种高出18%，口感佳，抗性好，两个品种高抗青枯病，具有推广前景和种植效益，有机肥料试验表现为改善土壤结构，疏松，增加土壤有机质，肥效期长，能提高品种的商品性，有效降低枯萎病的发生，提高作物的抗逆性，生物农药枯草芽苞杆菌有效降低枯萎病的发生。</w:t>
      </w:r>
    </w:p>
    <w:p w:rsidR="00F92CEB" w:rsidRPr="00B96C00" w:rsidRDefault="004C6C0A"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（二）社会效益</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社会效益主要体现在：试验示范品种辣博士</w:t>
      </w:r>
      <w:r w:rsidR="00803936">
        <w:rPr>
          <w:rFonts w:ascii="仿宋" w:eastAsia="仿宋" w:hAnsi="仿宋" w:cstheme="minorEastAsia"/>
          <w:sz w:val="32"/>
          <w:szCs w:val="32"/>
        </w:rPr>
        <w:t>6</w:t>
      </w:r>
      <w:r w:rsidRPr="00B96C00">
        <w:rPr>
          <w:rFonts w:ascii="仿宋" w:eastAsia="仿宋" w:hAnsi="仿宋" w:cstheme="minorEastAsia" w:hint="eastAsia"/>
          <w:sz w:val="32"/>
          <w:szCs w:val="32"/>
        </w:rPr>
        <w:t>号测算亩产6500斤，比参照品种高出11</w:t>
      </w:r>
      <w:r w:rsidR="00803936">
        <w:rPr>
          <w:rFonts w:ascii="仿宋" w:eastAsia="仿宋" w:hAnsi="仿宋" w:cstheme="minorEastAsia"/>
          <w:sz w:val="32"/>
          <w:szCs w:val="32"/>
        </w:rPr>
        <w:t>5</w:t>
      </w:r>
      <w:r w:rsidRPr="00B96C00">
        <w:rPr>
          <w:rFonts w:ascii="仿宋" w:eastAsia="仿宋" w:hAnsi="仿宋" w:cstheme="minorEastAsia" w:hint="eastAsia"/>
          <w:sz w:val="32"/>
          <w:szCs w:val="32"/>
        </w:rPr>
        <w:t>0斤，亩产值高出1</w:t>
      </w:r>
      <w:r w:rsidR="00803936">
        <w:rPr>
          <w:rFonts w:ascii="仿宋" w:eastAsia="仿宋" w:hAnsi="仿宋" w:cstheme="minorEastAsia"/>
          <w:sz w:val="32"/>
          <w:szCs w:val="32"/>
        </w:rPr>
        <w:t>8</w:t>
      </w:r>
      <w:r w:rsidRPr="00B96C00">
        <w:rPr>
          <w:rFonts w:ascii="仿宋" w:eastAsia="仿宋" w:hAnsi="仿宋" w:cstheme="minorEastAsia" w:hint="eastAsia"/>
          <w:sz w:val="32"/>
          <w:szCs w:val="32"/>
        </w:rPr>
        <w:t>16元，西红柿品种</w:t>
      </w:r>
      <w:r w:rsidR="00803936" w:rsidRPr="00803936">
        <w:rPr>
          <w:rFonts w:ascii="仿宋" w:eastAsia="仿宋" w:hAnsi="仿宋" w:cstheme="minorEastAsia" w:hint="eastAsia"/>
          <w:sz w:val="32"/>
          <w:szCs w:val="32"/>
        </w:rPr>
        <w:t>霞粉</w:t>
      </w:r>
      <w:r w:rsidRPr="00B96C00">
        <w:rPr>
          <w:rFonts w:ascii="仿宋" w:eastAsia="仿宋" w:hAnsi="仿宋" w:cstheme="minorEastAsia" w:hint="eastAsia"/>
          <w:sz w:val="32"/>
          <w:szCs w:val="32"/>
        </w:rPr>
        <w:t>测算亩产8500斤，比参照品种高出2000斤，亩产值高出3000元，两个品种高抗青枯病，能减少损失10%，</w:t>
      </w:r>
      <w:r w:rsidRPr="00B96C00">
        <w:rPr>
          <w:rFonts w:ascii="仿宋" w:eastAsia="仿宋" w:hAnsi="仿宋" w:cstheme="minorEastAsia" w:hint="eastAsia"/>
          <w:sz w:val="32"/>
          <w:szCs w:val="32"/>
        </w:rPr>
        <w:lastRenderedPageBreak/>
        <w:t>节约成本30元，商品性提高5%，具有推广前景和种植效益，生物农药枯草芽苞杆菌有效降低枯萎病的发生，降低农民损失30%，有效提高种植效益。</w:t>
      </w:r>
    </w:p>
    <w:p w:rsidR="00F92CEB" w:rsidRPr="00B96C00" w:rsidRDefault="00B96C00"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w:t>
      </w:r>
      <w:r w:rsidRPr="00B96C00">
        <w:rPr>
          <w:rFonts w:ascii="楷体" w:eastAsia="楷体" w:hAnsi="楷体" w:cs="楷体_GB2312"/>
          <w:b/>
          <w:bCs/>
          <w:sz w:val="32"/>
          <w:szCs w:val="32"/>
        </w:rPr>
        <w:t>三）</w:t>
      </w:r>
      <w:r w:rsidR="004C6C0A" w:rsidRPr="00B96C00">
        <w:rPr>
          <w:rFonts w:ascii="楷体" w:eastAsia="楷体" w:hAnsi="楷体" w:cs="楷体_GB2312" w:hint="eastAsia"/>
          <w:b/>
          <w:bCs/>
          <w:sz w:val="32"/>
          <w:szCs w:val="32"/>
        </w:rPr>
        <w:t>生态效益</w:t>
      </w:r>
    </w:p>
    <w:p w:rsidR="00F92CEB" w:rsidRPr="00B96C00" w:rsidRDefault="004C6C0A" w:rsidP="00B96C00">
      <w:pPr>
        <w:spacing w:line="560" w:lineRule="exact"/>
        <w:ind w:firstLineChars="200" w:firstLine="640"/>
        <w:rPr>
          <w:rFonts w:ascii="仿宋" w:eastAsia="仿宋" w:hAnsi="仿宋" w:cstheme="minorEastAsia"/>
          <w:b/>
          <w:sz w:val="32"/>
          <w:szCs w:val="32"/>
        </w:rPr>
      </w:pPr>
      <w:r w:rsidRPr="00B96C00">
        <w:rPr>
          <w:rFonts w:ascii="仿宋" w:eastAsia="仿宋" w:hAnsi="仿宋" w:cstheme="minorEastAsia" w:hint="eastAsia"/>
          <w:sz w:val="32"/>
          <w:szCs w:val="32"/>
        </w:rPr>
        <w:t>有机肥料及生物农药的推广有效降低化肥及农药的使用量，改善土壤环境，降低化肥及农药的污染。</w:t>
      </w:r>
    </w:p>
    <w:p w:rsidR="00F92CEB" w:rsidRPr="00B96C00" w:rsidRDefault="004C6C0A" w:rsidP="00B96C00">
      <w:pPr>
        <w:spacing w:line="560" w:lineRule="exact"/>
        <w:ind w:firstLineChars="200" w:firstLine="640"/>
        <w:rPr>
          <w:rFonts w:ascii="黑体" w:eastAsia="黑体" w:hAnsi="黑体" w:cs="黑体"/>
          <w:sz w:val="32"/>
          <w:szCs w:val="32"/>
        </w:rPr>
      </w:pPr>
      <w:r w:rsidRPr="00B96C00">
        <w:rPr>
          <w:rFonts w:ascii="黑体" w:eastAsia="黑体" w:hAnsi="黑体" w:cs="黑体" w:hint="eastAsia"/>
          <w:sz w:val="32"/>
          <w:szCs w:val="32"/>
        </w:rPr>
        <w:t>三、绩效评价工作情况</w:t>
      </w:r>
    </w:p>
    <w:p w:rsidR="00F92CEB" w:rsidRPr="00B96C00" w:rsidRDefault="004C6C0A"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（一）绩效评价目的</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通过绩效评价，强化部门责任意识，总结资金管理的经验，发现资金管理中存在的问题，提高财政资金的使用效益，加强财政支出的规范化管理，健全和完善支出项目和资金使用管理办法，加强绩效目标管理和绩效考核工作提供重要的参考依据。</w:t>
      </w:r>
    </w:p>
    <w:p w:rsidR="00F92CEB" w:rsidRPr="00B96C00" w:rsidRDefault="00B96C00"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（二）</w:t>
      </w:r>
      <w:r w:rsidR="004C6C0A" w:rsidRPr="00B96C00">
        <w:rPr>
          <w:rFonts w:ascii="楷体" w:eastAsia="楷体" w:hAnsi="楷体" w:cs="楷体_GB2312" w:hint="eastAsia"/>
          <w:b/>
          <w:bCs/>
          <w:sz w:val="32"/>
          <w:szCs w:val="32"/>
        </w:rPr>
        <w:t>评价内容及方法</w:t>
      </w:r>
    </w:p>
    <w:p w:rsidR="00F92CEB" w:rsidRPr="00B96C00" w:rsidRDefault="004C6C0A" w:rsidP="00B96C00">
      <w:pPr>
        <w:spacing w:line="560" w:lineRule="exact"/>
        <w:ind w:firstLineChars="200" w:firstLine="643"/>
        <w:rPr>
          <w:rFonts w:ascii="仿宋" w:eastAsia="仿宋" w:hAnsi="仿宋" w:cstheme="minorEastAsia"/>
          <w:b/>
          <w:bCs/>
          <w:color w:val="000000"/>
          <w:sz w:val="32"/>
          <w:szCs w:val="32"/>
        </w:rPr>
      </w:pPr>
      <w:r w:rsidRPr="00B96C00">
        <w:rPr>
          <w:rFonts w:ascii="仿宋" w:eastAsia="仿宋" w:hAnsi="仿宋" w:cstheme="minorEastAsia" w:hint="eastAsia"/>
          <w:b/>
          <w:bCs/>
          <w:color w:val="000000"/>
          <w:sz w:val="32"/>
          <w:szCs w:val="32"/>
        </w:rPr>
        <w:t>1、内容：</w:t>
      </w: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1）专项资金政策情况。包括设立专项资金的政策依据是否充分、政策目标设置是否科学、目标是否如期完成、政策实施的环境和条件是否发生了变化；是否出现了适用范围相似或相近的政策、可否归并或整合。</w:t>
      </w: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（2）专项资金管理情况。包括专项资金管理办法是否为规范性文件；资金主管部门内部是否实现了统一管理，是否建立了项目库，项目申报是否规范，项目确定是否实行统一申报、专家评审等。</w:t>
      </w: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（3）专项资金安排情况。包括资金分配是否“散、小、</w:t>
      </w:r>
      <w:r w:rsidRPr="00B96C00">
        <w:rPr>
          <w:rFonts w:ascii="仿宋" w:eastAsia="仿宋" w:hAnsi="仿宋" w:cstheme="minorEastAsia" w:hint="eastAsia"/>
          <w:color w:val="000000"/>
          <w:sz w:val="32"/>
          <w:szCs w:val="32"/>
        </w:rPr>
        <w:lastRenderedPageBreak/>
        <w:t>乱”，是否有结余、挪用等情况；财政部门是否及时拨付资金、项目单位的相关配套资金是否按时到位。</w:t>
      </w:r>
    </w:p>
    <w:p w:rsidR="00F92CEB" w:rsidRPr="00B96C00" w:rsidRDefault="004C6C0A" w:rsidP="00B96C00">
      <w:pPr>
        <w:spacing w:line="560" w:lineRule="exact"/>
        <w:ind w:firstLineChars="200" w:firstLine="640"/>
        <w:rPr>
          <w:rFonts w:ascii="仿宋" w:eastAsia="仿宋" w:hAnsi="仿宋" w:cstheme="minorEastAsia"/>
          <w:color w:val="000000"/>
          <w:sz w:val="32"/>
          <w:szCs w:val="32"/>
        </w:rPr>
      </w:pPr>
      <w:r w:rsidRPr="00B96C00">
        <w:rPr>
          <w:rFonts w:ascii="仿宋" w:eastAsia="仿宋" w:hAnsi="仿宋" w:cstheme="minorEastAsia" w:hint="eastAsia"/>
          <w:color w:val="000000"/>
          <w:sz w:val="32"/>
          <w:szCs w:val="32"/>
        </w:rPr>
        <w:t>（4）专项资金使用情况。包括资金使用单位财务制度是否健全、管理是否规范，是否按时、按质、按量完成项目任务，有无浪费或套取资金等行为。</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color w:val="000000"/>
          <w:sz w:val="32"/>
          <w:szCs w:val="32"/>
        </w:rPr>
        <w:t>（5）专项资金绩效情况。是否完成了预算编制时提出的绩效目标，专项的实施效果如何，社会、经济、生态效益如何。</w:t>
      </w:r>
    </w:p>
    <w:p w:rsidR="00F92CEB" w:rsidRPr="00B96C00" w:rsidRDefault="004C6C0A" w:rsidP="00B96C00">
      <w:pPr>
        <w:spacing w:line="560" w:lineRule="exact"/>
        <w:ind w:firstLineChars="200" w:firstLine="643"/>
        <w:rPr>
          <w:rFonts w:ascii="仿宋" w:eastAsia="仿宋" w:hAnsi="仿宋" w:cstheme="minorEastAsia"/>
          <w:b/>
          <w:bCs/>
          <w:sz w:val="32"/>
          <w:szCs w:val="32"/>
        </w:rPr>
      </w:pPr>
      <w:r w:rsidRPr="00B96C00">
        <w:rPr>
          <w:rFonts w:ascii="仿宋" w:eastAsia="仿宋" w:hAnsi="仿宋" w:cstheme="minorEastAsia" w:hint="eastAsia"/>
          <w:b/>
          <w:bCs/>
          <w:sz w:val="32"/>
          <w:szCs w:val="32"/>
        </w:rPr>
        <w:t>2、方法：</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及时成立绩效评价工作领导小组，落实层层责任，按照绩效评价要求，对专项资金政策情况、专项资金管理情况、专项资金安排情况、专项资金使用情况、专项资金绩效情况制定了评价计划和实施方案，安排部署了绩效评价工作，分阶段组织实施。第一阶段，对20</w:t>
      </w:r>
      <w:r w:rsidR="00B96C00">
        <w:rPr>
          <w:rFonts w:ascii="仿宋" w:eastAsia="仿宋" w:hAnsi="仿宋" w:cstheme="minorEastAsia"/>
          <w:sz w:val="32"/>
          <w:szCs w:val="32"/>
        </w:rPr>
        <w:t>20</w:t>
      </w:r>
      <w:r w:rsidRPr="00B96C00">
        <w:rPr>
          <w:rFonts w:ascii="仿宋" w:eastAsia="仿宋" w:hAnsi="仿宋" w:cstheme="minorEastAsia" w:hint="eastAsia"/>
          <w:sz w:val="32"/>
          <w:szCs w:val="32"/>
        </w:rPr>
        <w:t>年蔬菜科技推广经费资金进行自查；第二阶段，对资金投入、使用、绩效进行汇总；第三阶段，按照绩效评价指标进行自评；第四阶段，撰写绩效评价报告。选用的具体评价指标包括：项目组织管理、项目资金使用管理及项目社会效益三部分。</w:t>
      </w:r>
    </w:p>
    <w:p w:rsidR="00F92CEB" w:rsidRPr="00B96C00" w:rsidRDefault="004C6C0A" w:rsidP="00B96C00">
      <w:pPr>
        <w:spacing w:line="560" w:lineRule="exact"/>
        <w:ind w:firstLineChars="200" w:firstLine="640"/>
        <w:rPr>
          <w:rFonts w:ascii="黑体" w:eastAsia="黑体" w:hAnsi="黑体" w:cs="黑体"/>
          <w:sz w:val="32"/>
          <w:szCs w:val="32"/>
        </w:rPr>
      </w:pPr>
      <w:r w:rsidRPr="00B96C00">
        <w:rPr>
          <w:rFonts w:ascii="黑体" w:eastAsia="黑体" w:hAnsi="黑体" w:cs="黑体" w:hint="eastAsia"/>
          <w:sz w:val="32"/>
          <w:szCs w:val="32"/>
        </w:rPr>
        <w:t>四、评价结论</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通过对20</w:t>
      </w:r>
      <w:r w:rsidR="00B96C00">
        <w:rPr>
          <w:rFonts w:ascii="仿宋" w:eastAsia="仿宋" w:hAnsi="仿宋" w:cstheme="minorEastAsia"/>
          <w:sz w:val="32"/>
          <w:szCs w:val="32"/>
        </w:rPr>
        <w:t>20</w:t>
      </w:r>
      <w:r w:rsidRPr="00B96C00">
        <w:rPr>
          <w:rFonts w:ascii="仿宋" w:eastAsia="仿宋" w:hAnsi="仿宋" w:cstheme="minorEastAsia" w:hint="eastAsia"/>
          <w:sz w:val="32"/>
          <w:szCs w:val="32"/>
        </w:rPr>
        <w:t>年</w:t>
      </w:r>
      <w:r w:rsidRPr="00B96C00">
        <w:rPr>
          <w:rFonts w:ascii="仿宋" w:eastAsia="仿宋" w:hAnsi="仿宋" w:cstheme="minorEastAsia" w:hint="eastAsia"/>
          <w:bCs/>
          <w:sz w:val="32"/>
          <w:szCs w:val="32"/>
        </w:rPr>
        <w:t>蔬菜推广经费</w:t>
      </w:r>
      <w:r w:rsidRPr="00B96C00">
        <w:rPr>
          <w:rFonts w:ascii="仿宋" w:eastAsia="仿宋" w:hAnsi="仿宋" w:cstheme="minorEastAsia" w:hint="eastAsia"/>
          <w:sz w:val="32"/>
          <w:szCs w:val="32"/>
        </w:rPr>
        <w:t>绩效评价，结合现场勘验、检查、核实的情况，自评如下：1、项目立项规范，绩效目标合理，绩效指标明确；2、资金到位及时；3、组织管理到位，成立了项目领导小组，配备了专业管理人员，建立并落实各项制度；4、项目按时、按质、按量完成，产生了良好</w:t>
      </w:r>
      <w:r w:rsidRPr="00B96C00">
        <w:rPr>
          <w:rFonts w:ascii="仿宋" w:eastAsia="仿宋" w:hAnsi="仿宋" w:cstheme="minorEastAsia" w:hint="eastAsia"/>
          <w:sz w:val="32"/>
          <w:szCs w:val="32"/>
        </w:rPr>
        <w:lastRenderedPageBreak/>
        <w:t>的经济效益和社会效益，受到群众好评。</w:t>
      </w:r>
      <w:bookmarkStart w:id="0" w:name="_GoBack"/>
      <w:bookmarkEnd w:id="0"/>
      <w:r w:rsidR="007774A9" w:rsidRPr="007774A9">
        <w:rPr>
          <w:rFonts w:ascii="仿宋" w:eastAsia="仿宋" w:hAnsi="仿宋" w:cstheme="minorEastAsia" w:hint="eastAsia"/>
          <w:sz w:val="32"/>
          <w:szCs w:val="32"/>
        </w:rPr>
        <w:t>自评得分9</w:t>
      </w:r>
      <w:r w:rsidR="007774A9">
        <w:rPr>
          <w:rFonts w:ascii="仿宋" w:eastAsia="仿宋" w:hAnsi="仿宋" w:cstheme="minorEastAsia" w:hint="eastAsia"/>
          <w:sz w:val="32"/>
          <w:szCs w:val="32"/>
        </w:rPr>
        <w:t>1</w:t>
      </w:r>
      <w:r w:rsidR="007774A9" w:rsidRPr="007774A9">
        <w:rPr>
          <w:rFonts w:ascii="仿宋" w:eastAsia="仿宋" w:hAnsi="仿宋" w:cstheme="minorEastAsia" w:hint="eastAsia"/>
          <w:sz w:val="32"/>
          <w:szCs w:val="32"/>
        </w:rPr>
        <w:t>分。</w:t>
      </w:r>
    </w:p>
    <w:p w:rsidR="00F92CEB" w:rsidRPr="00B96C00" w:rsidRDefault="004C6C0A" w:rsidP="00B96C00">
      <w:pPr>
        <w:spacing w:line="560" w:lineRule="exact"/>
        <w:ind w:firstLineChars="200" w:firstLine="640"/>
        <w:rPr>
          <w:rFonts w:ascii="黑体" w:eastAsia="黑体" w:hAnsi="黑体" w:cs="黑体"/>
          <w:sz w:val="32"/>
          <w:szCs w:val="32"/>
        </w:rPr>
      </w:pPr>
      <w:r w:rsidRPr="00B96C00">
        <w:rPr>
          <w:rFonts w:ascii="黑体" w:eastAsia="黑体" w:hAnsi="黑体" w:cs="黑体" w:hint="eastAsia"/>
          <w:sz w:val="32"/>
          <w:szCs w:val="32"/>
        </w:rPr>
        <w:t>五、存在的问题及建议</w:t>
      </w:r>
    </w:p>
    <w:p w:rsidR="00F92CEB" w:rsidRPr="00B96C00" w:rsidRDefault="004C6C0A" w:rsidP="00B96C00">
      <w:pPr>
        <w:spacing w:line="560" w:lineRule="exact"/>
        <w:ind w:firstLineChars="200" w:firstLine="643"/>
        <w:rPr>
          <w:rFonts w:ascii="楷体" w:eastAsia="楷体" w:hAnsi="楷体" w:cs="仿宋"/>
          <w:sz w:val="32"/>
          <w:szCs w:val="32"/>
        </w:rPr>
      </w:pPr>
      <w:r w:rsidRPr="00B96C00">
        <w:rPr>
          <w:rFonts w:ascii="楷体" w:eastAsia="楷体" w:hAnsi="楷体" w:cs="楷体_GB2312" w:hint="eastAsia"/>
          <w:b/>
          <w:bCs/>
          <w:sz w:val="32"/>
          <w:szCs w:val="32"/>
        </w:rPr>
        <w:t>（一）问题：</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1、专项资金较少，建设规模不大，示范效果有限。</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2、专项资金投资不连续,不能产生持续效果。</w:t>
      </w:r>
    </w:p>
    <w:p w:rsidR="00F92CEB" w:rsidRPr="00B96C00" w:rsidRDefault="004C6C0A" w:rsidP="00B96C00">
      <w:pPr>
        <w:spacing w:line="560" w:lineRule="exact"/>
        <w:ind w:firstLineChars="200" w:firstLine="643"/>
        <w:rPr>
          <w:rFonts w:ascii="楷体" w:eastAsia="楷体" w:hAnsi="楷体" w:cs="楷体_GB2312"/>
          <w:b/>
          <w:bCs/>
          <w:sz w:val="32"/>
          <w:szCs w:val="32"/>
        </w:rPr>
      </w:pPr>
      <w:r w:rsidRPr="00B96C00">
        <w:rPr>
          <w:rFonts w:ascii="楷体" w:eastAsia="楷体" w:hAnsi="楷体" w:cs="楷体_GB2312" w:hint="eastAsia"/>
          <w:b/>
          <w:bCs/>
          <w:sz w:val="32"/>
          <w:szCs w:val="32"/>
        </w:rPr>
        <w:t>（二）建议：</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1、加大财政投资力度，扩大建设规模。</w:t>
      </w:r>
    </w:p>
    <w:p w:rsidR="00F92CEB" w:rsidRPr="00B96C00" w:rsidRDefault="004C6C0A" w:rsidP="00B96C00">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2、蔬菜是我县五大支柱产业之一,是农民脱贫致富的经济来源,重视蔬菜产业,加大投入,把蔬菜科技推广经费纳入财政预算，保障蔬菜持续增产创收。</w:t>
      </w:r>
    </w:p>
    <w:p w:rsidR="00F92CEB" w:rsidRDefault="00F92CEB" w:rsidP="00B96C00">
      <w:pPr>
        <w:spacing w:line="560" w:lineRule="exact"/>
        <w:ind w:firstLineChars="200" w:firstLine="640"/>
        <w:rPr>
          <w:rFonts w:ascii="仿宋" w:eastAsia="仿宋" w:hAnsi="仿宋" w:cs="Times New Roman"/>
          <w:sz w:val="32"/>
          <w:szCs w:val="32"/>
        </w:rPr>
      </w:pPr>
    </w:p>
    <w:p w:rsidR="00092DCB" w:rsidRPr="00B96C00" w:rsidRDefault="00092DCB" w:rsidP="00B96C00">
      <w:pPr>
        <w:spacing w:line="560" w:lineRule="exact"/>
        <w:ind w:firstLineChars="200" w:firstLine="640"/>
        <w:rPr>
          <w:rFonts w:ascii="仿宋" w:eastAsia="仿宋" w:hAnsi="仿宋" w:cs="Times New Roman"/>
          <w:sz w:val="32"/>
          <w:szCs w:val="32"/>
        </w:rPr>
      </w:pPr>
    </w:p>
    <w:p w:rsidR="00F92CEB" w:rsidRPr="00B96C00" w:rsidRDefault="004C6C0A" w:rsidP="00092DCB">
      <w:pPr>
        <w:spacing w:line="560" w:lineRule="exact"/>
        <w:ind w:firstLineChars="974" w:firstLine="3117"/>
        <w:rPr>
          <w:rFonts w:ascii="仿宋" w:eastAsia="仿宋" w:hAnsi="仿宋" w:cstheme="minorEastAsia"/>
          <w:sz w:val="32"/>
          <w:szCs w:val="32"/>
        </w:rPr>
      </w:pPr>
      <w:r w:rsidRPr="00B96C00">
        <w:rPr>
          <w:rFonts w:ascii="仿宋" w:eastAsia="仿宋" w:hAnsi="仿宋" w:cstheme="minorEastAsia" w:hint="eastAsia"/>
          <w:sz w:val="32"/>
          <w:szCs w:val="32"/>
        </w:rPr>
        <w:t>芷江侗族自治县农业农村局</w:t>
      </w:r>
    </w:p>
    <w:p w:rsidR="0067314D" w:rsidRDefault="004C6C0A">
      <w:pPr>
        <w:spacing w:line="560" w:lineRule="exact"/>
        <w:ind w:firstLineChars="200" w:firstLine="640"/>
        <w:rPr>
          <w:rFonts w:ascii="仿宋" w:eastAsia="仿宋" w:hAnsi="仿宋" w:cstheme="minorEastAsia"/>
          <w:sz w:val="32"/>
          <w:szCs w:val="32"/>
        </w:rPr>
      </w:pPr>
      <w:r w:rsidRPr="00B96C00">
        <w:rPr>
          <w:rFonts w:ascii="仿宋" w:eastAsia="仿宋" w:hAnsi="仿宋" w:cstheme="minorEastAsia" w:hint="eastAsia"/>
          <w:sz w:val="32"/>
          <w:szCs w:val="32"/>
        </w:rPr>
        <w:t xml:space="preserve">             </w:t>
      </w:r>
      <w:r w:rsidR="00092DCB">
        <w:rPr>
          <w:rFonts w:ascii="仿宋" w:eastAsia="仿宋" w:hAnsi="仿宋" w:cstheme="minorEastAsia"/>
          <w:sz w:val="32"/>
          <w:szCs w:val="32"/>
        </w:rPr>
        <w:t xml:space="preserve"> </w:t>
      </w:r>
      <w:r w:rsidRPr="00B96C00">
        <w:rPr>
          <w:rFonts w:ascii="仿宋" w:eastAsia="仿宋" w:hAnsi="仿宋" w:cstheme="minorEastAsia" w:hint="eastAsia"/>
          <w:sz w:val="32"/>
          <w:szCs w:val="32"/>
        </w:rPr>
        <w:t xml:space="preserve">      202</w:t>
      </w:r>
      <w:r w:rsidR="00B96C00">
        <w:rPr>
          <w:rFonts w:ascii="仿宋" w:eastAsia="仿宋" w:hAnsi="仿宋" w:cstheme="minorEastAsia"/>
          <w:sz w:val="32"/>
          <w:szCs w:val="32"/>
        </w:rPr>
        <w:t>1</w:t>
      </w:r>
      <w:r w:rsidRPr="00B96C00">
        <w:rPr>
          <w:rFonts w:ascii="仿宋" w:eastAsia="仿宋" w:hAnsi="仿宋" w:cstheme="minorEastAsia" w:hint="eastAsia"/>
          <w:sz w:val="32"/>
          <w:szCs w:val="32"/>
        </w:rPr>
        <w:t>年</w:t>
      </w:r>
      <w:r w:rsidR="0025647D">
        <w:rPr>
          <w:rFonts w:ascii="仿宋" w:eastAsia="仿宋" w:hAnsi="仿宋" w:cstheme="minorEastAsia"/>
          <w:sz w:val="32"/>
          <w:szCs w:val="32"/>
        </w:rPr>
        <w:t>7</w:t>
      </w:r>
      <w:r w:rsidRPr="00B96C00">
        <w:rPr>
          <w:rFonts w:ascii="仿宋" w:eastAsia="仿宋" w:hAnsi="仿宋" w:cstheme="minorEastAsia" w:hint="eastAsia"/>
          <w:sz w:val="32"/>
          <w:szCs w:val="32"/>
        </w:rPr>
        <w:t>月</w:t>
      </w:r>
      <w:r w:rsidR="0025647D">
        <w:rPr>
          <w:rFonts w:ascii="仿宋" w:eastAsia="仿宋" w:hAnsi="仿宋" w:cstheme="minorEastAsia"/>
          <w:sz w:val="32"/>
          <w:szCs w:val="32"/>
        </w:rPr>
        <w:t>12</w:t>
      </w:r>
      <w:r w:rsidRPr="00B96C00">
        <w:rPr>
          <w:rFonts w:ascii="仿宋" w:eastAsia="仿宋" w:hAnsi="仿宋" w:cstheme="minorEastAsia" w:hint="eastAsia"/>
          <w:sz w:val="32"/>
          <w:szCs w:val="32"/>
        </w:rPr>
        <w:t>日</w:t>
      </w:r>
    </w:p>
    <w:p w:rsidR="0067314D" w:rsidRDefault="0067314D">
      <w:pPr>
        <w:widowControl/>
        <w:jc w:val="left"/>
        <w:rPr>
          <w:rFonts w:ascii="仿宋" w:eastAsia="仿宋" w:hAnsi="仿宋" w:cstheme="minorEastAsia"/>
          <w:sz w:val="32"/>
          <w:szCs w:val="32"/>
        </w:rPr>
      </w:pPr>
      <w:r>
        <w:rPr>
          <w:rFonts w:ascii="仿宋" w:eastAsia="仿宋" w:hAnsi="仿宋" w:cstheme="minorEastAsia"/>
          <w:sz w:val="32"/>
          <w:szCs w:val="32"/>
        </w:rPr>
        <w:br w:type="page"/>
      </w:r>
    </w:p>
    <w:tbl>
      <w:tblPr>
        <w:tblW w:w="8537" w:type="dxa"/>
        <w:tblInd w:w="-17" w:type="dxa"/>
        <w:tblLayout w:type="fixed"/>
        <w:tblCellMar>
          <w:top w:w="15" w:type="dxa"/>
          <w:left w:w="15" w:type="dxa"/>
          <w:bottom w:w="15" w:type="dxa"/>
          <w:right w:w="15" w:type="dxa"/>
        </w:tblCellMar>
        <w:tblLook w:val="04A0" w:firstRow="1" w:lastRow="0" w:firstColumn="1" w:lastColumn="0" w:noHBand="0" w:noVBand="1"/>
      </w:tblPr>
      <w:tblGrid>
        <w:gridCol w:w="307"/>
        <w:gridCol w:w="9"/>
        <w:gridCol w:w="387"/>
        <w:gridCol w:w="38"/>
        <w:gridCol w:w="284"/>
        <w:gridCol w:w="425"/>
        <w:gridCol w:w="567"/>
        <w:gridCol w:w="390"/>
        <w:gridCol w:w="2040"/>
        <w:gridCol w:w="2805"/>
        <w:gridCol w:w="569"/>
        <w:gridCol w:w="705"/>
        <w:gridCol w:w="11"/>
      </w:tblGrid>
      <w:tr w:rsidR="0067314D" w:rsidTr="0067314D">
        <w:trPr>
          <w:trHeight w:val="585"/>
        </w:trPr>
        <w:tc>
          <w:tcPr>
            <w:tcW w:w="8537" w:type="dxa"/>
            <w:gridSpan w:val="13"/>
            <w:vAlign w:val="center"/>
          </w:tcPr>
          <w:p w:rsidR="0067314D" w:rsidRPr="0067314D" w:rsidRDefault="0067314D" w:rsidP="001711BF">
            <w:pPr>
              <w:widowControl/>
              <w:jc w:val="center"/>
              <w:textAlignment w:val="center"/>
              <w:rPr>
                <w:rFonts w:ascii="方正小标宋简体" w:eastAsia="方正小标宋简体" w:hAnsi="宋体" w:cs="宋体"/>
                <w:color w:val="000000"/>
                <w:kern w:val="0"/>
                <w:sz w:val="36"/>
                <w:szCs w:val="36"/>
              </w:rPr>
            </w:pPr>
            <w:r w:rsidRPr="0067314D">
              <w:rPr>
                <w:rFonts w:ascii="方正小标宋简体" w:eastAsia="方正小标宋简体" w:hAnsi="宋体" w:cs="宋体" w:hint="eastAsia"/>
                <w:color w:val="000000"/>
                <w:kern w:val="0"/>
                <w:sz w:val="36"/>
                <w:szCs w:val="36"/>
              </w:rPr>
              <w:lastRenderedPageBreak/>
              <w:t>芷江侗族自治县农业农村局2020年蔬菜推广专项资金绩效评价指标</w:t>
            </w:r>
          </w:p>
        </w:tc>
      </w:tr>
      <w:tr w:rsidR="0067314D" w:rsidTr="0067314D">
        <w:trPr>
          <w:trHeight w:val="435"/>
        </w:trPr>
        <w:tc>
          <w:tcPr>
            <w:tcW w:w="8537" w:type="dxa"/>
            <w:gridSpan w:val="13"/>
            <w:tcBorders>
              <w:bottom w:val="single" w:sz="4" w:space="0" w:color="000000"/>
            </w:tcBorders>
            <w:vAlign w:val="center"/>
          </w:tcPr>
          <w:p w:rsidR="0067314D" w:rsidRDefault="0067314D" w:rsidP="001711BF">
            <w:pPr>
              <w:widowControl/>
              <w:jc w:val="left"/>
              <w:textAlignment w:val="center"/>
              <w:rPr>
                <w:rFonts w:ascii="宋体" w:hAnsi="宋体" w:cs="宋体"/>
                <w:b/>
                <w:color w:val="000000"/>
                <w:kern w:val="0"/>
                <w:sz w:val="24"/>
                <w:szCs w:val="24"/>
              </w:rPr>
            </w:pPr>
          </w:p>
          <w:p w:rsidR="0067314D" w:rsidRDefault="0067314D" w:rsidP="001711BF">
            <w:pPr>
              <w:widowControl/>
              <w:jc w:val="left"/>
              <w:textAlignment w:val="center"/>
              <w:rPr>
                <w:rFonts w:ascii="宋体" w:hAnsi="宋体" w:cs="宋体"/>
                <w:b/>
                <w:color w:val="000000"/>
                <w:kern w:val="0"/>
                <w:sz w:val="24"/>
                <w:szCs w:val="24"/>
              </w:rPr>
            </w:pPr>
            <w:r>
              <w:rPr>
                <w:rFonts w:ascii="宋体" w:hAnsi="宋体" w:cs="宋体" w:hint="eastAsia"/>
                <w:b/>
                <w:color w:val="000000"/>
                <w:kern w:val="0"/>
                <w:sz w:val="24"/>
                <w:szCs w:val="24"/>
              </w:rPr>
              <w:t>填报单位：芷江侗族自治县农业农村局</w:t>
            </w:r>
          </w:p>
        </w:tc>
      </w:tr>
      <w:tr w:rsidR="0067314D" w:rsidTr="0067314D">
        <w:trPr>
          <w:gridAfter w:val="1"/>
          <w:wAfter w:w="11" w:type="dxa"/>
          <w:trHeight w:val="915"/>
        </w:trPr>
        <w:tc>
          <w:tcPr>
            <w:tcW w:w="30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一级指标</w:t>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322" w:type="dxa"/>
            <w:gridSpan w:val="2"/>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二级指标</w:t>
            </w:r>
          </w:p>
        </w:tc>
        <w:tc>
          <w:tcPr>
            <w:tcW w:w="42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三级指标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指标解释</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评价标准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评分</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b/>
                <w:color w:val="000000"/>
                <w:kern w:val="0"/>
                <w:sz w:val="24"/>
                <w:szCs w:val="24"/>
              </w:rPr>
            </w:pPr>
            <w:r>
              <w:rPr>
                <w:rFonts w:ascii="宋体" w:hAnsi="宋体" w:cs="宋体" w:hint="eastAsia"/>
                <w:b/>
                <w:color w:val="000000"/>
                <w:kern w:val="0"/>
                <w:sz w:val="24"/>
                <w:szCs w:val="24"/>
              </w:rPr>
              <w:t>备注</w:t>
            </w:r>
          </w:p>
        </w:tc>
      </w:tr>
      <w:tr w:rsidR="0067314D" w:rsidTr="0067314D">
        <w:trPr>
          <w:gridAfter w:val="1"/>
          <w:wAfter w:w="11" w:type="dxa"/>
          <w:trHeight w:val="1110"/>
        </w:trPr>
        <w:tc>
          <w:tcPr>
            <w:tcW w:w="307" w:type="dxa"/>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396" w:type="dxa"/>
            <w:gridSpan w:val="2"/>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hint="eastAsia"/>
                <w:noProof/>
                <w:color w:val="000000"/>
                <w:kern w:val="0"/>
                <w:sz w:val="18"/>
                <w:szCs w:val="18"/>
              </w:rPr>
              <w:drawing>
                <wp:inline distT="0" distB="0" distL="114300" distR="114300" wp14:anchorId="117CF3EF" wp14:editId="01A6CEE7">
                  <wp:extent cx="9525" cy="9525"/>
                  <wp:effectExtent l="0" t="0" r="0" b="0"/>
                  <wp:docPr id="4"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color w:val="000000"/>
                <w:kern w:val="0"/>
                <w:sz w:val="18"/>
                <w:szCs w:val="18"/>
              </w:rPr>
              <w:t xml:space="preserve"> </w:t>
            </w:r>
            <w:r>
              <w:rPr>
                <w:rFonts w:ascii="宋体" w:hAnsi="宋体" w:cs="宋体" w:hint="eastAsia"/>
                <w:noProof/>
                <w:color w:val="000000"/>
                <w:kern w:val="0"/>
                <w:sz w:val="18"/>
                <w:szCs w:val="18"/>
              </w:rPr>
              <w:drawing>
                <wp:inline distT="0" distB="0" distL="114300" distR="114300" wp14:anchorId="775C146F" wp14:editId="2288E016">
                  <wp:extent cx="9525" cy="9525"/>
                  <wp:effectExtent l="0" t="0" r="0" b="0"/>
                  <wp:docPr id="5" name="图片 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78097173" wp14:editId="1D52313B">
                  <wp:extent cx="9525" cy="9525"/>
                  <wp:effectExtent l="0" t="0" r="0" b="0"/>
                  <wp:docPr id="6" name="图片 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75376000" wp14:editId="686AC959">
                  <wp:extent cx="9525" cy="9525"/>
                  <wp:effectExtent l="0" t="0" r="0" b="0"/>
                  <wp:docPr id="7" name="图片 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63BB4428" wp14:editId="223290CB">
                  <wp:extent cx="9525" cy="9525"/>
                  <wp:effectExtent l="0" t="0" r="0" b="0"/>
                  <wp:docPr id="8" name="图片 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08E9828F" wp14:editId="01424E04">
                  <wp:extent cx="9525" cy="9525"/>
                  <wp:effectExtent l="0" t="0" r="0" b="0"/>
                  <wp:docPr id="9" name="图片 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67B7AD6B" wp14:editId="0C84C408">
                  <wp:extent cx="9525" cy="9525"/>
                  <wp:effectExtent l="0" t="0" r="0" b="0"/>
                  <wp:docPr id="10"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r>
              <w:rPr>
                <w:rFonts w:ascii="宋体" w:hAnsi="宋体" w:cs="宋体" w:hint="eastAsia"/>
                <w:noProof/>
                <w:color w:val="000000"/>
                <w:kern w:val="0"/>
                <w:sz w:val="18"/>
                <w:szCs w:val="18"/>
              </w:rPr>
              <w:drawing>
                <wp:inline distT="0" distB="0" distL="114300" distR="114300" wp14:anchorId="5C6123E5" wp14:editId="15AB02DA">
                  <wp:extent cx="9525" cy="9525"/>
                  <wp:effectExtent l="0" t="0" r="0" b="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9"/>
                          <a:stretch>
                            <a:fillRect/>
                          </a:stretch>
                        </pic:blipFill>
                        <pic:spPr>
                          <a:xfrm>
                            <a:off x="0" y="0"/>
                            <a:ext cx="9525" cy="9525"/>
                          </a:xfrm>
                          <a:prstGeom prst="rect">
                            <a:avLst/>
                          </a:prstGeom>
                          <a:noFill/>
                          <a:ln>
                            <a:noFill/>
                          </a:ln>
                        </pic:spPr>
                      </pic:pic>
                    </a:graphicData>
                  </a:graphic>
                </wp:inline>
              </w:drawing>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67314D">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035"/>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①符合国家相关法律法规、国民经济发展规划和党委政府决策记1分，否则不记分；             </w:t>
            </w:r>
          </w:p>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②与项目实施单位或委托单位职责密切相关记1分，否则不记分；                              ③项目能促进事业发展所需要记1分，否则不记分；                                     ④项目预期产出效益和效果符合正常的业绩水平记1分，否则不记分。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095"/>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795"/>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425" w:type="dxa"/>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r>
      <w:tr w:rsidR="0067314D" w:rsidTr="0067314D">
        <w:trPr>
          <w:gridAfter w:val="1"/>
          <w:wAfter w:w="11" w:type="dxa"/>
          <w:trHeight w:val="795"/>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r>
      <w:tr w:rsidR="0067314D" w:rsidTr="0067314D">
        <w:trPr>
          <w:gridAfter w:val="1"/>
          <w:wAfter w:w="11" w:type="dxa"/>
          <w:trHeight w:val="945"/>
        </w:trPr>
        <w:tc>
          <w:tcPr>
            <w:tcW w:w="307" w:type="dxa"/>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396" w:type="dxa"/>
            <w:gridSpan w:val="2"/>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3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①已制定或具有相应的业务管理制度记2.5分， 不制定不记分；                                        ②业务管理制度合法、合规、完整记2.5分；不合法、不合规、不完整不记分。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140"/>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遵守相关法律法规和业务管理规定记5分，否则不记分。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170"/>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项目实施单位是否为达到项目质量要求而采取了必需的措施，用以反映和考核项目实施单位对项目质量的控制情况。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035"/>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425" w:type="dxa"/>
            <w:vMerge w:val="restart"/>
            <w:tcBorders>
              <w:top w:val="single" w:sz="4" w:space="0" w:color="000000"/>
              <w:left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569" w:type="dxa"/>
            <w:tcBorders>
              <w:top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top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2545"/>
        </w:trPr>
        <w:tc>
          <w:tcPr>
            <w:tcW w:w="307" w:type="dxa"/>
            <w:vMerge/>
            <w:tcBorders>
              <w:top w:val="single" w:sz="4" w:space="0" w:color="000000"/>
              <w:left w:val="single" w:sz="4" w:space="0" w:color="000000"/>
              <w:bottom w:val="nil"/>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bottom w:val="nil"/>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left w:val="single" w:sz="4" w:space="0" w:color="000000"/>
              <w:bottom w:val="nil"/>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left w:val="single" w:sz="4" w:space="0" w:color="000000"/>
              <w:bottom w:val="single" w:sz="4" w:space="0" w:color="auto"/>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67314D" w:rsidRDefault="0067314D" w:rsidP="001711BF">
            <w:pPr>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w:t>
            </w:r>
          </w:p>
        </w:tc>
        <w:tc>
          <w:tcPr>
            <w:tcW w:w="390" w:type="dxa"/>
            <w:tcBorders>
              <w:top w:val="single" w:sz="4" w:space="0" w:color="000000"/>
              <w:left w:val="single" w:sz="4" w:space="0" w:color="000000"/>
              <w:bottom w:val="single" w:sz="4" w:space="0" w:color="auto"/>
              <w:right w:val="single" w:sz="4" w:space="0" w:color="000000"/>
            </w:tcBorders>
            <w:vAlign w:val="center"/>
          </w:tcPr>
          <w:p w:rsidR="0067314D" w:rsidRDefault="0067314D" w:rsidP="001711BF">
            <w:pPr>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auto"/>
              <w:right w:val="single" w:sz="4" w:space="0" w:color="000000"/>
            </w:tcBorders>
            <w:vAlign w:val="center"/>
          </w:tcPr>
          <w:p w:rsidR="0067314D" w:rsidRPr="0067314D" w:rsidRDefault="0067314D" w:rsidP="001711BF">
            <w:pPr>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项目资金使用是否符合相关的财务管理制度规定，用以反映和考核项目资金的规范运行情况。</w:t>
            </w:r>
          </w:p>
        </w:tc>
        <w:tc>
          <w:tcPr>
            <w:tcW w:w="2805" w:type="dxa"/>
            <w:tcBorders>
              <w:top w:val="single" w:sz="4" w:space="0" w:color="000000"/>
              <w:left w:val="single" w:sz="4" w:space="0" w:color="000000"/>
              <w:bottom w:val="single" w:sz="4" w:space="0" w:color="auto"/>
              <w:right w:val="single" w:sz="4" w:space="0" w:color="000000"/>
            </w:tcBorders>
            <w:vAlign w:val="center"/>
          </w:tcPr>
          <w:p w:rsidR="0067314D" w:rsidRDefault="0067314D" w:rsidP="0067314D">
            <w:pPr>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69" w:type="dxa"/>
            <w:tcBorders>
              <w:bottom w:val="single" w:sz="4" w:space="0" w:color="auto"/>
              <w:right w:val="single" w:sz="4" w:space="0" w:color="000000"/>
            </w:tcBorders>
            <w:vAlign w:val="center"/>
          </w:tcPr>
          <w:p w:rsidR="0067314D" w:rsidRDefault="0067314D" w:rsidP="001711BF">
            <w:pPr>
              <w:jc w:val="center"/>
              <w:textAlignment w:val="center"/>
              <w:rPr>
                <w:rFonts w:ascii="宋体" w:hAnsi="宋体" w:cs="宋体"/>
                <w:color w:val="000000"/>
                <w:kern w:val="0"/>
                <w:sz w:val="18"/>
                <w:szCs w:val="18"/>
              </w:rPr>
            </w:pPr>
            <w:r>
              <w:rPr>
                <w:rFonts w:ascii="宋体" w:hAnsi="宋体" w:cs="宋体"/>
                <w:color w:val="000000"/>
                <w:kern w:val="0"/>
                <w:sz w:val="18"/>
                <w:szCs w:val="18"/>
              </w:rPr>
              <w:t>5</w:t>
            </w:r>
          </w:p>
        </w:tc>
        <w:tc>
          <w:tcPr>
            <w:tcW w:w="705" w:type="dxa"/>
            <w:tcBorders>
              <w:bottom w:val="single" w:sz="4" w:space="0" w:color="auto"/>
              <w:right w:val="single" w:sz="4" w:space="0" w:color="000000"/>
            </w:tcBorders>
            <w:vAlign w:val="center"/>
          </w:tcPr>
          <w:p w:rsidR="0067314D" w:rsidRDefault="0067314D" w:rsidP="001711BF">
            <w:pPr>
              <w:jc w:val="center"/>
              <w:textAlignment w:val="center"/>
              <w:rPr>
                <w:rFonts w:ascii="宋体" w:hAnsi="宋体" w:cs="宋体"/>
                <w:color w:val="000000"/>
                <w:kern w:val="0"/>
                <w:sz w:val="18"/>
                <w:szCs w:val="18"/>
              </w:rPr>
            </w:pPr>
          </w:p>
        </w:tc>
      </w:tr>
      <w:tr w:rsidR="0067314D" w:rsidTr="0067314D">
        <w:trPr>
          <w:gridAfter w:val="1"/>
          <w:wAfter w:w="11" w:type="dxa"/>
          <w:trHeight w:val="1050"/>
        </w:trPr>
        <w:tc>
          <w:tcPr>
            <w:tcW w:w="307"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20"/>
                <w:szCs w:val="20"/>
              </w:rPr>
            </w:pPr>
          </w:p>
        </w:tc>
        <w:tc>
          <w:tcPr>
            <w:tcW w:w="396" w:type="dxa"/>
            <w:gridSpan w:val="2"/>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322" w:type="dxa"/>
            <w:gridSpan w:val="2"/>
            <w:vMerge/>
            <w:tcBorders>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项目单位是否为保障资金的安全、规范运行而采取了必要的监控措施，用以反映和考核项目单位对资金运行的控制情况。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569"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155"/>
        </w:trPr>
        <w:tc>
          <w:tcPr>
            <w:tcW w:w="3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       出</w:t>
            </w:r>
          </w:p>
        </w:tc>
        <w:tc>
          <w:tcPr>
            <w:tcW w:w="4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284" w:type="dxa"/>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实际完成率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项目实施的实际完成数与计划完成数的比率，用以反映和考核项目完成数量目标的实现程度。</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①推广新品种、新肥料、新农药面积100亩，记3分；每减少30亩扣1分，扣完为止。</w:t>
            </w:r>
          </w:p>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②试验示范新品种、新肥料、新农药4个，记3分；每减少1个试验示范片扣1分，扣完为止。</w:t>
            </w:r>
            <w:r>
              <w:rPr>
                <w:rFonts w:ascii="宋体" w:hAnsi="宋体" w:cs="宋体" w:hint="eastAsia"/>
                <w:color w:val="000000"/>
                <w:sz w:val="20"/>
                <w:szCs w:val="20"/>
              </w:rPr>
              <w:t xml:space="preserve"> </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637"/>
        </w:trPr>
        <w:tc>
          <w:tcPr>
            <w:tcW w:w="316"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完成及时率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完成是否及时</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按时完成计6分，不按时完成的不计分。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1020"/>
        </w:trPr>
        <w:tc>
          <w:tcPr>
            <w:tcW w:w="316"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质量达标率</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项目完成的质量达标产出数与实际产出数的比率，用以反映和考核项目产出质量目标的实现程度。</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提高产品优质率10%以上，记3分；产量优质率7-10%记2分，未提高产品优质率不记分 ；</w:t>
            </w:r>
          </w:p>
          <w:p w:rsidR="0067314D" w:rsidRPr="0067314D" w:rsidRDefault="0067314D" w:rsidP="001711BF">
            <w:pPr>
              <w:widowControl/>
              <w:jc w:val="left"/>
              <w:textAlignment w:val="center"/>
              <w:rPr>
                <w:rFonts w:ascii="宋体" w:hAnsi="宋体" w:cs="宋体"/>
                <w:color w:val="000000"/>
                <w:sz w:val="18"/>
                <w:szCs w:val="18"/>
              </w:rPr>
            </w:pPr>
            <w:r w:rsidRPr="0067314D">
              <w:rPr>
                <w:rFonts w:ascii="宋体" w:hAnsi="宋体" w:cs="宋体" w:hint="eastAsia"/>
                <w:color w:val="000000"/>
                <w:kern w:val="0"/>
                <w:sz w:val="18"/>
                <w:szCs w:val="18"/>
              </w:rPr>
              <w:t>产品检测农药残留量不超标记3分；产品检测农药残留量超标记0分。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18"/>
                <w:szCs w:val="18"/>
              </w:rPr>
            </w:pPr>
          </w:p>
        </w:tc>
      </w:tr>
      <w:tr w:rsidR="0067314D" w:rsidTr="0067314D">
        <w:trPr>
          <w:gridAfter w:val="1"/>
          <w:wAfter w:w="11" w:type="dxa"/>
          <w:trHeight w:val="885"/>
        </w:trPr>
        <w:tc>
          <w:tcPr>
            <w:tcW w:w="3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成本节约率</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14D" w:rsidRPr="0067314D" w:rsidRDefault="0067314D" w:rsidP="0067314D">
            <w:pPr>
              <w:widowControl/>
              <w:spacing w:line="240" w:lineRule="exact"/>
              <w:jc w:val="left"/>
              <w:textAlignment w:val="center"/>
              <w:rPr>
                <w:rFonts w:ascii="宋体" w:hAnsi="宋体" w:cs="宋体"/>
                <w:color w:val="000000"/>
                <w:kern w:val="0"/>
                <w:sz w:val="18"/>
                <w:szCs w:val="18"/>
              </w:rPr>
            </w:pPr>
            <w:r w:rsidRPr="0067314D">
              <w:rPr>
                <w:rFonts w:ascii="宋体" w:hAnsi="宋体" w:cs="宋体" w:hint="eastAsia"/>
                <w:color w:val="000000"/>
                <w:kern w:val="0"/>
                <w:sz w:val="18"/>
                <w:szCs w:val="18"/>
              </w:rPr>
              <w:t>对照项目绩效目标申报表中成本指标金额与项目实际支出成本金额对比确定本项目得分</w:t>
            </w:r>
          </w:p>
        </w:tc>
        <w:tc>
          <w:tcPr>
            <w:tcW w:w="2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14D" w:rsidRPr="0067314D" w:rsidRDefault="0067314D" w:rsidP="001711BF">
            <w:pPr>
              <w:widowControl/>
              <w:jc w:val="left"/>
              <w:textAlignment w:val="center"/>
              <w:rPr>
                <w:rFonts w:ascii="宋体" w:hAnsi="宋体" w:cs="宋体"/>
                <w:color w:val="000000"/>
                <w:kern w:val="0"/>
                <w:sz w:val="18"/>
                <w:szCs w:val="18"/>
              </w:rPr>
            </w:pPr>
            <w:r w:rsidRPr="0067314D">
              <w:rPr>
                <w:rFonts w:ascii="宋体" w:hAnsi="宋体" w:cs="宋体" w:hint="eastAsia"/>
                <w:color w:val="000000"/>
                <w:kern w:val="0"/>
                <w:sz w:val="18"/>
                <w:szCs w:val="18"/>
              </w:rPr>
              <w:t>项目实际投资比项目预算金额节约和持平满分，项目每超支5%扣一分，扣完为止</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p>
        </w:tc>
      </w:tr>
      <w:tr w:rsidR="0067314D" w:rsidTr="0067314D">
        <w:trPr>
          <w:gridAfter w:val="1"/>
          <w:wAfter w:w="11" w:type="dxa"/>
          <w:trHeight w:val="930"/>
        </w:trPr>
        <w:tc>
          <w:tcPr>
            <w:tcW w:w="316" w:type="dxa"/>
            <w:gridSpan w:val="2"/>
            <w:vMerge w:val="restart"/>
            <w:tcBorders>
              <w:top w:val="single" w:sz="4" w:space="0" w:color="auto"/>
              <w:left w:val="single" w:sz="4" w:space="0" w:color="auto"/>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效果</w:t>
            </w:r>
          </w:p>
        </w:tc>
        <w:tc>
          <w:tcPr>
            <w:tcW w:w="425" w:type="dxa"/>
            <w:gridSpan w:val="2"/>
            <w:vMerge w:val="restart"/>
            <w:tcBorders>
              <w:top w:val="single" w:sz="4" w:space="0" w:color="auto"/>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284" w:type="dxa"/>
            <w:vMerge w:val="restart"/>
            <w:tcBorders>
              <w:top w:val="single" w:sz="4" w:space="0" w:color="auto"/>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color w:val="000000"/>
                <w:kern w:val="0"/>
                <w:sz w:val="18"/>
                <w:szCs w:val="18"/>
              </w:rPr>
              <w:t>经济效益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项目实施对经济发展所带来的直接或间接影响情况。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经济效益突出的，记5分，项目经济效益较好的，记4分，项目经济效益一般的，不记分。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p>
        </w:tc>
      </w:tr>
      <w:tr w:rsidR="0067314D" w:rsidTr="0067314D">
        <w:trPr>
          <w:gridAfter w:val="1"/>
          <w:wAfter w:w="11" w:type="dxa"/>
          <w:trHeight w:val="660"/>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项目实施对社会发展所带来的直接或间接影响情况。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社会效益突出的，记5分，社会效益较好的，记4分，社会效益一般的，不记分。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p>
        </w:tc>
      </w:tr>
      <w:tr w:rsidR="0067314D" w:rsidTr="0067314D">
        <w:trPr>
          <w:gridAfter w:val="1"/>
          <w:wAfter w:w="11" w:type="dxa"/>
          <w:trHeight w:val="585"/>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生态效益</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项目实施对生态环境发展所带来的直接或间接影响情况。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生态效益明显，记5分，生态效益较好的，记4分，生态效益一般的，不记分。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p>
        </w:tc>
      </w:tr>
      <w:tr w:rsidR="0067314D" w:rsidTr="0067314D">
        <w:trPr>
          <w:gridAfter w:val="1"/>
          <w:wAfter w:w="11" w:type="dxa"/>
          <w:trHeight w:val="660"/>
        </w:trPr>
        <w:tc>
          <w:tcPr>
            <w:tcW w:w="316" w:type="dxa"/>
            <w:gridSpan w:val="2"/>
            <w:vMerge/>
            <w:tcBorders>
              <w:top w:val="single" w:sz="4" w:space="0" w:color="000000"/>
              <w:left w:val="single" w:sz="4" w:space="0" w:color="auto"/>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可持续影响</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项目后续运行及成效发挥的可持续影响情况。</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好5分，一般4分，不好不计分。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p>
        </w:tc>
      </w:tr>
      <w:tr w:rsidR="0067314D" w:rsidTr="0067314D">
        <w:trPr>
          <w:gridAfter w:val="1"/>
          <w:wAfter w:w="11" w:type="dxa"/>
          <w:trHeight w:val="660"/>
        </w:trPr>
        <w:tc>
          <w:tcPr>
            <w:tcW w:w="316" w:type="dxa"/>
            <w:gridSpan w:val="2"/>
            <w:vMerge/>
            <w:tcBorders>
              <w:top w:val="single" w:sz="4" w:space="0" w:color="000000"/>
              <w:left w:val="single" w:sz="4" w:space="0" w:color="auto"/>
              <w:bottom w:val="single" w:sz="4" w:space="0" w:color="auto"/>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gridSpan w:val="2"/>
            <w:vMerge/>
            <w:tcBorders>
              <w:top w:val="single" w:sz="4" w:space="0" w:color="000000"/>
              <w:left w:val="single" w:sz="4" w:space="0" w:color="000000"/>
              <w:bottom w:val="single" w:sz="4" w:space="0" w:color="auto"/>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284" w:type="dxa"/>
            <w:vMerge/>
            <w:tcBorders>
              <w:top w:val="single" w:sz="4" w:space="0" w:color="000000"/>
              <w:left w:val="single" w:sz="4" w:space="0" w:color="000000"/>
              <w:bottom w:val="single" w:sz="4" w:space="0" w:color="auto"/>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auto"/>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示范片群众满意度</w:t>
            </w: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对示范农户进行调查</w:t>
            </w: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满意度度90%以上得满分，满意度度70%-90%计5分，满意度度70%以下的不计分。</w:t>
            </w: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p>
        </w:tc>
      </w:tr>
      <w:tr w:rsidR="0067314D" w:rsidTr="0067314D">
        <w:trPr>
          <w:gridAfter w:val="1"/>
          <w:wAfter w:w="11" w:type="dxa"/>
          <w:trHeight w:val="660"/>
        </w:trPr>
        <w:tc>
          <w:tcPr>
            <w:tcW w:w="316" w:type="dxa"/>
            <w:gridSpan w:val="2"/>
            <w:tcBorders>
              <w:top w:val="single" w:sz="4" w:space="0" w:color="auto"/>
              <w:left w:val="single" w:sz="4" w:space="0" w:color="auto"/>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r>
              <w:rPr>
                <w:rFonts w:ascii="宋体" w:hAnsi="宋体" w:cs="宋体" w:hint="eastAsia"/>
                <w:color w:val="000000"/>
                <w:kern w:val="0"/>
                <w:sz w:val="18"/>
                <w:szCs w:val="18"/>
              </w:rPr>
              <w:t>总分</w:t>
            </w:r>
          </w:p>
        </w:tc>
        <w:tc>
          <w:tcPr>
            <w:tcW w:w="425" w:type="dxa"/>
            <w:gridSpan w:val="2"/>
            <w:tcBorders>
              <w:top w:val="single" w:sz="4" w:space="0" w:color="auto"/>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r>
              <w:rPr>
                <w:rFonts w:ascii="宋体" w:hAnsi="宋体" w:cs="宋体" w:hint="eastAsia"/>
                <w:color w:val="000000"/>
                <w:sz w:val="18"/>
                <w:szCs w:val="18"/>
              </w:rPr>
              <w:t>100</w:t>
            </w:r>
          </w:p>
        </w:tc>
        <w:tc>
          <w:tcPr>
            <w:tcW w:w="284" w:type="dxa"/>
            <w:tcBorders>
              <w:top w:val="single" w:sz="4" w:space="0" w:color="auto"/>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p>
        </w:tc>
        <w:tc>
          <w:tcPr>
            <w:tcW w:w="425" w:type="dxa"/>
            <w:tcBorders>
              <w:top w:val="single" w:sz="4" w:space="0" w:color="auto"/>
              <w:left w:val="single" w:sz="4" w:space="0" w:color="000000"/>
              <w:bottom w:val="single" w:sz="4" w:space="0" w:color="000000"/>
              <w:right w:val="single" w:sz="4" w:space="0" w:color="000000"/>
            </w:tcBorders>
            <w:vAlign w:val="center"/>
          </w:tcPr>
          <w:p w:rsidR="0067314D" w:rsidRDefault="0067314D" w:rsidP="001711BF">
            <w:pPr>
              <w:jc w:val="center"/>
              <w:rPr>
                <w:rFonts w:ascii="宋体" w:hAnsi="宋体" w:cs="宋体"/>
                <w:color w:val="000000"/>
                <w:sz w:val="18"/>
                <w:szCs w:val="18"/>
              </w:rPr>
            </w:pPr>
            <w:r>
              <w:rPr>
                <w:rFonts w:ascii="宋体" w:hAnsi="宋体" w:cs="宋体" w:hint="eastAsia"/>
                <w:color w:val="000000"/>
                <w:sz w:val="18"/>
                <w:szCs w:val="18"/>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20"/>
                <w:szCs w:val="20"/>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20"/>
                <w:szCs w:val="20"/>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67314D" w:rsidRDefault="0067314D" w:rsidP="001711BF">
            <w:pPr>
              <w:widowControl/>
              <w:jc w:val="left"/>
              <w:textAlignment w:val="center"/>
              <w:rPr>
                <w:rFonts w:ascii="宋体" w:hAnsi="宋体" w:cs="宋体"/>
                <w:color w:val="000000"/>
                <w:kern w:val="0"/>
                <w:sz w:val="18"/>
                <w:szCs w:val="18"/>
              </w:rPr>
            </w:pPr>
          </w:p>
        </w:tc>
        <w:tc>
          <w:tcPr>
            <w:tcW w:w="569"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91</w:t>
            </w:r>
          </w:p>
        </w:tc>
        <w:tc>
          <w:tcPr>
            <w:tcW w:w="705" w:type="dxa"/>
            <w:tcBorders>
              <w:top w:val="single" w:sz="4" w:space="0" w:color="000000"/>
              <w:left w:val="single" w:sz="4" w:space="0" w:color="000000"/>
              <w:bottom w:val="single" w:sz="4" w:space="0" w:color="000000"/>
              <w:right w:val="single" w:sz="4" w:space="0" w:color="auto"/>
            </w:tcBorders>
            <w:vAlign w:val="center"/>
          </w:tcPr>
          <w:p w:rsidR="0067314D" w:rsidRDefault="0067314D" w:rsidP="001711BF">
            <w:pPr>
              <w:widowControl/>
              <w:jc w:val="center"/>
              <w:textAlignment w:val="center"/>
              <w:rPr>
                <w:rFonts w:ascii="宋体" w:hAnsi="宋体" w:cs="宋体"/>
                <w:color w:val="000000"/>
                <w:kern w:val="0"/>
                <w:sz w:val="20"/>
                <w:szCs w:val="20"/>
              </w:rPr>
            </w:pPr>
          </w:p>
        </w:tc>
      </w:tr>
    </w:tbl>
    <w:p w:rsidR="00F92CEB" w:rsidRDefault="00F92CEB" w:rsidP="0067314D">
      <w:pPr>
        <w:spacing w:line="560" w:lineRule="exact"/>
        <w:rPr>
          <w:rFonts w:asciiTheme="minorEastAsia" w:eastAsiaTheme="minorEastAsia" w:hAnsiTheme="minorEastAsia" w:cstheme="minorEastAsia"/>
          <w:color w:val="000000"/>
          <w:sz w:val="32"/>
          <w:szCs w:val="32"/>
        </w:rPr>
      </w:pPr>
    </w:p>
    <w:sectPr w:rsidR="00F92CE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65" w:rsidRDefault="00880D65">
      <w:r>
        <w:separator/>
      </w:r>
    </w:p>
  </w:endnote>
  <w:endnote w:type="continuationSeparator" w:id="0">
    <w:p w:rsidR="00880D65" w:rsidRDefault="0088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09" w:rsidRDefault="000C7109">
    <w:pPr>
      <w:pStyle w:val="a3"/>
      <w:jc w:val="center"/>
    </w:pPr>
  </w:p>
  <w:p w:rsidR="00F92CEB" w:rsidRDefault="00F92CE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72837"/>
      <w:docPartObj>
        <w:docPartGallery w:val="Page Numbers (Bottom of Page)"/>
        <w:docPartUnique/>
      </w:docPartObj>
    </w:sdtPr>
    <w:sdtEndPr/>
    <w:sdtContent>
      <w:p w:rsidR="000C7109" w:rsidRDefault="000C7109">
        <w:pPr>
          <w:pStyle w:val="a3"/>
          <w:jc w:val="center"/>
        </w:pPr>
        <w:r>
          <w:fldChar w:fldCharType="begin"/>
        </w:r>
        <w:r>
          <w:instrText>PAGE   \* MERGEFORMAT</w:instrText>
        </w:r>
        <w:r>
          <w:fldChar w:fldCharType="separate"/>
        </w:r>
        <w:r w:rsidR="007774A9" w:rsidRPr="007774A9">
          <w:rPr>
            <w:noProof/>
            <w:lang w:val="zh-CN"/>
          </w:rPr>
          <w:t>5</w:t>
        </w:r>
        <w:r>
          <w:fldChar w:fldCharType="end"/>
        </w:r>
      </w:p>
    </w:sdtContent>
  </w:sdt>
  <w:p w:rsidR="000C7109" w:rsidRDefault="000C710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65" w:rsidRDefault="00880D65">
      <w:r>
        <w:separator/>
      </w:r>
    </w:p>
  </w:footnote>
  <w:footnote w:type="continuationSeparator" w:id="0">
    <w:p w:rsidR="00880D65" w:rsidRDefault="00880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85ED6A"/>
    <w:multiLevelType w:val="singleLevel"/>
    <w:tmpl w:val="AAF286F6"/>
    <w:lvl w:ilvl="0">
      <w:start w:val="2"/>
      <w:numFmt w:val="chineseCounting"/>
      <w:suff w:val="nothing"/>
      <w:lvlText w:val="（%1）"/>
      <w:lvlJc w:val="left"/>
      <w:rPr>
        <w:rFonts w:hint="eastAsia"/>
        <w:lang w:val="en-US"/>
      </w:rPr>
    </w:lvl>
  </w:abstractNum>
  <w:abstractNum w:abstractNumId="1" w15:restartNumberingAfterBreak="0">
    <w:nsid w:val="321C28B9"/>
    <w:multiLevelType w:val="singleLevel"/>
    <w:tmpl w:val="321C28B9"/>
    <w:lvl w:ilvl="0">
      <w:start w:val="2"/>
      <w:numFmt w:val="chineseCounting"/>
      <w:suff w:val="nothing"/>
      <w:lvlText w:val="（%1）"/>
      <w:lvlJc w:val="left"/>
      <w:rPr>
        <w:rFonts w:hint="eastAsia"/>
      </w:rPr>
    </w:lvl>
  </w:abstractNum>
  <w:abstractNum w:abstractNumId="2" w15:restartNumberingAfterBreak="0">
    <w:nsid w:val="58D9B58E"/>
    <w:multiLevelType w:val="singleLevel"/>
    <w:tmpl w:val="58D9B58E"/>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23671"/>
    <w:rsid w:val="00092DCB"/>
    <w:rsid w:val="000C7109"/>
    <w:rsid w:val="000F460A"/>
    <w:rsid w:val="001F286C"/>
    <w:rsid w:val="0025647D"/>
    <w:rsid w:val="00342F80"/>
    <w:rsid w:val="0041081B"/>
    <w:rsid w:val="004C6C0A"/>
    <w:rsid w:val="0067314D"/>
    <w:rsid w:val="00675B6D"/>
    <w:rsid w:val="006D06CD"/>
    <w:rsid w:val="0076560E"/>
    <w:rsid w:val="007774A9"/>
    <w:rsid w:val="00781B93"/>
    <w:rsid w:val="00803936"/>
    <w:rsid w:val="008262E3"/>
    <w:rsid w:val="00880D65"/>
    <w:rsid w:val="008B5536"/>
    <w:rsid w:val="00AA680A"/>
    <w:rsid w:val="00AE7FB2"/>
    <w:rsid w:val="00B96C00"/>
    <w:rsid w:val="00D8557E"/>
    <w:rsid w:val="00DC3D94"/>
    <w:rsid w:val="00F92CEB"/>
    <w:rsid w:val="00F9498E"/>
    <w:rsid w:val="1D805AEE"/>
    <w:rsid w:val="5E02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5DAB20-560F-40B5-AD91-EB39A172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rsid w:val="00B96C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6C00"/>
    <w:rPr>
      <w:rFonts w:ascii="Calibri" w:hAnsi="Calibri" w:cs="Arial"/>
      <w:kern w:val="2"/>
      <w:sz w:val="18"/>
      <w:szCs w:val="18"/>
    </w:rPr>
  </w:style>
  <w:style w:type="character" w:customStyle="1" w:styleId="a4">
    <w:name w:val="页脚 字符"/>
    <w:basedOn w:val="a0"/>
    <w:link w:val="a3"/>
    <w:uiPriority w:val="99"/>
    <w:rsid w:val="000C7109"/>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dc:creator>
  <cp:lastModifiedBy>微软用户</cp:lastModifiedBy>
  <cp:revision>19</cp:revision>
  <dcterms:created xsi:type="dcterms:W3CDTF">2020-05-21T07:41:00Z</dcterms:created>
  <dcterms:modified xsi:type="dcterms:W3CDTF">2021-07-14T01:47:00Z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