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F4" w:rsidRDefault="00325BF4">
      <w:pPr>
        <w:spacing w:line="560" w:lineRule="exact"/>
        <w:jc w:val="center"/>
        <w:rPr>
          <w:rFonts w:ascii="方正小标宋简体" w:eastAsia="方正小标宋简体" w:hAnsiTheme="majorEastAsia" w:cstheme="majorEastAsia"/>
          <w:sz w:val="44"/>
          <w:szCs w:val="44"/>
        </w:rPr>
      </w:pPr>
      <w:r w:rsidRPr="00325BF4">
        <w:rPr>
          <w:rFonts w:ascii="方正小标宋简体" w:eastAsia="方正小标宋简体" w:hAnsiTheme="majorEastAsia" w:cstheme="majorEastAsia"/>
          <w:noProof/>
          <w:sz w:val="44"/>
          <w:szCs w:val="44"/>
        </w:rPr>
        <mc:AlternateContent>
          <mc:Choice Requires="wpg">
            <w:drawing>
              <wp:anchor distT="0" distB="0" distL="114300" distR="114300" simplePos="0" relativeHeight="251659264" behindDoc="0" locked="0" layoutInCell="1" allowOverlap="1" wp14:anchorId="6726F87E" wp14:editId="5D17D928">
                <wp:simplePos x="0" y="0"/>
                <wp:positionH relativeFrom="column">
                  <wp:posOffset>0</wp:posOffset>
                </wp:positionH>
                <wp:positionV relativeFrom="paragraph">
                  <wp:posOffset>0</wp:posOffset>
                </wp:positionV>
                <wp:extent cx="5495027" cy="1943818"/>
                <wp:effectExtent l="0" t="0" r="0" b="37465"/>
                <wp:wrapNone/>
                <wp:docPr id="3" name="组合 3"/>
                <wp:cNvGraphicFramePr/>
                <a:graphic xmlns:a="http://schemas.openxmlformats.org/drawingml/2006/main">
                  <a:graphicData uri="http://schemas.microsoft.com/office/word/2010/wordprocessingGroup">
                    <wpg:wgp>
                      <wpg:cNvGrpSpPr/>
                      <wpg:grpSpPr>
                        <a:xfrm>
                          <a:off x="0" y="0"/>
                          <a:ext cx="5495027" cy="1943818"/>
                          <a:chOff x="0" y="0"/>
                          <a:chExt cx="5495027" cy="1943818"/>
                        </a:xfrm>
                      </wpg:grpSpPr>
                      <wps:wsp>
                        <wps:cNvPr id="1" name="文本框 1"/>
                        <wps:cNvSpPr txBox="1"/>
                        <wps:spPr>
                          <a:xfrm>
                            <a:off x="0" y="0"/>
                            <a:ext cx="5495027" cy="1052423"/>
                          </a:xfrm>
                          <a:prstGeom prst="rect">
                            <a:avLst/>
                          </a:prstGeom>
                          <a:solidFill>
                            <a:sysClr val="window" lastClr="FFFFFF"/>
                          </a:solidFill>
                          <a:ln w="6350">
                            <a:noFill/>
                          </a:ln>
                        </wps:spPr>
                        <wps:txbx>
                          <w:txbxContent>
                            <w:p w:rsidR="00325BF4" w:rsidRPr="001F286C" w:rsidRDefault="00325BF4" w:rsidP="00325BF4">
                              <w:pPr>
                                <w:rPr>
                                  <w:rFonts w:ascii="方正小标宋简体" w:eastAsia="方正小标宋简体"/>
                                  <w:color w:val="FF0000"/>
                                  <w:spacing w:val="-40"/>
                                  <w:w w:val="80"/>
                                  <w:sz w:val="84"/>
                                  <w:szCs w:val="84"/>
                                </w:rPr>
                              </w:pPr>
                              <w:r w:rsidRPr="001F286C">
                                <w:rPr>
                                  <w:rFonts w:ascii="方正小标宋简体" w:eastAsia="方正小标宋简体" w:hint="eastAsia"/>
                                  <w:color w:val="FF0000"/>
                                  <w:spacing w:val="-40"/>
                                  <w:w w:val="80"/>
                                  <w:sz w:val="84"/>
                                  <w:szCs w:val="84"/>
                                </w:rPr>
                                <w:t>芷江侗族自治县农业农村局文件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接连接符 2"/>
                        <wps:cNvCnPr/>
                        <wps:spPr>
                          <a:xfrm flipV="1">
                            <a:off x="120770" y="1940943"/>
                            <a:ext cx="5139187" cy="2875"/>
                          </a:xfrm>
                          <a:prstGeom prst="line">
                            <a:avLst/>
                          </a:prstGeom>
                          <a:noFill/>
                          <a:ln w="38100" cap="flat" cmpd="sng" algn="ctr">
                            <a:solidFill>
                              <a:srgbClr val="FF0000"/>
                            </a:solidFill>
                            <a:prstDash val="solid"/>
                            <a:miter lim="800000"/>
                          </a:ln>
                          <a:effectLst/>
                        </wps:spPr>
                        <wps:bodyPr/>
                      </wps:wsp>
                    </wpg:wgp>
                  </a:graphicData>
                </a:graphic>
              </wp:anchor>
            </w:drawing>
          </mc:Choice>
          <mc:Fallback>
            <w:pict>
              <v:group w14:anchorId="6726F87E" id="组合 3" o:spid="_x0000_s1026" style="position:absolute;left:0;text-align:left;margin-left:0;margin-top:0;width:432.7pt;height:153.05pt;z-index:251659264" coordsize="54950,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">
                <v:shapetype id="_x0000_t202" coordsize="21600,21600" o:spt="202" path="m,l,21600r21600,l21600,xe">
                  <v:stroke joinstyle="miter"/>
                  <v:path gradientshapeok="t" o:connecttype="rect"/>
                </v:shapetype>
                <v:shape id="文本框 1" o:spid="_x0000_s1027" type="#_x0000_t202" style="position:absolute;width:54950;height:1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" fillcolor="window" stroked="f" strokeweight=".5pt">
                  <v:textbox>
                    <w:txbxContent>
                      <w:p w:rsidR="00325BF4" w:rsidRPr="001F286C" w:rsidRDefault="00325BF4" w:rsidP="00325BF4">
                        <w:pPr>
                          <w:rPr>
                            <w:rFonts w:ascii="方正小标宋简体" w:eastAsia="方正小标宋简体"/>
                            <w:color w:val="FF0000"/>
                            <w:spacing w:val="-40"/>
                            <w:w w:val="80"/>
                            <w:sz w:val="84"/>
                            <w:szCs w:val="84"/>
                          </w:rPr>
                        </w:pPr>
                        <w:r w:rsidRPr="001F286C">
                          <w:rPr>
                            <w:rFonts w:ascii="方正小标宋简体" w:eastAsia="方正小标宋简体" w:hint="eastAsia"/>
                            <w:color w:val="FF0000"/>
                            <w:spacing w:val="-40"/>
                            <w:w w:val="80"/>
                            <w:sz w:val="84"/>
                            <w:szCs w:val="84"/>
                          </w:rPr>
                          <w:t>芷江侗族自治县农业农村局文件</w:t>
                        </w:r>
                      </w:p>
                    </w:txbxContent>
                  </v:textbox>
                </v:shape>
                <v:line id="直接连接符 2" o:spid="_x0000_s1028" style="position:absolute;flip:y;visibility:visible;mso-wrap-style:square" from="1207,19409" to="52599,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" strokecolor="red" strokeweight="3pt">
                  <v:stroke joinstyle="miter"/>
                </v:line>
              </v:group>
            </w:pict>
          </mc:Fallback>
        </mc:AlternateContent>
      </w:r>
      <w:r w:rsidR="00E4062F">
        <w:rPr>
          <w:rFonts w:ascii="方正小标宋简体" w:eastAsia="方正小标宋简体" w:hAnsiTheme="majorEastAsia" w:cstheme="majorEastAsia" w:hint="eastAsia"/>
          <w:sz w:val="44"/>
          <w:szCs w:val="44"/>
        </w:rPr>
        <w:t xml:space="preserve"> </w:t>
      </w:r>
    </w:p>
    <w:p w:rsidR="00325BF4" w:rsidRDefault="00325BF4">
      <w:pPr>
        <w:spacing w:line="560" w:lineRule="exact"/>
        <w:jc w:val="center"/>
        <w:rPr>
          <w:rFonts w:ascii="方正小标宋简体" w:eastAsia="方正小标宋简体" w:hAnsiTheme="majorEastAsia" w:cstheme="majorEastAsia"/>
          <w:sz w:val="44"/>
          <w:szCs w:val="44"/>
        </w:rPr>
      </w:pPr>
    </w:p>
    <w:p w:rsidR="00325BF4" w:rsidRDefault="00325BF4">
      <w:pPr>
        <w:spacing w:line="560" w:lineRule="exact"/>
        <w:jc w:val="center"/>
        <w:rPr>
          <w:rFonts w:ascii="方正小标宋简体" w:eastAsia="方正小标宋简体" w:hAnsiTheme="majorEastAsia" w:cstheme="majorEastAsia"/>
          <w:sz w:val="44"/>
          <w:szCs w:val="44"/>
        </w:rPr>
      </w:pPr>
    </w:p>
    <w:p w:rsidR="00325BF4" w:rsidRDefault="00325BF4">
      <w:pPr>
        <w:spacing w:line="560" w:lineRule="exact"/>
        <w:jc w:val="center"/>
        <w:rPr>
          <w:rFonts w:ascii="方正小标宋简体" w:eastAsia="方正小标宋简体" w:hAnsiTheme="majorEastAsia" w:cstheme="majorEastAsia"/>
          <w:sz w:val="44"/>
          <w:szCs w:val="44"/>
        </w:rPr>
      </w:pPr>
    </w:p>
    <w:p w:rsidR="00325BF4" w:rsidRDefault="00325BF4">
      <w:pPr>
        <w:spacing w:line="560" w:lineRule="exact"/>
        <w:jc w:val="center"/>
        <w:rPr>
          <w:rFonts w:ascii="方正小标宋简体" w:eastAsia="方正小标宋简体" w:hAnsiTheme="majorEastAsia" w:cstheme="majorEastAsia"/>
          <w:sz w:val="44"/>
          <w:szCs w:val="44"/>
        </w:rPr>
      </w:pPr>
    </w:p>
    <w:p w:rsidR="00325BF4" w:rsidRDefault="00325BF4">
      <w:pPr>
        <w:spacing w:line="560" w:lineRule="exact"/>
        <w:jc w:val="center"/>
        <w:rPr>
          <w:rFonts w:ascii="方正小标宋简体" w:eastAsia="方正小标宋简体" w:hAnsiTheme="majorEastAsia" w:cstheme="majorEastAsia"/>
          <w:sz w:val="44"/>
          <w:szCs w:val="44"/>
        </w:rPr>
      </w:pPr>
    </w:p>
    <w:p w:rsidR="003400E5" w:rsidRDefault="00E61AD3">
      <w:pPr>
        <w:spacing w:line="560" w:lineRule="exact"/>
        <w:jc w:val="center"/>
        <w:rPr>
          <w:rFonts w:ascii="方正小标宋简体" w:eastAsia="方正小标宋简体" w:hAnsiTheme="majorEastAsia" w:cstheme="majorEastAsia"/>
          <w:sz w:val="44"/>
          <w:szCs w:val="44"/>
        </w:rPr>
      </w:pPr>
      <w:r w:rsidRPr="003400E5">
        <w:rPr>
          <w:rFonts w:ascii="方正小标宋简体" w:eastAsia="方正小标宋简体" w:hAnsiTheme="majorEastAsia" w:cstheme="majorEastAsia" w:hint="eastAsia"/>
          <w:sz w:val="44"/>
          <w:szCs w:val="44"/>
        </w:rPr>
        <w:t>芷江侗族自治县农业农村局</w:t>
      </w:r>
    </w:p>
    <w:p w:rsidR="003400E5" w:rsidRPr="003400E5" w:rsidRDefault="00E61AD3" w:rsidP="003400E5">
      <w:pPr>
        <w:spacing w:line="560" w:lineRule="exact"/>
        <w:jc w:val="center"/>
        <w:rPr>
          <w:rFonts w:ascii="方正小标宋简体" w:eastAsia="方正小标宋简体" w:hAnsiTheme="majorEastAsia" w:cstheme="majorEastAsia"/>
          <w:spacing w:val="-24"/>
          <w:sz w:val="44"/>
          <w:szCs w:val="44"/>
        </w:rPr>
      </w:pPr>
      <w:r w:rsidRPr="003400E5">
        <w:rPr>
          <w:rFonts w:ascii="方正小标宋简体" w:eastAsia="方正小标宋简体" w:hAnsiTheme="majorEastAsia" w:cstheme="majorEastAsia" w:hint="eastAsia"/>
          <w:spacing w:val="-24"/>
          <w:sz w:val="44"/>
          <w:szCs w:val="44"/>
        </w:rPr>
        <w:t>20</w:t>
      </w:r>
      <w:r w:rsidR="003400E5" w:rsidRPr="003400E5">
        <w:rPr>
          <w:rFonts w:ascii="方正小标宋简体" w:eastAsia="方正小标宋简体" w:hAnsiTheme="majorEastAsia" w:cstheme="majorEastAsia" w:hint="eastAsia"/>
          <w:spacing w:val="-24"/>
          <w:sz w:val="44"/>
          <w:szCs w:val="44"/>
        </w:rPr>
        <w:t>20</w:t>
      </w:r>
      <w:r w:rsidRPr="003400E5">
        <w:rPr>
          <w:rFonts w:ascii="方正小标宋简体" w:eastAsia="方正小标宋简体" w:hAnsiTheme="majorEastAsia" w:cstheme="majorEastAsia" w:hint="eastAsia"/>
          <w:spacing w:val="-24"/>
          <w:sz w:val="44"/>
          <w:szCs w:val="44"/>
        </w:rPr>
        <w:t>年农产品质量安全监管检测和农业综合执法</w:t>
      </w:r>
    </w:p>
    <w:p w:rsidR="00A23B6B" w:rsidRPr="003400E5" w:rsidRDefault="00E61AD3">
      <w:pPr>
        <w:spacing w:line="560" w:lineRule="exact"/>
        <w:jc w:val="center"/>
        <w:rPr>
          <w:rFonts w:ascii="方正小标宋简体" w:eastAsia="方正小标宋简体" w:hAnsiTheme="majorEastAsia" w:cstheme="majorEastAsia"/>
          <w:sz w:val="44"/>
          <w:szCs w:val="44"/>
        </w:rPr>
      </w:pPr>
      <w:r w:rsidRPr="003400E5">
        <w:rPr>
          <w:rFonts w:ascii="方正小标宋简体" w:eastAsia="方正小标宋简体" w:hAnsiTheme="majorEastAsia" w:cstheme="majorEastAsia" w:hint="eastAsia"/>
          <w:sz w:val="44"/>
          <w:szCs w:val="44"/>
        </w:rPr>
        <w:t>专项经</w:t>
      </w:r>
      <w:r w:rsidRPr="003400E5">
        <w:rPr>
          <w:rFonts w:ascii="方正小标宋简体" w:eastAsia="方正小标宋简体" w:hAnsiTheme="minorEastAsia" w:cstheme="minorEastAsia" w:hint="eastAsia"/>
          <w:sz w:val="44"/>
          <w:szCs w:val="44"/>
        </w:rPr>
        <w:t>费</w:t>
      </w:r>
      <w:r w:rsidRPr="003400E5">
        <w:rPr>
          <w:rFonts w:ascii="方正小标宋简体" w:eastAsia="方正小标宋简体" w:hAnsiTheme="majorEastAsia" w:cstheme="majorEastAsia" w:hint="eastAsia"/>
          <w:sz w:val="44"/>
          <w:szCs w:val="44"/>
        </w:rPr>
        <w:t>绩效自评报告</w:t>
      </w:r>
    </w:p>
    <w:p w:rsidR="003400E5" w:rsidRDefault="003400E5">
      <w:pPr>
        <w:spacing w:line="560" w:lineRule="exact"/>
        <w:ind w:firstLineChars="200" w:firstLine="640"/>
        <w:rPr>
          <w:rFonts w:asciiTheme="minorEastAsia" w:eastAsiaTheme="minorEastAsia" w:hAnsiTheme="minorEastAsia" w:cstheme="minorEastAsia"/>
          <w:color w:val="000000"/>
          <w:sz w:val="32"/>
          <w:szCs w:val="32"/>
        </w:rPr>
      </w:pPr>
    </w:p>
    <w:p w:rsidR="00A23B6B" w:rsidRPr="003400E5" w:rsidRDefault="00E61AD3" w:rsidP="003400E5">
      <w:pPr>
        <w:spacing w:line="560" w:lineRule="exact"/>
        <w:ind w:firstLineChars="200" w:firstLine="640"/>
        <w:rPr>
          <w:rFonts w:ascii="仿宋" w:eastAsia="仿宋" w:hAnsi="仿宋" w:cstheme="minorEastAsia"/>
          <w:color w:val="000000"/>
          <w:sz w:val="32"/>
          <w:szCs w:val="32"/>
        </w:rPr>
      </w:pPr>
      <w:r w:rsidRPr="003400E5">
        <w:rPr>
          <w:rFonts w:ascii="仿宋" w:eastAsia="仿宋" w:hAnsi="仿宋" w:cstheme="minorEastAsia" w:hint="eastAsia"/>
          <w:color w:val="000000"/>
          <w:sz w:val="32"/>
          <w:szCs w:val="32"/>
        </w:rPr>
        <w:t>为进一步规范财政资金管理，强化部门责任意识，切实提高财政资金使用效益。根据《党政机关厉行节约反对浪费条例》、财政部《财政支出绩效评价管理暂行办法》（财预〔2011〕285号）、《中共湖南省委办公厅湖南省人民政府办公厅关于全面实施预算绩效管理的实施意见》（湘办发〔2019〕10号）、《芷江侗族自治县人民政府关于全面推进预算绩效管理的实施意见》（芷政发</w:t>
      </w:r>
      <w:r w:rsidR="00C75BC7">
        <w:rPr>
          <w:rFonts w:ascii="仿宋" w:eastAsia="仿宋" w:hAnsi="仿宋" w:cstheme="minorEastAsia" w:hint="eastAsia"/>
          <w:color w:val="000000"/>
          <w:sz w:val="32"/>
          <w:szCs w:val="32"/>
        </w:rPr>
        <w:t>〔</w:t>
      </w:r>
      <w:r w:rsidRPr="003400E5">
        <w:rPr>
          <w:rFonts w:ascii="仿宋" w:eastAsia="仿宋" w:hAnsi="仿宋" w:cstheme="minorEastAsia" w:hint="eastAsia"/>
          <w:color w:val="000000"/>
          <w:sz w:val="32"/>
          <w:szCs w:val="32"/>
        </w:rPr>
        <w:t>2014</w:t>
      </w:r>
      <w:r w:rsidR="00C75BC7">
        <w:rPr>
          <w:rFonts w:ascii="仿宋" w:eastAsia="仿宋" w:hAnsi="仿宋" w:cstheme="minorEastAsia" w:hint="eastAsia"/>
          <w:color w:val="000000"/>
          <w:sz w:val="32"/>
          <w:szCs w:val="32"/>
        </w:rPr>
        <w:t>〕</w:t>
      </w:r>
      <w:r w:rsidRPr="003400E5">
        <w:rPr>
          <w:rFonts w:ascii="仿宋" w:eastAsia="仿宋" w:hAnsi="仿宋" w:cstheme="minorEastAsia" w:hint="eastAsia"/>
          <w:color w:val="000000"/>
          <w:sz w:val="32"/>
          <w:szCs w:val="32"/>
        </w:rPr>
        <w:t>8号）、《芷江侗族自治县财政支出绩效评价管理暂行办法》（芷财绩</w:t>
      </w:r>
      <w:r w:rsidR="00C75BC7">
        <w:rPr>
          <w:rFonts w:ascii="仿宋" w:eastAsia="仿宋" w:hAnsi="仿宋" w:cstheme="minorEastAsia" w:hint="eastAsia"/>
          <w:color w:val="000000"/>
          <w:sz w:val="32"/>
          <w:szCs w:val="32"/>
        </w:rPr>
        <w:t>〔</w:t>
      </w:r>
      <w:r w:rsidRPr="003400E5">
        <w:rPr>
          <w:rFonts w:ascii="仿宋" w:eastAsia="仿宋" w:hAnsi="仿宋" w:cstheme="minorEastAsia" w:hint="eastAsia"/>
          <w:color w:val="000000"/>
          <w:sz w:val="32"/>
          <w:szCs w:val="32"/>
        </w:rPr>
        <w:t>2014</w:t>
      </w:r>
      <w:r w:rsidR="00C75BC7">
        <w:rPr>
          <w:rFonts w:ascii="仿宋" w:eastAsia="仿宋" w:hAnsi="仿宋" w:cstheme="minorEastAsia" w:hint="eastAsia"/>
          <w:color w:val="000000"/>
          <w:sz w:val="32"/>
          <w:szCs w:val="32"/>
        </w:rPr>
        <w:t>〕</w:t>
      </w:r>
      <w:r w:rsidRPr="003400E5">
        <w:rPr>
          <w:rFonts w:ascii="仿宋" w:eastAsia="仿宋" w:hAnsi="仿宋" w:cstheme="minorEastAsia" w:hint="eastAsia"/>
          <w:color w:val="000000"/>
          <w:sz w:val="32"/>
          <w:szCs w:val="32"/>
        </w:rPr>
        <w:t>4号），以及相关专项资金绩效目标，专项资金及项目管理办法，中央、省相关政策规定和财务会计制度，部门预算及决算报告、项目审计报告和验收报告等。我局认真开展了20</w:t>
      </w:r>
      <w:r w:rsidR="003400E5">
        <w:rPr>
          <w:rFonts w:ascii="仿宋" w:eastAsia="仿宋" w:hAnsi="仿宋" w:cstheme="minorEastAsia"/>
          <w:color w:val="000000"/>
          <w:sz w:val="32"/>
          <w:szCs w:val="32"/>
        </w:rPr>
        <w:t>20</w:t>
      </w:r>
      <w:r w:rsidRPr="003400E5">
        <w:rPr>
          <w:rFonts w:ascii="仿宋" w:eastAsia="仿宋" w:hAnsi="仿宋" w:cstheme="minorEastAsia" w:hint="eastAsia"/>
          <w:color w:val="000000"/>
          <w:sz w:val="32"/>
          <w:szCs w:val="32"/>
        </w:rPr>
        <w:t>年部门整体支出绩效评价工作，现将相关情况报告如下：</w:t>
      </w:r>
    </w:p>
    <w:p w:rsidR="00A23B6B" w:rsidRPr="003400E5" w:rsidRDefault="00E61AD3" w:rsidP="003400E5">
      <w:pPr>
        <w:snapToGrid w:val="0"/>
        <w:spacing w:line="560" w:lineRule="exact"/>
        <w:ind w:firstLineChars="200" w:firstLine="640"/>
        <w:rPr>
          <w:rFonts w:ascii="黑体" w:eastAsia="黑体" w:hAnsi="黑体" w:cs="黑体"/>
          <w:bCs/>
          <w:sz w:val="32"/>
          <w:szCs w:val="32"/>
        </w:rPr>
      </w:pPr>
      <w:r w:rsidRPr="003400E5">
        <w:rPr>
          <w:rFonts w:ascii="黑体" w:eastAsia="黑体" w:hAnsi="黑体" w:cs="黑体" w:hint="eastAsia"/>
          <w:bCs/>
          <w:sz w:val="32"/>
          <w:szCs w:val="32"/>
        </w:rPr>
        <w:t>一、项目基本情况</w:t>
      </w:r>
      <w:r w:rsidRPr="003400E5">
        <w:rPr>
          <w:rFonts w:ascii="Calibri" w:eastAsia="黑体" w:hAnsi="Calibri" w:cs="Calibri"/>
          <w:bCs/>
          <w:sz w:val="32"/>
          <w:szCs w:val="32"/>
        </w:rPr>
        <w:t> </w:t>
      </w:r>
    </w:p>
    <w:p w:rsidR="00325BF4" w:rsidRDefault="00E61AD3" w:rsidP="003400E5">
      <w:pPr>
        <w:snapToGrid w:val="0"/>
        <w:spacing w:line="560" w:lineRule="exact"/>
        <w:ind w:firstLineChars="200" w:firstLine="643"/>
        <w:rPr>
          <w:rFonts w:ascii="楷体" w:eastAsia="楷体" w:hAnsi="楷体" w:cs="楷体"/>
          <w:b/>
          <w:bCs/>
          <w:sz w:val="32"/>
          <w:szCs w:val="32"/>
        </w:rPr>
        <w:sectPr w:rsidR="00325BF4" w:rsidSect="00325BF4">
          <w:footerReference w:type="default" r:id="rId8"/>
          <w:pgSz w:w="11906" w:h="16838"/>
          <w:pgMar w:top="1440" w:right="1800" w:bottom="1440" w:left="1800" w:header="851" w:footer="992" w:gutter="0"/>
          <w:pgNumType w:start="1"/>
          <w:cols w:space="425"/>
          <w:docGrid w:type="lines" w:linePitch="312"/>
        </w:sectPr>
      </w:pPr>
      <w:r w:rsidRPr="003400E5">
        <w:rPr>
          <w:rFonts w:ascii="楷体" w:eastAsia="楷体" w:hAnsi="楷体" w:cs="楷体" w:hint="eastAsia"/>
          <w:b/>
          <w:bCs/>
          <w:sz w:val="32"/>
          <w:szCs w:val="32"/>
        </w:rPr>
        <w:t>（一）项目概况</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lastRenderedPageBreak/>
        <w:t>县农业农村局是负责全县农业</w:t>
      </w:r>
      <w:r w:rsidR="00BA2A9C">
        <w:rPr>
          <w:rFonts w:ascii="仿宋" w:eastAsia="仿宋" w:hAnsi="仿宋" w:cstheme="minorEastAsia" w:hint="eastAsia"/>
          <w:sz w:val="32"/>
          <w:szCs w:val="32"/>
        </w:rPr>
        <w:t>综</w:t>
      </w:r>
      <w:r w:rsidRPr="003400E5">
        <w:rPr>
          <w:rFonts w:ascii="仿宋" w:eastAsia="仿宋" w:hAnsi="仿宋" w:cstheme="minorEastAsia" w:hint="eastAsia"/>
          <w:sz w:val="32"/>
          <w:szCs w:val="32"/>
        </w:rPr>
        <w:t>合执法和农产品质量安全监管的政府工作部门。主要职责：一是搞好我县农业综合执法建设，开展农业法律法规宣传，培训好我县农业执法人员，改善执法手段，建立好农资监管网络，建立配套的执法制度，规范执法行为，完善执法信息网络，开展执法检查等。二是开展农产品质量安全检测，是实施农产品质量安全监管的主要技术支撑手段，为政府决策、防控风险、查处问题和推进监管提供依据，依法依据全面监控我县农产品质量安全状况，确保食品安全。</w:t>
      </w:r>
    </w:p>
    <w:p w:rsidR="00A23B6B" w:rsidRPr="003400E5" w:rsidRDefault="003400E5" w:rsidP="003400E5">
      <w:pPr>
        <w:snapToGrid w:val="0"/>
        <w:spacing w:line="560" w:lineRule="exact"/>
        <w:ind w:firstLineChars="200" w:firstLine="643"/>
        <w:rPr>
          <w:rFonts w:ascii="楷体" w:eastAsia="楷体" w:hAnsi="楷体" w:cs="楷体"/>
          <w:b/>
          <w:bCs/>
          <w:sz w:val="32"/>
          <w:szCs w:val="32"/>
        </w:rPr>
      </w:pPr>
      <w:r w:rsidRPr="003400E5">
        <w:rPr>
          <w:rFonts w:ascii="楷体" w:eastAsia="楷体" w:hAnsi="楷体" w:cs="楷体" w:hint="eastAsia"/>
          <w:b/>
          <w:bCs/>
          <w:sz w:val="32"/>
          <w:szCs w:val="32"/>
        </w:rPr>
        <w:t>（</w:t>
      </w:r>
      <w:r w:rsidRPr="003400E5">
        <w:rPr>
          <w:rFonts w:ascii="楷体" w:eastAsia="楷体" w:hAnsi="楷体" w:cs="楷体"/>
          <w:b/>
          <w:bCs/>
          <w:sz w:val="32"/>
          <w:szCs w:val="32"/>
        </w:rPr>
        <w:t>二）</w:t>
      </w:r>
      <w:r w:rsidR="00E61AD3" w:rsidRPr="003400E5">
        <w:rPr>
          <w:rFonts w:ascii="楷体" w:eastAsia="楷体" w:hAnsi="楷体" w:cs="楷体" w:hint="eastAsia"/>
          <w:b/>
          <w:bCs/>
          <w:sz w:val="32"/>
          <w:szCs w:val="32"/>
        </w:rPr>
        <w:t>项目绩效目标</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1、对县域内农产品生产基地、市场农产品开展检测，全面监测我县农产品质量，确保舌尖上的安全，年度完成抽检农产品220</w:t>
      </w:r>
      <w:r w:rsidR="00E65E5E">
        <w:rPr>
          <w:rFonts w:ascii="仿宋" w:eastAsia="仿宋" w:hAnsi="仿宋" w:cstheme="minorEastAsia"/>
          <w:sz w:val="32"/>
          <w:szCs w:val="32"/>
        </w:rPr>
        <w:t>0</w:t>
      </w:r>
      <w:r w:rsidRPr="003400E5">
        <w:rPr>
          <w:rFonts w:ascii="仿宋" w:eastAsia="仿宋" w:hAnsi="仿宋" w:cstheme="minorEastAsia" w:hint="eastAsia"/>
          <w:sz w:val="32"/>
          <w:szCs w:val="32"/>
        </w:rPr>
        <w:t>批次以上。</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2、促进农业执法机构队伍建设，完善执法制度，改善执法手段。</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3、完善我县农产品质量安全工作机制，提高全县农产品质量安全水平，坚持“产出来”和“管出来”两手抓，加快我县“三品一标”认证工作，加强综合监管能力建设，大力发展标准化生产，强化农产品质量安全全程管控。</w:t>
      </w:r>
    </w:p>
    <w:p w:rsidR="00A23B6B" w:rsidRPr="003400E5" w:rsidRDefault="00E61AD3" w:rsidP="003400E5">
      <w:pPr>
        <w:snapToGrid w:val="0"/>
        <w:spacing w:line="560" w:lineRule="exact"/>
        <w:ind w:firstLineChars="200" w:firstLine="643"/>
        <w:rPr>
          <w:rFonts w:ascii="楷体" w:eastAsia="楷体" w:hAnsi="楷体" w:cs="楷体"/>
          <w:b/>
          <w:bCs/>
          <w:sz w:val="32"/>
          <w:szCs w:val="32"/>
        </w:rPr>
      </w:pPr>
      <w:r w:rsidRPr="003400E5">
        <w:rPr>
          <w:rFonts w:ascii="楷体" w:eastAsia="楷体" w:hAnsi="楷体" w:cs="楷体" w:hint="eastAsia"/>
          <w:b/>
          <w:bCs/>
          <w:sz w:val="32"/>
          <w:szCs w:val="32"/>
        </w:rPr>
        <w:t>（三）项目实施情况分析</w:t>
      </w:r>
    </w:p>
    <w:p w:rsidR="00A23B6B" w:rsidRPr="003400E5" w:rsidRDefault="00E61AD3" w:rsidP="003400E5">
      <w:pPr>
        <w:snapToGrid w:val="0"/>
        <w:spacing w:line="560" w:lineRule="exact"/>
        <w:ind w:firstLineChars="200" w:firstLine="643"/>
        <w:rPr>
          <w:rFonts w:ascii="仿宋" w:eastAsia="仿宋" w:hAnsi="仿宋"/>
          <w:b/>
          <w:bCs/>
          <w:sz w:val="32"/>
          <w:szCs w:val="32"/>
        </w:rPr>
      </w:pPr>
      <w:r w:rsidRPr="003400E5">
        <w:rPr>
          <w:rFonts w:ascii="仿宋" w:eastAsia="仿宋" w:hAnsi="仿宋" w:hint="eastAsia"/>
          <w:b/>
          <w:bCs/>
          <w:sz w:val="32"/>
          <w:szCs w:val="32"/>
        </w:rPr>
        <w:t>1、专项组织情况。</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20</w:t>
      </w:r>
      <w:r w:rsidR="00A4345B">
        <w:rPr>
          <w:rFonts w:ascii="仿宋" w:eastAsia="仿宋" w:hAnsi="仿宋" w:cstheme="minorEastAsia"/>
          <w:sz w:val="32"/>
          <w:szCs w:val="32"/>
        </w:rPr>
        <w:t>20</w:t>
      </w:r>
      <w:r w:rsidRPr="003400E5">
        <w:rPr>
          <w:rFonts w:ascii="仿宋" w:eastAsia="仿宋" w:hAnsi="仿宋" w:cstheme="minorEastAsia" w:hint="eastAsia"/>
          <w:sz w:val="32"/>
          <w:szCs w:val="32"/>
        </w:rPr>
        <w:t>年，农产品质量安全监管检测和农业综合执法专项经费预算</w:t>
      </w:r>
      <w:r w:rsidR="000A160B">
        <w:rPr>
          <w:rFonts w:ascii="仿宋" w:eastAsia="仿宋" w:hAnsi="仿宋" w:cstheme="minorEastAsia" w:hint="eastAsia"/>
          <w:sz w:val="32"/>
          <w:szCs w:val="32"/>
        </w:rPr>
        <w:t>56</w:t>
      </w:r>
      <w:r w:rsidRPr="003400E5">
        <w:rPr>
          <w:rFonts w:ascii="仿宋" w:eastAsia="仿宋" w:hAnsi="仿宋" w:cstheme="minorEastAsia" w:hint="eastAsia"/>
          <w:sz w:val="32"/>
          <w:szCs w:val="32"/>
        </w:rPr>
        <w:t>万元，县农业农村局根据工作要求制定专项实施方案，组织专人负责组织实施。</w:t>
      </w:r>
    </w:p>
    <w:p w:rsidR="00A23B6B" w:rsidRPr="003400E5" w:rsidRDefault="00E61AD3" w:rsidP="003400E5">
      <w:pPr>
        <w:snapToGrid w:val="0"/>
        <w:spacing w:line="560" w:lineRule="exact"/>
        <w:ind w:firstLineChars="200" w:firstLine="643"/>
        <w:rPr>
          <w:rFonts w:ascii="仿宋" w:eastAsia="仿宋" w:hAnsi="仿宋"/>
          <w:b/>
          <w:bCs/>
          <w:sz w:val="32"/>
          <w:szCs w:val="32"/>
        </w:rPr>
      </w:pPr>
      <w:r w:rsidRPr="003400E5">
        <w:rPr>
          <w:rFonts w:ascii="仿宋" w:eastAsia="仿宋" w:hAnsi="仿宋" w:hint="eastAsia"/>
          <w:b/>
          <w:bCs/>
          <w:sz w:val="32"/>
          <w:szCs w:val="32"/>
        </w:rPr>
        <w:lastRenderedPageBreak/>
        <w:t>2、专项管理情况。</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为完善专项资金管理，从源头入手，落实责任，完善制度，合理使用，加强监管，注重宣传，确保项目资金的管理使用高效率。一是加强领导，增强责任意识，落实管理责任，成立项目实施领导小组，建立项目管理体系；二是加强资金管理制度建设，结合单位的实际,制定出各项规章制度，按照岗位确定任务、职责和权限，贯彻执行所制定的相关财务制度,加强制度执行的监督，使专项资金的财务管理有章可循；三是加强资金的支出管理。</w:t>
      </w:r>
    </w:p>
    <w:p w:rsidR="00A23B6B" w:rsidRPr="003400E5" w:rsidRDefault="00E61AD3" w:rsidP="003400E5">
      <w:pPr>
        <w:snapToGrid w:val="0"/>
        <w:spacing w:line="560" w:lineRule="exact"/>
        <w:ind w:firstLineChars="200" w:firstLine="643"/>
        <w:rPr>
          <w:rFonts w:ascii="仿宋" w:eastAsia="仿宋" w:hAnsi="仿宋"/>
          <w:b/>
          <w:bCs/>
          <w:sz w:val="32"/>
          <w:szCs w:val="32"/>
        </w:rPr>
      </w:pPr>
      <w:r w:rsidRPr="003400E5">
        <w:rPr>
          <w:rFonts w:ascii="仿宋" w:eastAsia="仿宋" w:hAnsi="仿宋" w:hint="eastAsia"/>
          <w:b/>
          <w:bCs/>
          <w:sz w:val="32"/>
          <w:szCs w:val="32"/>
        </w:rPr>
        <w:t>3、项目支出绩效情况。</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一是县农业执法大队充分履行了法律法规赋予农业部门的职责，执法体系不断完善，农资市场秩序得到了进一步规范，确保了农产品质量安全，切实保护了农民利益。</w:t>
      </w:r>
    </w:p>
    <w:p w:rsidR="00A23B6B" w:rsidRPr="003400E5" w:rsidRDefault="00215280" w:rsidP="003400E5">
      <w:pPr>
        <w:snapToGrid w:val="0"/>
        <w:spacing w:line="56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二是</w:t>
      </w:r>
      <w:r w:rsidR="00E61AD3" w:rsidRPr="003400E5">
        <w:rPr>
          <w:rFonts w:ascii="仿宋" w:eastAsia="仿宋" w:hAnsi="仿宋" w:cstheme="minorEastAsia" w:hint="eastAsia"/>
          <w:sz w:val="32"/>
          <w:szCs w:val="32"/>
        </w:rPr>
        <w:t>县农产品质量安全检验检测站</w:t>
      </w:r>
      <w:r w:rsidRPr="00215280">
        <w:rPr>
          <w:rFonts w:ascii="仿宋" w:eastAsia="仿宋" w:hAnsi="仿宋" w:cstheme="minorEastAsia" w:hint="eastAsia"/>
          <w:sz w:val="32"/>
          <w:szCs w:val="32"/>
        </w:rPr>
        <w:t>围绕检</w:t>
      </w:r>
      <w:r>
        <w:rPr>
          <w:rFonts w:ascii="仿宋" w:eastAsia="仿宋" w:hAnsi="仿宋" w:cstheme="minorEastAsia" w:hint="eastAsia"/>
          <w:sz w:val="32"/>
          <w:szCs w:val="32"/>
        </w:rPr>
        <w:t>测机构资质认定和农产品检验检测机构考核（即“双认证”）要求，</w:t>
      </w:r>
      <w:r w:rsidRPr="00215280">
        <w:rPr>
          <w:rFonts w:ascii="仿宋" w:eastAsia="仿宋" w:hAnsi="仿宋" w:cstheme="minorEastAsia" w:hint="eastAsia"/>
          <w:sz w:val="32"/>
          <w:szCs w:val="32"/>
        </w:rPr>
        <w:t>积</w:t>
      </w:r>
      <w:r>
        <w:rPr>
          <w:rFonts w:ascii="仿宋" w:eastAsia="仿宋" w:hAnsi="仿宋" w:cstheme="minorEastAsia" w:hint="eastAsia"/>
          <w:sz w:val="32"/>
          <w:szCs w:val="32"/>
        </w:rPr>
        <w:t>极开展标准化实验室建设工作，建立健全了实验室管理体系，完成了</w:t>
      </w:r>
      <w:r w:rsidRPr="00215280">
        <w:rPr>
          <w:rFonts w:ascii="仿宋" w:eastAsia="仿宋" w:hAnsi="仿宋" w:cstheme="minorEastAsia" w:hint="eastAsia"/>
          <w:sz w:val="32"/>
          <w:szCs w:val="32"/>
        </w:rPr>
        <w:t>《程序文件》、《质量手册》、《作业指导书》、《质量记录表》等体</w:t>
      </w:r>
      <w:r>
        <w:rPr>
          <w:rFonts w:ascii="仿宋" w:eastAsia="仿宋" w:hAnsi="仿宋" w:cstheme="minorEastAsia" w:hint="eastAsia"/>
          <w:sz w:val="32"/>
          <w:szCs w:val="32"/>
        </w:rPr>
        <w:t>系文件的编制，制订了内部管理制度十多项。为提升检测能力，</w:t>
      </w:r>
      <w:r w:rsidRPr="00215280">
        <w:rPr>
          <w:rFonts w:ascii="仿宋" w:eastAsia="仿宋" w:hAnsi="仿宋" w:cstheme="minorEastAsia" w:hint="eastAsia"/>
          <w:sz w:val="32"/>
          <w:szCs w:val="32"/>
        </w:rPr>
        <w:t>请来市检测中心专家对农产品农残定量检测、重金属检测进行了现场教学指导，提高了检测人员技术水平，如期完成了今年上级下达的200批次定量检测任务。</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三是县农产品质量安全检测</w:t>
      </w:r>
      <w:r w:rsidR="00E65E5E">
        <w:rPr>
          <w:rFonts w:ascii="仿宋" w:eastAsia="仿宋" w:hAnsi="仿宋" w:cstheme="minorEastAsia" w:hint="eastAsia"/>
          <w:sz w:val="32"/>
          <w:szCs w:val="32"/>
        </w:rPr>
        <w:t>站</w:t>
      </w:r>
      <w:r w:rsidR="00E65E5E" w:rsidRPr="00E65E5E">
        <w:rPr>
          <w:rFonts w:ascii="仿宋" w:eastAsia="仿宋" w:hAnsi="仿宋" w:cstheme="minorEastAsia" w:hint="eastAsia"/>
          <w:sz w:val="32"/>
          <w:szCs w:val="32"/>
        </w:rPr>
        <w:t>完成县本级农产品质量安全抽检2207批次，合格2203批次，总体合格率99.8%，全面完成了上级年度指标任务。</w:t>
      </w:r>
      <w:r w:rsidR="00215280" w:rsidRPr="00215280">
        <w:rPr>
          <w:rFonts w:ascii="仿宋" w:eastAsia="仿宋" w:hAnsi="仿宋" w:cstheme="minorEastAsia" w:hint="eastAsia"/>
          <w:sz w:val="32"/>
          <w:szCs w:val="32"/>
        </w:rPr>
        <w:t>配合省农业农村厅、市农业</w:t>
      </w:r>
      <w:r w:rsidR="00215280" w:rsidRPr="00215280">
        <w:rPr>
          <w:rFonts w:ascii="仿宋" w:eastAsia="仿宋" w:hAnsi="仿宋" w:cstheme="minorEastAsia" w:hint="eastAsia"/>
          <w:sz w:val="32"/>
          <w:szCs w:val="32"/>
        </w:rPr>
        <w:lastRenderedPageBreak/>
        <w:t>农村局在我县开展农产品（种植业）质量安全抽检共5次：其中省级2次，抽检稻谷20批次；市级3次，抽检蔬菜、水果28批次，全部合格。</w:t>
      </w:r>
    </w:p>
    <w:p w:rsidR="00A23B6B" w:rsidRPr="003400E5" w:rsidRDefault="00E61AD3" w:rsidP="003400E5">
      <w:pPr>
        <w:snapToGrid w:val="0"/>
        <w:spacing w:line="560" w:lineRule="exact"/>
        <w:ind w:firstLineChars="200" w:firstLine="640"/>
        <w:rPr>
          <w:rFonts w:ascii="仿宋" w:eastAsia="仿宋" w:hAnsi="仿宋" w:cstheme="minorEastAsia"/>
          <w:sz w:val="32"/>
          <w:szCs w:val="32"/>
        </w:rPr>
      </w:pPr>
      <w:r w:rsidRPr="003400E5">
        <w:rPr>
          <w:rFonts w:ascii="仿宋" w:eastAsia="仿宋" w:hAnsi="仿宋" w:cstheme="minorEastAsia" w:hint="eastAsia"/>
          <w:sz w:val="32"/>
          <w:szCs w:val="32"/>
        </w:rPr>
        <w:t>四是</w:t>
      </w:r>
      <w:r w:rsidR="00215280" w:rsidRPr="00215280">
        <w:rPr>
          <w:rFonts w:ascii="仿宋" w:eastAsia="仿宋" w:hAnsi="仿宋" w:cstheme="minorEastAsia" w:hint="eastAsia"/>
          <w:sz w:val="32"/>
          <w:szCs w:val="32"/>
        </w:rPr>
        <w:t>全年完成土壤样品化验152个，为耕地占补平衡及城乡建设用地增减挂钩项目耕地等级评定提供了科学依据。</w:t>
      </w:r>
    </w:p>
    <w:p w:rsidR="00A23B6B" w:rsidRPr="003400E5" w:rsidRDefault="00E61AD3" w:rsidP="003400E5">
      <w:pPr>
        <w:snapToGrid w:val="0"/>
        <w:spacing w:line="560" w:lineRule="exact"/>
        <w:ind w:firstLineChars="200" w:firstLine="640"/>
        <w:rPr>
          <w:rFonts w:ascii="黑体" w:eastAsia="黑体" w:hAnsi="黑体" w:cs="黑体"/>
          <w:bCs/>
          <w:sz w:val="32"/>
          <w:szCs w:val="32"/>
        </w:rPr>
      </w:pPr>
      <w:r w:rsidRPr="003400E5">
        <w:rPr>
          <w:rFonts w:ascii="黑体" w:eastAsia="黑体" w:hAnsi="黑体" w:cs="黑体" w:hint="eastAsia"/>
          <w:bCs/>
          <w:sz w:val="32"/>
          <w:szCs w:val="32"/>
        </w:rPr>
        <w:t>二、绩效评价工作情况</w:t>
      </w:r>
      <w:r w:rsidRPr="003400E5">
        <w:rPr>
          <w:rFonts w:ascii="Calibri" w:eastAsia="黑体" w:hAnsi="Calibri" w:cs="Calibri"/>
          <w:bCs/>
          <w:sz w:val="32"/>
          <w:szCs w:val="32"/>
        </w:rPr>
        <w:t> </w:t>
      </w:r>
    </w:p>
    <w:p w:rsidR="00A23B6B" w:rsidRPr="003400E5" w:rsidRDefault="00E61AD3" w:rsidP="003400E5">
      <w:pPr>
        <w:snapToGrid w:val="0"/>
        <w:spacing w:line="560" w:lineRule="exact"/>
        <w:ind w:firstLineChars="200" w:firstLine="643"/>
        <w:rPr>
          <w:rFonts w:ascii="楷体" w:eastAsia="楷体" w:hAnsi="楷体" w:cs="楷体"/>
          <w:b/>
          <w:bCs/>
          <w:sz w:val="32"/>
          <w:szCs w:val="32"/>
        </w:rPr>
      </w:pPr>
      <w:r w:rsidRPr="003400E5">
        <w:rPr>
          <w:rFonts w:ascii="楷体" w:eastAsia="楷体" w:hAnsi="楷体" w:cs="楷体" w:hint="eastAsia"/>
          <w:b/>
          <w:bCs/>
          <w:sz w:val="32"/>
          <w:szCs w:val="32"/>
        </w:rPr>
        <w:t>（一）绩效评价目的</w:t>
      </w:r>
    </w:p>
    <w:p w:rsidR="00A23B6B" w:rsidRPr="003400E5" w:rsidRDefault="00E61AD3" w:rsidP="003400E5">
      <w:pPr>
        <w:snapToGrid w:val="0"/>
        <w:spacing w:line="560" w:lineRule="exact"/>
        <w:ind w:firstLineChars="200" w:firstLine="643"/>
        <w:rPr>
          <w:rFonts w:ascii="仿宋" w:eastAsia="仿宋" w:hAnsi="仿宋" w:cstheme="minorEastAsia"/>
          <w:sz w:val="32"/>
          <w:szCs w:val="32"/>
        </w:rPr>
      </w:pPr>
      <w:r w:rsidRPr="003400E5">
        <w:rPr>
          <w:rFonts w:ascii="仿宋" w:eastAsia="仿宋" w:hAnsi="仿宋" w:hint="eastAsia"/>
          <w:b/>
          <w:bCs/>
          <w:sz w:val="32"/>
          <w:szCs w:val="32"/>
        </w:rPr>
        <w:t>1、实现项目预期目标。</w:t>
      </w:r>
      <w:r w:rsidRPr="003400E5">
        <w:rPr>
          <w:rFonts w:ascii="仿宋" w:eastAsia="仿宋" w:hAnsi="仿宋" w:cstheme="minorEastAsia" w:hint="eastAsia"/>
          <w:sz w:val="32"/>
          <w:szCs w:val="32"/>
        </w:rPr>
        <w:t>通过执法工作开展，促进了农业执法机构队伍、执法制度、执法行为的规范化，改善执法手段，全面提高全体队员的行政执法能力，进一步规范好农业生产资料经营秩序，保障农业投入品的安全，可靠确保农产品质量安全，维护农民合法权益。通过农产品质量安全检测项目落实，保障了农产品安全检测各项任务的圆满完成，农产品检测数量超计划完成，农产品质量合格率稳步上升，达到了上级下达的绩效目标要求。</w:t>
      </w:r>
    </w:p>
    <w:p w:rsidR="00A23B6B" w:rsidRPr="003400E5" w:rsidRDefault="00E61AD3" w:rsidP="003400E5">
      <w:pPr>
        <w:snapToGrid w:val="0"/>
        <w:spacing w:line="560" w:lineRule="exact"/>
        <w:ind w:firstLineChars="200" w:firstLine="643"/>
        <w:rPr>
          <w:rFonts w:ascii="仿宋" w:eastAsia="仿宋" w:hAnsi="仿宋"/>
          <w:sz w:val="32"/>
          <w:szCs w:val="32"/>
        </w:rPr>
      </w:pPr>
      <w:r w:rsidRPr="003400E5">
        <w:rPr>
          <w:rFonts w:ascii="仿宋" w:eastAsia="仿宋" w:hAnsi="仿宋" w:hint="eastAsia"/>
          <w:b/>
          <w:bCs/>
          <w:sz w:val="32"/>
          <w:szCs w:val="32"/>
        </w:rPr>
        <w:t>2、项目实施对经济和社会的影响。</w:t>
      </w:r>
      <w:r w:rsidRPr="003400E5">
        <w:rPr>
          <w:rFonts w:ascii="仿宋" w:eastAsia="仿宋" w:hAnsi="仿宋" w:hint="eastAsia"/>
          <w:sz w:val="32"/>
          <w:szCs w:val="32"/>
        </w:rPr>
        <w:t>该项目实施保障了农产品质量安全风险监测和监督抽查的检测数据要求，为农产品安全监管和执法提供技术支撑，有利于查找有安全隐患的产业和产品，促进产业结构调整，切实保障农产品消费安全。检测关口前移至生产基地，为特色产业和农产品生产企业、大户发展生产提供服务，提高产品质量安全性，打开农产品销售绿色通道，有效促进农产品贸易。保持我县农产品质量安全处于高水平，实现农产品安全事故零记录，有力支撑了我县社会和谐和经济发展。</w:t>
      </w:r>
    </w:p>
    <w:p w:rsidR="00A23B6B" w:rsidRPr="003400E5" w:rsidRDefault="00E61AD3" w:rsidP="003400E5">
      <w:pPr>
        <w:snapToGrid w:val="0"/>
        <w:spacing w:line="560" w:lineRule="exact"/>
        <w:ind w:firstLineChars="200" w:firstLine="643"/>
        <w:rPr>
          <w:rFonts w:ascii="楷体" w:eastAsia="楷体" w:hAnsi="楷体" w:cs="楷体"/>
          <w:b/>
          <w:bCs/>
          <w:sz w:val="32"/>
          <w:szCs w:val="32"/>
        </w:rPr>
      </w:pPr>
      <w:r w:rsidRPr="003400E5">
        <w:rPr>
          <w:rFonts w:ascii="楷体" w:eastAsia="楷体" w:hAnsi="楷体" w:cs="楷体" w:hint="eastAsia"/>
          <w:b/>
          <w:bCs/>
          <w:sz w:val="32"/>
          <w:szCs w:val="32"/>
        </w:rPr>
        <w:lastRenderedPageBreak/>
        <w:t>（二）绩效评价工作过程</w:t>
      </w:r>
    </w:p>
    <w:p w:rsidR="00A23B6B" w:rsidRPr="003400E5" w:rsidRDefault="00E61AD3" w:rsidP="003400E5">
      <w:pPr>
        <w:snapToGrid w:val="0"/>
        <w:spacing w:line="560" w:lineRule="exact"/>
        <w:ind w:firstLineChars="200" w:firstLine="640"/>
        <w:rPr>
          <w:rFonts w:ascii="仿宋" w:eastAsia="仿宋" w:hAnsi="仿宋"/>
          <w:sz w:val="32"/>
          <w:szCs w:val="32"/>
        </w:rPr>
      </w:pPr>
      <w:r w:rsidRPr="003400E5">
        <w:rPr>
          <w:rFonts w:ascii="仿宋" w:eastAsia="仿宋" w:hAnsi="仿宋" w:hint="eastAsia"/>
          <w:sz w:val="32"/>
          <w:szCs w:val="32"/>
        </w:rPr>
        <w:t>县农业农村局根据工作要求制定专项实施方案，制定绩效评估指标，落实管理责任，成立领导小组，组织专人负责组织实施。为做好20</w:t>
      </w:r>
      <w:r w:rsidR="00A4345B">
        <w:rPr>
          <w:rFonts w:ascii="仿宋" w:eastAsia="仿宋" w:hAnsi="仿宋"/>
          <w:sz w:val="32"/>
          <w:szCs w:val="32"/>
        </w:rPr>
        <w:t>20</w:t>
      </w:r>
      <w:r w:rsidRPr="003400E5">
        <w:rPr>
          <w:rFonts w:ascii="仿宋" w:eastAsia="仿宋" w:hAnsi="仿宋" w:hint="eastAsia"/>
          <w:sz w:val="32"/>
          <w:szCs w:val="32"/>
        </w:rPr>
        <w:t>年度芷江农业执法</w:t>
      </w:r>
      <w:r w:rsidRPr="003400E5">
        <w:rPr>
          <w:rFonts w:ascii="仿宋" w:eastAsia="仿宋" w:hAnsi="仿宋"/>
          <w:sz w:val="32"/>
          <w:szCs w:val="32"/>
        </w:rPr>
        <w:t>专项资金</w:t>
      </w:r>
      <w:r w:rsidRPr="003400E5">
        <w:rPr>
          <w:rFonts w:ascii="仿宋" w:eastAsia="仿宋" w:hAnsi="仿宋" w:hint="eastAsia"/>
          <w:sz w:val="32"/>
          <w:szCs w:val="32"/>
        </w:rPr>
        <w:t>绩效自评工作，成立了由分管财务副局长任组长，分管执法和农产品质量安全的领导任副组长，计划财务股、执法大队、监管股、检测站负责人任组员的绩效评价工作领导小组，并明确专人具体负责实施绩效评价工作。</w:t>
      </w:r>
    </w:p>
    <w:p w:rsidR="00A23B6B" w:rsidRPr="003400E5" w:rsidRDefault="00E61AD3" w:rsidP="003400E5">
      <w:pPr>
        <w:snapToGrid w:val="0"/>
        <w:spacing w:line="560" w:lineRule="exact"/>
        <w:ind w:firstLineChars="200" w:firstLine="640"/>
        <w:rPr>
          <w:rFonts w:ascii="黑体" w:eastAsia="黑体" w:hAnsi="黑体" w:cs="黑体"/>
          <w:bCs/>
          <w:sz w:val="32"/>
          <w:szCs w:val="32"/>
        </w:rPr>
      </w:pPr>
      <w:r w:rsidRPr="003400E5">
        <w:rPr>
          <w:rFonts w:ascii="黑体" w:eastAsia="黑体" w:hAnsi="黑体" w:cs="黑体" w:hint="eastAsia"/>
          <w:bCs/>
          <w:sz w:val="32"/>
          <w:szCs w:val="32"/>
        </w:rPr>
        <w:t>三、综合评价情况及评价结论</w:t>
      </w:r>
    </w:p>
    <w:p w:rsidR="00A23B6B" w:rsidRPr="003400E5" w:rsidRDefault="00E61AD3" w:rsidP="003400E5">
      <w:pPr>
        <w:snapToGrid w:val="0"/>
        <w:spacing w:line="560" w:lineRule="exact"/>
        <w:ind w:firstLineChars="200" w:firstLine="640"/>
        <w:rPr>
          <w:rFonts w:ascii="仿宋" w:eastAsia="仿宋" w:hAnsi="仿宋"/>
          <w:sz w:val="32"/>
          <w:szCs w:val="32"/>
        </w:rPr>
      </w:pPr>
      <w:r w:rsidRPr="003400E5">
        <w:rPr>
          <w:rFonts w:ascii="仿宋" w:eastAsia="仿宋" w:hAnsi="仿宋" w:hint="eastAsia"/>
          <w:sz w:val="32"/>
          <w:szCs w:val="32"/>
        </w:rPr>
        <w:t>芷江侗族自治县农业执法大队认真组织对全县农业投入品市场实行全覆盖的执法检查，特别是加大对农药的监管，确保了农药市场的有序管理，确保了农业生产的安全。芷江县农产品质量安全检测经费项目立项符合国家法律法规，项目管理制度健全，资金使用和监管措施到位，各项工作具体扎实，项目建设任</w:t>
      </w:r>
      <w:bookmarkStart w:id="0" w:name="_GoBack"/>
      <w:bookmarkEnd w:id="0"/>
      <w:r w:rsidRPr="003400E5">
        <w:rPr>
          <w:rFonts w:ascii="仿宋" w:eastAsia="仿宋" w:hAnsi="仿宋" w:hint="eastAsia"/>
          <w:sz w:val="32"/>
          <w:szCs w:val="32"/>
        </w:rPr>
        <w:t>务全面完成，项目实施效果显著。</w:t>
      </w:r>
      <w:r w:rsidR="00E81901" w:rsidRPr="00E81901">
        <w:rPr>
          <w:rFonts w:ascii="仿宋" w:eastAsia="仿宋" w:hAnsi="仿宋" w:hint="eastAsia"/>
          <w:sz w:val="32"/>
          <w:szCs w:val="32"/>
        </w:rPr>
        <w:t>项目支出的评价重点是规范管理促发展，提高资金绩效，经全面综合评价自坪得分9</w:t>
      </w:r>
      <w:r w:rsidR="00E81901">
        <w:rPr>
          <w:rFonts w:ascii="仿宋" w:eastAsia="仿宋" w:hAnsi="仿宋" w:hint="eastAsia"/>
          <w:sz w:val="32"/>
          <w:szCs w:val="32"/>
        </w:rPr>
        <w:t>5</w:t>
      </w:r>
      <w:r w:rsidR="00E81901" w:rsidRPr="00E81901">
        <w:rPr>
          <w:rFonts w:ascii="仿宋" w:eastAsia="仿宋" w:hAnsi="仿宋" w:hint="eastAsia"/>
          <w:sz w:val="32"/>
          <w:szCs w:val="32"/>
        </w:rPr>
        <w:t>分。</w:t>
      </w:r>
    </w:p>
    <w:p w:rsidR="00A23B6B" w:rsidRPr="003400E5" w:rsidRDefault="00E61AD3" w:rsidP="003400E5">
      <w:pPr>
        <w:snapToGrid w:val="0"/>
        <w:spacing w:line="560" w:lineRule="exact"/>
        <w:ind w:firstLineChars="200" w:firstLine="640"/>
        <w:rPr>
          <w:rFonts w:ascii="黑体" w:eastAsia="黑体" w:hAnsi="黑体" w:cs="黑体"/>
          <w:bCs/>
          <w:sz w:val="32"/>
          <w:szCs w:val="32"/>
        </w:rPr>
      </w:pPr>
      <w:r w:rsidRPr="003400E5">
        <w:rPr>
          <w:rFonts w:ascii="黑体" w:eastAsia="黑体" w:hAnsi="黑体" w:cs="黑体" w:hint="eastAsia"/>
          <w:bCs/>
          <w:sz w:val="32"/>
          <w:szCs w:val="32"/>
        </w:rPr>
        <w:t>四、项目主要绩效结果应用建议</w:t>
      </w:r>
    </w:p>
    <w:p w:rsidR="00A23B6B" w:rsidRPr="003400E5" w:rsidRDefault="00E61AD3" w:rsidP="003400E5">
      <w:pPr>
        <w:snapToGrid w:val="0"/>
        <w:spacing w:line="560" w:lineRule="exact"/>
        <w:ind w:firstLineChars="200" w:firstLine="640"/>
        <w:rPr>
          <w:rFonts w:ascii="仿宋" w:eastAsia="仿宋" w:hAnsi="仿宋"/>
          <w:sz w:val="32"/>
          <w:szCs w:val="32"/>
        </w:rPr>
      </w:pPr>
      <w:r w:rsidRPr="003400E5">
        <w:rPr>
          <w:rFonts w:ascii="仿宋" w:eastAsia="仿宋" w:hAnsi="仿宋" w:hint="eastAsia"/>
          <w:sz w:val="32"/>
          <w:szCs w:val="32"/>
        </w:rPr>
        <w:t>农产品质量安全关乎广大人民群众的身体健康，关乎各级党委政府的公众形象，关乎社会的稳定安宁。农产品质量安全检测是确保农产品质量安全的重要措施和技术手段。因此，县财政需进一步加大农产品检测经费投入，适应我县农产品质量安全检测工作升级、任务加重的需要，保障检测工作正常开展。</w:t>
      </w:r>
    </w:p>
    <w:p w:rsidR="00A23B6B" w:rsidRPr="003400E5" w:rsidRDefault="00E61AD3" w:rsidP="003400E5">
      <w:pPr>
        <w:snapToGrid w:val="0"/>
        <w:spacing w:line="560" w:lineRule="exact"/>
        <w:ind w:firstLineChars="200" w:firstLine="640"/>
        <w:rPr>
          <w:rFonts w:ascii="仿宋" w:eastAsia="仿宋" w:hAnsi="仿宋"/>
          <w:sz w:val="32"/>
          <w:szCs w:val="32"/>
        </w:rPr>
      </w:pPr>
      <w:r w:rsidRPr="003400E5">
        <w:rPr>
          <w:rFonts w:ascii="仿宋" w:eastAsia="仿宋" w:hAnsi="仿宋" w:hint="eastAsia"/>
          <w:sz w:val="32"/>
          <w:szCs w:val="32"/>
        </w:rPr>
        <w:lastRenderedPageBreak/>
        <w:t>实施农产品质量安全检测专项资金绩效评价，对保证项目资金正确安全有效使用，对保证项目建设各项任务全面完成，具有积极的促进作用，我们将充分运用这一评价结果，让我县农产品质量检测工作更上新台阶。</w:t>
      </w:r>
    </w:p>
    <w:p w:rsidR="00A23B6B" w:rsidRPr="003400E5" w:rsidRDefault="00E61AD3" w:rsidP="003400E5">
      <w:pPr>
        <w:snapToGrid w:val="0"/>
        <w:spacing w:line="560" w:lineRule="exact"/>
        <w:ind w:firstLineChars="200" w:firstLine="640"/>
        <w:rPr>
          <w:rFonts w:ascii="黑体" w:eastAsia="黑体" w:hAnsi="黑体"/>
          <w:b/>
          <w:sz w:val="32"/>
          <w:szCs w:val="32"/>
        </w:rPr>
      </w:pPr>
      <w:r w:rsidRPr="003400E5">
        <w:rPr>
          <w:rFonts w:ascii="黑体" w:eastAsia="黑体" w:hAnsi="黑体" w:cs="黑体" w:hint="eastAsia"/>
          <w:bCs/>
          <w:sz w:val="32"/>
          <w:szCs w:val="32"/>
        </w:rPr>
        <w:t>五、存在的主要问题和建议</w:t>
      </w:r>
      <w:r w:rsidRPr="003400E5">
        <w:rPr>
          <w:rFonts w:ascii="Calibri" w:eastAsia="黑体" w:hAnsi="Calibri" w:cs="Calibri"/>
          <w:b/>
          <w:sz w:val="32"/>
          <w:szCs w:val="32"/>
        </w:rPr>
        <w:t> </w:t>
      </w:r>
    </w:p>
    <w:p w:rsidR="00A23B6B" w:rsidRPr="003400E5" w:rsidRDefault="00E61AD3" w:rsidP="003400E5">
      <w:pPr>
        <w:snapToGrid w:val="0"/>
        <w:spacing w:line="560" w:lineRule="exact"/>
        <w:ind w:firstLineChars="200" w:firstLine="643"/>
        <w:rPr>
          <w:rFonts w:ascii="楷体" w:eastAsia="楷体" w:hAnsi="楷体" w:cs="楷体_GB2312"/>
          <w:b/>
          <w:bCs/>
          <w:sz w:val="32"/>
          <w:szCs w:val="32"/>
        </w:rPr>
      </w:pPr>
      <w:r w:rsidRPr="003400E5">
        <w:rPr>
          <w:rFonts w:ascii="楷体" w:eastAsia="楷体" w:hAnsi="楷体" w:cs="楷体_GB2312" w:hint="eastAsia"/>
          <w:b/>
          <w:bCs/>
          <w:sz w:val="32"/>
          <w:szCs w:val="32"/>
        </w:rPr>
        <w:t>（一）存在问题：</w:t>
      </w:r>
    </w:p>
    <w:p w:rsidR="00A23B6B" w:rsidRPr="003400E5" w:rsidRDefault="00E61AD3" w:rsidP="003400E5">
      <w:pPr>
        <w:snapToGrid w:val="0"/>
        <w:spacing w:line="560" w:lineRule="exact"/>
        <w:ind w:firstLineChars="200" w:firstLine="640"/>
        <w:rPr>
          <w:rFonts w:ascii="仿宋" w:eastAsia="仿宋" w:hAnsi="仿宋"/>
          <w:sz w:val="32"/>
          <w:szCs w:val="32"/>
        </w:rPr>
      </w:pPr>
      <w:r w:rsidRPr="003400E5">
        <w:rPr>
          <w:rFonts w:ascii="仿宋" w:eastAsia="仿宋" w:hAnsi="仿宋" w:hint="eastAsia"/>
          <w:sz w:val="32"/>
          <w:szCs w:val="32"/>
        </w:rPr>
        <w:t>1、乡镇农产品质量安全监管体系不健全。</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E61AD3" w:rsidRPr="003400E5">
        <w:rPr>
          <w:rFonts w:ascii="仿宋" w:eastAsia="仿宋" w:hAnsi="仿宋" w:hint="eastAsia"/>
          <w:sz w:val="32"/>
          <w:szCs w:val="32"/>
        </w:rPr>
        <w:t xml:space="preserve">农产品质量安全监管部门职责分工不够明确。  </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E61AD3" w:rsidRPr="003400E5">
        <w:rPr>
          <w:rFonts w:ascii="仿宋" w:eastAsia="仿宋" w:hAnsi="仿宋" w:hint="eastAsia"/>
          <w:sz w:val="32"/>
          <w:szCs w:val="32"/>
        </w:rPr>
        <w:t>县、乡两级的检测体系能力有待提高。</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E61AD3" w:rsidRPr="003400E5">
        <w:rPr>
          <w:rFonts w:ascii="仿宋" w:eastAsia="仿宋" w:hAnsi="仿宋" w:hint="eastAsia"/>
          <w:sz w:val="32"/>
          <w:szCs w:val="32"/>
        </w:rPr>
        <w:t>县乡两级政府落实属地管理责任还不够。</w:t>
      </w:r>
    </w:p>
    <w:p w:rsidR="00A23B6B" w:rsidRPr="003400E5" w:rsidRDefault="00E61AD3" w:rsidP="003400E5">
      <w:pPr>
        <w:snapToGrid w:val="0"/>
        <w:spacing w:line="560" w:lineRule="exact"/>
        <w:ind w:firstLineChars="200" w:firstLine="643"/>
        <w:rPr>
          <w:rFonts w:ascii="楷体" w:eastAsia="楷体" w:hAnsi="楷体" w:cs="楷体_GB2312"/>
          <w:b/>
          <w:bCs/>
          <w:sz w:val="32"/>
          <w:szCs w:val="32"/>
        </w:rPr>
      </w:pPr>
      <w:r w:rsidRPr="003400E5">
        <w:rPr>
          <w:rFonts w:ascii="楷体" w:eastAsia="楷体" w:hAnsi="楷体" w:cs="楷体_GB2312" w:hint="eastAsia"/>
          <w:b/>
          <w:bCs/>
          <w:sz w:val="32"/>
          <w:szCs w:val="32"/>
        </w:rPr>
        <w:t>（二）建议：</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E61AD3" w:rsidRPr="003400E5">
        <w:rPr>
          <w:rFonts w:ascii="仿宋" w:eastAsia="仿宋" w:hAnsi="仿宋" w:hint="eastAsia"/>
          <w:sz w:val="32"/>
          <w:szCs w:val="32"/>
        </w:rPr>
        <w:t>强化农产品质量安全的宣传。</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E61AD3" w:rsidRPr="003400E5">
        <w:rPr>
          <w:rFonts w:ascii="仿宋" w:eastAsia="仿宋" w:hAnsi="仿宋" w:hint="eastAsia"/>
          <w:sz w:val="32"/>
          <w:szCs w:val="32"/>
        </w:rPr>
        <w:t>进一步明确农产品质量安全监管部门职责分工。</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E61AD3" w:rsidRPr="003400E5">
        <w:rPr>
          <w:rFonts w:ascii="仿宋" w:eastAsia="仿宋" w:hAnsi="仿宋" w:hint="eastAsia"/>
          <w:sz w:val="32"/>
          <w:szCs w:val="32"/>
        </w:rPr>
        <w:t>建立建全农产品质量安全溯源体系平台，完善农产品标准化生产机制。</w:t>
      </w:r>
    </w:p>
    <w:p w:rsidR="00A23B6B" w:rsidRPr="003400E5" w:rsidRDefault="003400E5" w:rsidP="003400E5">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E61AD3" w:rsidRPr="003400E5">
        <w:rPr>
          <w:rFonts w:ascii="仿宋" w:eastAsia="仿宋" w:hAnsi="仿宋" w:hint="eastAsia"/>
          <w:sz w:val="32"/>
          <w:szCs w:val="32"/>
        </w:rPr>
        <w:t>提高县、乡两级农产品监管检测力度，加大经费与设备的投入 。</w:t>
      </w:r>
    </w:p>
    <w:p w:rsidR="00A23B6B" w:rsidRPr="003400E5" w:rsidRDefault="00A23B6B" w:rsidP="003400E5">
      <w:pPr>
        <w:spacing w:line="560" w:lineRule="exact"/>
        <w:ind w:firstLineChars="200" w:firstLine="640"/>
        <w:rPr>
          <w:rFonts w:ascii="仿宋" w:eastAsia="仿宋" w:hAnsi="仿宋"/>
          <w:sz w:val="32"/>
          <w:szCs w:val="32"/>
        </w:rPr>
      </w:pPr>
    </w:p>
    <w:p w:rsidR="00A23B6B" w:rsidRPr="003400E5" w:rsidRDefault="00A23B6B" w:rsidP="003400E5">
      <w:pPr>
        <w:spacing w:line="560" w:lineRule="exact"/>
        <w:ind w:firstLineChars="200" w:firstLine="640"/>
        <w:rPr>
          <w:rFonts w:ascii="仿宋" w:eastAsia="仿宋" w:hAnsi="仿宋"/>
          <w:sz w:val="32"/>
          <w:szCs w:val="32"/>
        </w:rPr>
      </w:pPr>
    </w:p>
    <w:p w:rsidR="00A23B6B" w:rsidRPr="003400E5" w:rsidRDefault="00E61AD3" w:rsidP="003400E5">
      <w:pPr>
        <w:spacing w:line="560" w:lineRule="exact"/>
        <w:ind w:firstLineChars="1019" w:firstLine="3261"/>
        <w:rPr>
          <w:rFonts w:ascii="仿宋" w:eastAsia="仿宋" w:hAnsi="仿宋"/>
          <w:sz w:val="32"/>
          <w:szCs w:val="32"/>
        </w:rPr>
      </w:pPr>
      <w:r w:rsidRPr="003400E5">
        <w:rPr>
          <w:rFonts w:ascii="仿宋" w:eastAsia="仿宋" w:hAnsi="仿宋" w:hint="eastAsia"/>
          <w:sz w:val="32"/>
          <w:szCs w:val="32"/>
        </w:rPr>
        <w:t>芷江侗族自治县农业农村局</w:t>
      </w:r>
    </w:p>
    <w:p w:rsidR="00D842DC" w:rsidRDefault="00E61AD3" w:rsidP="003400E5">
      <w:pPr>
        <w:spacing w:line="560" w:lineRule="exact"/>
        <w:ind w:firstLineChars="200" w:firstLine="640"/>
        <w:rPr>
          <w:rFonts w:ascii="仿宋" w:eastAsia="仿宋" w:hAnsi="仿宋"/>
          <w:sz w:val="32"/>
          <w:szCs w:val="32"/>
        </w:rPr>
      </w:pPr>
      <w:r w:rsidRPr="003400E5">
        <w:rPr>
          <w:rFonts w:ascii="仿宋" w:eastAsia="仿宋" w:hAnsi="仿宋" w:hint="eastAsia"/>
          <w:sz w:val="32"/>
          <w:szCs w:val="32"/>
        </w:rPr>
        <w:t xml:space="preserve">                    202</w:t>
      </w:r>
      <w:r w:rsidR="00C75BC7">
        <w:rPr>
          <w:rFonts w:ascii="仿宋" w:eastAsia="仿宋" w:hAnsi="仿宋"/>
          <w:sz w:val="32"/>
          <w:szCs w:val="32"/>
        </w:rPr>
        <w:t>1</w:t>
      </w:r>
      <w:r w:rsidRPr="003400E5">
        <w:rPr>
          <w:rFonts w:ascii="仿宋" w:eastAsia="仿宋" w:hAnsi="仿宋" w:hint="eastAsia"/>
          <w:sz w:val="32"/>
          <w:szCs w:val="32"/>
        </w:rPr>
        <w:t>年</w:t>
      </w:r>
      <w:r w:rsidR="001203BC">
        <w:rPr>
          <w:rFonts w:ascii="仿宋" w:eastAsia="仿宋" w:hAnsi="仿宋"/>
          <w:sz w:val="32"/>
          <w:szCs w:val="32"/>
        </w:rPr>
        <w:t>7</w:t>
      </w:r>
      <w:r w:rsidRPr="003400E5">
        <w:rPr>
          <w:rFonts w:ascii="仿宋" w:eastAsia="仿宋" w:hAnsi="仿宋" w:hint="eastAsia"/>
          <w:sz w:val="32"/>
          <w:szCs w:val="32"/>
        </w:rPr>
        <w:t>月</w:t>
      </w:r>
      <w:r w:rsidR="001203BC">
        <w:rPr>
          <w:rFonts w:ascii="仿宋" w:eastAsia="仿宋" w:hAnsi="仿宋"/>
          <w:sz w:val="32"/>
          <w:szCs w:val="32"/>
        </w:rPr>
        <w:t>12</w:t>
      </w:r>
      <w:r w:rsidRPr="003400E5">
        <w:rPr>
          <w:rFonts w:ascii="仿宋" w:eastAsia="仿宋" w:hAnsi="仿宋" w:hint="eastAsia"/>
          <w:sz w:val="32"/>
          <w:szCs w:val="32"/>
        </w:rPr>
        <w:t>日</w:t>
      </w:r>
    </w:p>
    <w:p w:rsidR="00D842DC" w:rsidRDefault="00D842DC">
      <w:pPr>
        <w:widowControl/>
        <w:jc w:val="left"/>
        <w:rPr>
          <w:rFonts w:ascii="仿宋" w:eastAsia="仿宋" w:hAnsi="仿宋"/>
          <w:sz w:val="32"/>
          <w:szCs w:val="32"/>
        </w:rPr>
      </w:pPr>
      <w:r>
        <w:rPr>
          <w:rFonts w:ascii="仿宋" w:eastAsia="仿宋" w:hAnsi="仿宋"/>
          <w:sz w:val="32"/>
          <w:szCs w:val="32"/>
        </w:rPr>
        <w:br w:type="page"/>
      </w:r>
    </w:p>
    <w:tbl>
      <w:tblPr>
        <w:tblW w:w="8301" w:type="dxa"/>
        <w:tblLayout w:type="fixed"/>
        <w:tblCellMar>
          <w:top w:w="15" w:type="dxa"/>
          <w:left w:w="15" w:type="dxa"/>
          <w:bottom w:w="15" w:type="dxa"/>
          <w:right w:w="15" w:type="dxa"/>
        </w:tblCellMar>
        <w:tblLook w:val="04A0" w:firstRow="1" w:lastRow="0" w:firstColumn="1" w:lastColumn="0" w:noHBand="0" w:noVBand="1"/>
      </w:tblPr>
      <w:tblGrid>
        <w:gridCol w:w="370"/>
        <w:gridCol w:w="412"/>
        <w:gridCol w:w="359"/>
        <w:gridCol w:w="5"/>
        <w:gridCol w:w="426"/>
        <w:gridCol w:w="5"/>
        <w:gridCol w:w="701"/>
        <w:gridCol w:w="6"/>
        <w:gridCol w:w="418"/>
        <w:gridCol w:w="8"/>
        <w:gridCol w:w="1974"/>
        <w:gridCol w:w="16"/>
        <w:gridCol w:w="2836"/>
        <w:gridCol w:w="26"/>
        <w:gridCol w:w="422"/>
        <w:gridCol w:w="28"/>
        <w:gridCol w:w="255"/>
        <w:gridCol w:w="34"/>
      </w:tblGrid>
      <w:tr w:rsidR="00D842DC" w:rsidTr="00D842DC">
        <w:trPr>
          <w:trHeight w:val="585"/>
        </w:trPr>
        <w:tc>
          <w:tcPr>
            <w:tcW w:w="8301" w:type="dxa"/>
            <w:gridSpan w:val="18"/>
            <w:vAlign w:val="center"/>
          </w:tcPr>
          <w:p w:rsidR="00D842DC" w:rsidRPr="00D842DC" w:rsidRDefault="00D842DC" w:rsidP="001711BF">
            <w:pPr>
              <w:widowControl/>
              <w:spacing w:line="560" w:lineRule="exact"/>
              <w:jc w:val="center"/>
              <w:textAlignment w:val="center"/>
              <w:rPr>
                <w:rFonts w:ascii="方正小标宋简体" w:eastAsia="方正小标宋简体" w:hAnsi="宋体" w:cs="宋体"/>
                <w:color w:val="000000"/>
                <w:sz w:val="36"/>
                <w:szCs w:val="36"/>
              </w:rPr>
            </w:pPr>
            <w:r w:rsidRPr="00D842DC">
              <w:rPr>
                <w:rFonts w:ascii="方正小标宋简体" w:eastAsia="方正小标宋简体" w:hAnsi="宋体" w:cs="宋体" w:hint="eastAsia"/>
                <w:color w:val="000000"/>
                <w:kern w:val="0"/>
                <w:sz w:val="36"/>
                <w:szCs w:val="36"/>
              </w:rPr>
              <w:lastRenderedPageBreak/>
              <w:t>芷江侗族自治县农产品质量安全监管检测和农业综合执法专项经费绩效评价指标</w:t>
            </w:r>
          </w:p>
        </w:tc>
      </w:tr>
      <w:tr w:rsidR="00D842DC" w:rsidTr="00D842DC">
        <w:trPr>
          <w:trHeight w:val="435"/>
        </w:trPr>
        <w:tc>
          <w:tcPr>
            <w:tcW w:w="8301" w:type="dxa"/>
            <w:gridSpan w:val="18"/>
            <w:tcBorders>
              <w:bottom w:val="single" w:sz="4" w:space="0" w:color="000000"/>
            </w:tcBorders>
            <w:vAlign w:val="center"/>
          </w:tcPr>
          <w:p w:rsidR="00D842DC" w:rsidRDefault="00D842DC" w:rsidP="001711BF">
            <w:pPr>
              <w:widowControl/>
              <w:spacing w:line="560" w:lineRule="exact"/>
              <w:jc w:val="left"/>
              <w:textAlignment w:val="center"/>
              <w:rPr>
                <w:rFonts w:ascii="宋体" w:hAnsi="宋体" w:cs="宋体"/>
                <w:b/>
                <w:color w:val="000000"/>
                <w:sz w:val="24"/>
              </w:rPr>
            </w:pPr>
            <w:r>
              <w:rPr>
                <w:rFonts w:ascii="宋体" w:hAnsi="宋体" w:cs="宋体" w:hint="eastAsia"/>
                <w:b/>
                <w:color w:val="000000"/>
                <w:kern w:val="0"/>
                <w:sz w:val="24"/>
              </w:rPr>
              <w:t>填报单位：芷江侗族自治县农业农村局</w:t>
            </w:r>
          </w:p>
        </w:tc>
      </w:tr>
      <w:tr w:rsidR="00D842DC" w:rsidTr="00D842DC">
        <w:trPr>
          <w:trHeight w:val="915"/>
        </w:trPr>
        <w:tc>
          <w:tcPr>
            <w:tcW w:w="371" w:type="dxa"/>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一级指标</w:t>
            </w:r>
          </w:p>
        </w:tc>
        <w:tc>
          <w:tcPr>
            <w:tcW w:w="413" w:type="dxa"/>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61"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二级指标</w:t>
            </w:r>
          </w:p>
        </w:tc>
        <w:tc>
          <w:tcPr>
            <w:tcW w:w="430"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708"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三级指标</w:t>
            </w:r>
          </w:p>
        </w:tc>
        <w:tc>
          <w:tcPr>
            <w:tcW w:w="426"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1992"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指标解释</w:t>
            </w:r>
          </w:p>
        </w:tc>
        <w:tc>
          <w:tcPr>
            <w:tcW w:w="2865"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评价标准</w:t>
            </w:r>
          </w:p>
        </w:tc>
        <w:tc>
          <w:tcPr>
            <w:tcW w:w="450"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评分</w:t>
            </w:r>
          </w:p>
        </w:tc>
        <w:tc>
          <w:tcPr>
            <w:tcW w:w="285"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b/>
                <w:color w:val="000000"/>
                <w:sz w:val="24"/>
              </w:rPr>
            </w:pPr>
            <w:r>
              <w:rPr>
                <w:rFonts w:ascii="宋体" w:hAnsi="宋体" w:cs="宋体" w:hint="eastAsia"/>
                <w:b/>
                <w:color w:val="000000"/>
                <w:kern w:val="0"/>
                <w:sz w:val="24"/>
              </w:rPr>
              <w:t>备注</w:t>
            </w:r>
          </w:p>
        </w:tc>
      </w:tr>
      <w:tr w:rsidR="00D842DC" w:rsidTr="00D842DC">
        <w:trPr>
          <w:trHeight w:val="1110"/>
        </w:trPr>
        <w:tc>
          <w:tcPr>
            <w:tcW w:w="371" w:type="dxa"/>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413" w:type="dxa"/>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361" w:type="dxa"/>
            <w:gridSpan w:val="2"/>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hint="eastAsia"/>
                <w:color w:val="000000"/>
                <w:kern w:val="0"/>
                <w:sz w:val="18"/>
                <w:szCs w:val="18"/>
              </w:rPr>
              <w:fldChar w:fldCharType="begin"/>
            </w:r>
            <w:r>
              <w:rPr>
                <w:rFonts w:ascii="宋体" w:hAnsi="宋体" w:cs="宋体" w:hint="eastAsia"/>
                <w:color w:val="000000"/>
                <w:kern w:val="0"/>
                <w:sz w:val="18"/>
                <w:szCs w:val="18"/>
              </w:rPr>
              <w:instrText xml:space="preserve">INCLUDEPICTURE \d "C:\\Users\\ADMINI~1\\AppData\\Local\\Temp\\ksohtml\\clip_image3073.png" \* MERGEFORMATINET </w:instrText>
            </w:r>
            <w:r>
              <w:rPr>
                <w:rFonts w:ascii="宋体" w:hAnsi="宋体" w:cs="宋体" w:hint="eastAsia"/>
                <w:color w:val="000000"/>
                <w:kern w:val="0"/>
                <w:sz w:val="18"/>
                <w:szCs w:val="18"/>
              </w:rPr>
              <w:fldChar w:fldCharType="separate"/>
            </w:r>
            <w:r>
              <w:rPr>
                <w:rFonts w:ascii="宋体" w:hAnsi="宋体" w:cs="宋体" w:hint="eastAsia"/>
                <w:noProof/>
                <w:color w:val="000000"/>
                <w:kern w:val="0"/>
                <w:sz w:val="18"/>
                <w:szCs w:val="18"/>
              </w:rPr>
              <w:drawing>
                <wp:inline distT="0" distB="0" distL="114300" distR="114300" wp14:anchorId="190E606C" wp14:editId="5795DB83">
                  <wp:extent cx="9525" cy="9525"/>
                  <wp:effectExtent l="0" t="0" r="0" b="0"/>
                  <wp:docPr id="4"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color w:val="000000"/>
                <w:kern w:val="0"/>
                <w:sz w:val="18"/>
                <w:szCs w:val="18"/>
              </w:rPr>
              <w:fldChar w:fldCharType="end"/>
            </w:r>
            <w:r>
              <w:rPr>
                <w:rFonts w:ascii="宋体" w:hAnsi="宋体" w:cs="宋体" w:hint="eastAsia"/>
                <w:color w:val="000000"/>
                <w:kern w:val="0"/>
                <w:sz w:val="18"/>
                <w:szCs w:val="18"/>
              </w:rPr>
              <w:fldChar w:fldCharType="begin"/>
            </w:r>
            <w:r>
              <w:rPr>
                <w:rFonts w:ascii="宋体" w:hAnsi="宋体" w:cs="宋体" w:hint="eastAsia"/>
                <w:color w:val="000000"/>
                <w:kern w:val="0"/>
                <w:sz w:val="18"/>
                <w:szCs w:val="18"/>
              </w:rPr>
              <w:instrText xml:space="preserve">INCLUDEPICTURE \d "C:\\Users\\ADMINI~1\\AppData\\Local\\Temp\\ksohtml\\clip_image3080.png" \* MERGEFORMATINET </w:instrText>
            </w:r>
            <w:r>
              <w:rPr>
                <w:rFonts w:ascii="宋体" w:hAnsi="宋体" w:cs="宋体" w:hint="eastAsia"/>
                <w:color w:val="000000"/>
                <w:kern w:val="0"/>
                <w:sz w:val="18"/>
                <w:szCs w:val="18"/>
              </w:rPr>
              <w:fldChar w:fldCharType="separate"/>
            </w:r>
            <w:r>
              <w:rPr>
                <w:rFonts w:ascii="宋体" w:hAnsi="宋体" w:cs="宋体" w:hint="eastAsia"/>
                <w:noProof/>
                <w:color w:val="000000"/>
                <w:kern w:val="0"/>
                <w:sz w:val="18"/>
                <w:szCs w:val="18"/>
              </w:rPr>
              <w:drawing>
                <wp:inline distT="0" distB="0" distL="114300" distR="114300" wp14:anchorId="2FCF3256" wp14:editId="3ACAD5C6">
                  <wp:extent cx="9525" cy="9525"/>
                  <wp:effectExtent l="0" t="0" r="0" b="0"/>
                  <wp:docPr id="11" name="图片 1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color w:val="000000"/>
                <w:kern w:val="0"/>
                <w:sz w:val="18"/>
                <w:szCs w:val="18"/>
              </w:rPr>
              <w:fldChar w:fldCharType="end"/>
            </w: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rPr>
                <w:rFonts w:ascii="宋体" w:hAnsi="宋体" w:cs="宋体"/>
                <w:color w:val="000000"/>
                <w:sz w:val="18"/>
                <w:szCs w:val="18"/>
              </w:rPr>
            </w:pPr>
          </w:p>
        </w:tc>
      </w:tr>
      <w:tr w:rsidR="00D842DC" w:rsidTr="00D842DC">
        <w:trPr>
          <w:trHeight w:val="1035"/>
        </w:trPr>
        <w:tc>
          <w:tcPr>
            <w:tcW w:w="371"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①符合国家相关法律法规、国民经济发展规划和党委政府决策记1分，否则不记分；             </w:t>
            </w:r>
          </w:p>
          <w:p w:rsidR="00D842DC" w:rsidRDefault="00D842DC" w:rsidP="00D842DC">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②与项目实施单位或委托单位职责密切相关记1分，否则不记分；                              ③项目能促进事业发展所需要记1分，否则不记分；                                     ④项目预期产出效益和效果符合正常的业绩水平记1分，否则不记分。</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rPr>
                <w:rFonts w:ascii="宋体" w:hAnsi="宋体" w:cs="宋体"/>
                <w:color w:val="000000"/>
                <w:sz w:val="18"/>
                <w:szCs w:val="18"/>
              </w:rPr>
            </w:pPr>
          </w:p>
        </w:tc>
      </w:tr>
      <w:tr w:rsidR="00D842DC" w:rsidTr="00D842DC">
        <w:trPr>
          <w:trHeight w:val="1095"/>
        </w:trPr>
        <w:tc>
          <w:tcPr>
            <w:tcW w:w="371" w:type="dxa"/>
            <w:vMerge/>
            <w:tcBorders>
              <w:top w:val="single" w:sz="4" w:space="0" w:color="auto"/>
              <w:left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auto"/>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426"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992"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依据绩效目标设定的绩效指标是否清晰、细化、可衡量等，用以反映和考核项目绩效目标的明细化情况。</w:t>
            </w:r>
          </w:p>
        </w:tc>
        <w:tc>
          <w:tcPr>
            <w:tcW w:w="2865"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450"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5"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795"/>
        </w:trPr>
        <w:tc>
          <w:tcPr>
            <w:tcW w:w="371" w:type="dxa"/>
            <w:vMerge/>
            <w:tcBorders>
              <w:top w:val="single" w:sz="4" w:space="0" w:color="000000"/>
              <w:left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000000"/>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val="restart"/>
            <w:tcBorders>
              <w:top w:val="single" w:sz="4" w:space="0" w:color="000000"/>
              <w:left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430" w:type="dxa"/>
            <w:gridSpan w:val="2"/>
            <w:vMerge w:val="restart"/>
            <w:tcBorders>
              <w:top w:val="single" w:sz="4" w:space="0" w:color="000000"/>
              <w:left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资金到位率＝（实际到位资金/计划投入资金）×100%</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资金足额到位记5分，未足额到位按比例计分。</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795"/>
        </w:trPr>
        <w:tc>
          <w:tcPr>
            <w:tcW w:w="371" w:type="dxa"/>
            <w:vMerge/>
            <w:tcBorders>
              <w:top w:val="single" w:sz="4" w:space="0" w:color="000000"/>
              <w:left w:val="single" w:sz="4" w:space="0" w:color="auto"/>
              <w:bottom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426"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到位及时率＝（及时到位资金/应到位资金）×100%</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资金按时到位记5分，未按时按比例计分。</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945"/>
        </w:trPr>
        <w:tc>
          <w:tcPr>
            <w:tcW w:w="371" w:type="dxa"/>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413" w:type="dxa"/>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361" w:type="dxa"/>
            <w:gridSpan w:val="2"/>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2865" w:type="dxa"/>
            <w:gridSpan w:val="2"/>
            <w:tcBorders>
              <w:top w:val="single" w:sz="4" w:space="0" w:color="000000"/>
              <w:left w:val="single" w:sz="4" w:space="0" w:color="auto"/>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①已制定或具有相应的业务管理制度记2.5分， 不制定不记分；                                        ②业务管理制度合法、合规、完整记2.5分；不合法、不合规、不完整不记分。</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1140"/>
        </w:trPr>
        <w:tc>
          <w:tcPr>
            <w:tcW w:w="371"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2865" w:type="dxa"/>
            <w:gridSpan w:val="2"/>
            <w:tcBorders>
              <w:top w:val="single" w:sz="4" w:space="0" w:color="000000"/>
              <w:left w:val="single" w:sz="4" w:space="0" w:color="auto"/>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遵守相关法律法规和业务管理规定记5分，否则不记分。</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1170"/>
        </w:trPr>
        <w:tc>
          <w:tcPr>
            <w:tcW w:w="371" w:type="dxa"/>
            <w:vMerge/>
            <w:tcBorders>
              <w:top w:val="single" w:sz="4" w:space="0" w:color="auto"/>
              <w:left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auto"/>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426"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项目实施至位是否为达到项目质量要求而采取了必需的措施，用以反映和考核项目实施单位对项目质量的控制情况。</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①制定或有相应的项目质量要求或标准记2.5分，否则不记分；                                          ②采取了相应的项目质量检查、验收等必需的控制措施或手段记2.5分，否则不记分。</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1035"/>
        </w:trPr>
        <w:tc>
          <w:tcPr>
            <w:tcW w:w="371" w:type="dxa"/>
            <w:vMerge/>
            <w:tcBorders>
              <w:top w:val="single" w:sz="4" w:space="0" w:color="000000"/>
              <w:left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000000"/>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val="restart"/>
            <w:tcBorders>
              <w:top w:val="single" w:sz="4" w:space="0" w:color="000000"/>
              <w:left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430" w:type="dxa"/>
            <w:gridSpan w:val="2"/>
            <w:vMerge w:val="restart"/>
            <w:tcBorders>
              <w:top w:val="single" w:sz="4" w:space="0" w:color="000000"/>
              <w:left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①已制定或具有相应的项目资金管理办法记2.5分，否则不记分；                                           ②项目资金管理办法符合相关财务会计制定记2.5分，否则不记分。</w:t>
            </w:r>
          </w:p>
        </w:tc>
        <w:tc>
          <w:tcPr>
            <w:tcW w:w="450" w:type="dxa"/>
            <w:gridSpan w:val="2"/>
            <w:tcBorders>
              <w:top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85" w:type="dxa"/>
            <w:gridSpan w:val="2"/>
            <w:tcBorders>
              <w:top w:val="single" w:sz="4" w:space="0" w:color="000000"/>
              <w:bottom w:val="single" w:sz="4" w:space="0" w:color="000000"/>
              <w:right w:val="single" w:sz="4" w:space="0" w:color="000000"/>
            </w:tcBorders>
            <w:vAlign w:val="center"/>
          </w:tcPr>
          <w:p w:rsidR="00D842DC" w:rsidRDefault="00D842DC" w:rsidP="00D842DC">
            <w:pPr>
              <w:jc w:val="center"/>
              <w:rPr>
                <w:rFonts w:ascii="仿宋_GB2312" w:eastAsia="仿宋_GB2312" w:hAnsi="宋体" w:cs="仿宋_GB2312"/>
                <w:color w:val="000000"/>
                <w:sz w:val="18"/>
                <w:szCs w:val="18"/>
              </w:rPr>
            </w:pPr>
          </w:p>
        </w:tc>
      </w:tr>
      <w:tr w:rsidR="00D842DC" w:rsidTr="00D842DC">
        <w:trPr>
          <w:trHeight w:val="1695"/>
        </w:trPr>
        <w:tc>
          <w:tcPr>
            <w:tcW w:w="371" w:type="dxa"/>
            <w:vMerge/>
            <w:tcBorders>
              <w:top w:val="single" w:sz="4" w:space="0" w:color="000000"/>
              <w:left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000000"/>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000000"/>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000000"/>
              <w:left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资金使用合规性</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D842DC" w:rsidRPr="00D842DC" w:rsidRDefault="00D842DC" w:rsidP="00D842DC">
            <w:pPr>
              <w:widowControl/>
              <w:jc w:val="left"/>
              <w:textAlignment w:val="center"/>
              <w:rPr>
                <w:rFonts w:ascii="宋体" w:hAnsi="宋体" w:cs="宋体"/>
                <w:color w:val="000000"/>
                <w:sz w:val="18"/>
                <w:szCs w:val="18"/>
              </w:rPr>
            </w:pPr>
            <w:r w:rsidRPr="00D842DC">
              <w:rPr>
                <w:rFonts w:ascii="宋体" w:hAnsi="宋体" w:cs="宋体" w:hint="eastAsia"/>
                <w:color w:val="000000"/>
                <w:kern w:val="0"/>
                <w:sz w:val="18"/>
                <w:szCs w:val="18"/>
              </w:rPr>
              <w:t>项目资金使用是否符合相关的财务管理制度规定，用以反映和考核项目资金的规范运行情况。</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spacing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①</w:t>
            </w:r>
            <w:r>
              <w:rPr>
                <w:rFonts w:ascii="宋体" w:hAnsi="宋体" w:cs="宋体" w:hint="eastAsia"/>
                <w:color w:val="000000"/>
                <w:kern w:val="0"/>
                <w:sz w:val="18"/>
                <w:szCs w:val="18"/>
              </w:rPr>
              <w:t>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w:t>
            </w:r>
          </w:p>
        </w:tc>
        <w:tc>
          <w:tcPr>
            <w:tcW w:w="450" w:type="dxa"/>
            <w:gridSpan w:val="2"/>
            <w:tcBorders>
              <w:bottom w:val="single" w:sz="4" w:space="0" w:color="000000"/>
              <w:right w:val="single" w:sz="4" w:space="0" w:color="000000"/>
            </w:tcBorders>
            <w:vAlign w:val="center"/>
          </w:tcPr>
          <w:p w:rsidR="00D842DC" w:rsidRDefault="00D842DC" w:rsidP="00D842DC">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85" w:type="dxa"/>
            <w:gridSpan w:val="2"/>
            <w:tcBorders>
              <w:bottom w:val="single" w:sz="4" w:space="0" w:color="000000"/>
              <w:right w:val="single" w:sz="4" w:space="0" w:color="000000"/>
            </w:tcBorders>
            <w:vAlign w:val="center"/>
          </w:tcPr>
          <w:p w:rsidR="00D842DC" w:rsidRDefault="00D842DC" w:rsidP="00D842DC">
            <w:pPr>
              <w:jc w:val="center"/>
              <w:rPr>
                <w:rFonts w:ascii="仿宋_GB2312" w:eastAsia="仿宋_GB2312" w:hAnsi="宋体" w:cs="仿宋_GB2312"/>
                <w:color w:val="000000"/>
                <w:sz w:val="18"/>
                <w:szCs w:val="18"/>
              </w:rPr>
            </w:pPr>
          </w:p>
        </w:tc>
      </w:tr>
      <w:tr w:rsidR="00D842DC" w:rsidTr="00D842DC">
        <w:trPr>
          <w:trHeight w:val="1050"/>
        </w:trPr>
        <w:tc>
          <w:tcPr>
            <w:tcW w:w="371" w:type="dxa"/>
            <w:vMerge/>
            <w:tcBorders>
              <w:top w:val="single" w:sz="4" w:space="0" w:color="000000"/>
              <w:left w:val="single" w:sz="4" w:space="0" w:color="auto"/>
              <w:bottom w:val="single" w:sz="4" w:space="0" w:color="auto"/>
              <w:right w:val="single" w:sz="4" w:space="0" w:color="000000"/>
            </w:tcBorders>
            <w:vAlign w:val="center"/>
          </w:tcPr>
          <w:p w:rsidR="00D842DC" w:rsidRDefault="00D842DC" w:rsidP="00D842DC">
            <w:pPr>
              <w:jc w:val="center"/>
              <w:rPr>
                <w:rFonts w:ascii="宋体" w:hAnsi="宋体" w:cs="宋体"/>
                <w:color w:val="000000"/>
                <w:sz w:val="20"/>
                <w:szCs w:val="20"/>
              </w:rPr>
            </w:pPr>
          </w:p>
        </w:tc>
        <w:tc>
          <w:tcPr>
            <w:tcW w:w="413" w:type="dxa"/>
            <w:vMerge/>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426"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000000"/>
              <w:left w:val="single" w:sz="4" w:space="0" w:color="000000"/>
              <w:bottom w:val="single" w:sz="4" w:space="0" w:color="auto"/>
              <w:right w:val="single" w:sz="4" w:space="0" w:color="000000"/>
            </w:tcBorders>
            <w:vAlign w:val="center"/>
          </w:tcPr>
          <w:p w:rsidR="00D842DC" w:rsidRPr="00D842DC" w:rsidRDefault="00D842DC" w:rsidP="00D842DC">
            <w:pPr>
              <w:widowControl/>
              <w:jc w:val="left"/>
              <w:textAlignment w:val="center"/>
              <w:rPr>
                <w:rFonts w:ascii="宋体" w:hAnsi="宋体" w:cs="宋体"/>
                <w:color w:val="000000"/>
                <w:sz w:val="18"/>
                <w:szCs w:val="18"/>
              </w:rPr>
            </w:pPr>
            <w:r w:rsidRPr="00D842DC">
              <w:rPr>
                <w:rFonts w:ascii="宋体" w:hAnsi="宋体" w:cs="宋体" w:hint="eastAsia"/>
                <w:color w:val="000000"/>
                <w:kern w:val="0"/>
                <w:sz w:val="18"/>
                <w:szCs w:val="18"/>
              </w:rPr>
              <w:t>项目单位是否为保障资金的安全、规范运行而采取了必要的监控措施，用以反映和考核项目单位对资金运行的控制情况。</w:t>
            </w:r>
          </w:p>
        </w:tc>
        <w:tc>
          <w:tcPr>
            <w:tcW w:w="2865"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①已制定或具有相应的监控机制记2.5分，否则不记分；                                       ②采取了相应的财务检查等必要的监控措施或手段记2.5分，否则不记分。</w:t>
            </w:r>
          </w:p>
        </w:tc>
        <w:tc>
          <w:tcPr>
            <w:tcW w:w="450"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5" w:type="dxa"/>
            <w:gridSpan w:val="2"/>
            <w:tcBorders>
              <w:top w:val="single" w:sz="4" w:space="0" w:color="000000"/>
              <w:left w:val="single" w:sz="4" w:space="0" w:color="000000"/>
              <w:bottom w:val="single" w:sz="4" w:space="0" w:color="auto"/>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trHeight w:val="1125"/>
        </w:trPr>
        <w:tc>
          <w:tcPr>
            <w:tcW w:w="371" w:type="dxa"/>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textAlignment w:val="center"/>
              <w:rPr>
                <w:rFonts w:ascii="宋体" w:hAnsi="宋体" w:cs="宋体"/>
                <w:color w:val="000000"/>
                <w:sz w:val="18"/>
                <w:szCs w:val="18"/>
              </w:rPr>
            </w:pPr>
            <w:r>
              <w:rPr>
                <w:rFonts w:ascii="宋体" w:hAnsi="宋体" w:cs="宋体" w:hint="eastAsia"/>
                <w:color w:val="000000"/>
                <w:sz w:val="18"/>
                <w:szCs w:val="18"/>
              </w:rPr>
              <w:t>产出</w:t>
            </w:r>
          </w:p>
        </w:tc>
        <w:tc>
          <w:tcPr>
            <w:tcW w:w="413" w:type="dxa"/>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361" w:type="dxa"/>
            <w:gridSpan w:val="2"/>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textAlignment w:val="center"/>
              <w:rPr>
                <w:rFonts w:ascii="宋体" w:hAnsi="宋体" w:cs="宋体"/>
                <w:color w:val="000000"/>
                <w:sz w:val="18"/>
                <w:szCs w:val="18"/>
              </w:rPr>
            </w:pPr>
            <w:r>
              <w:rPr>
                <w:rFonts w:ascii="宋体" w:hAnsi="宋体" w:cs="宋体" w:hint="eastAsia"/>
                <w:color w:val="000000"/>
                <w:sz w:val="18"/>
                <w:szCs w:val="18"/>
              </w:rPr>
              <w:t>项目产出</w:t>
            </w: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sz w:val="18"/>
                <w:szCs w:val="18"/>
              </w:rPr>
              <w:t>农产品质量安全检测</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全年抽检农产品2400批次，合格率稳定在97%以上</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完成抽检2400批次以上记3分，抽检2000-2399批次记2分，2000批次以下不记分。</w:t>
            </w:r>
          </w:p>
          <w:p w:rsidR="00D842DC" w:rsidRDefault="00D842DC" w:rsidP="00D842D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②合格率97%以上记2分，95-96%记1分，低于95%不记分。</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ind w:firstLineChars="100" w:firstLine="18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rPr>
                <w:rFonts w:ascii="宋体" w:hAnsi="宋体" w:cs="宋体"/>
                <w:color w:val="000000"/>
                <w:sz w:val="18"/>
                <w:szCs w:val="18"/>
              </w:rPr>
            </w:pPr>
          </w:p>
        </w:tc>
      </w:tr>
      <w:tr w:rsidR="00D842DC" w:rsidTr="00D842DC">
        <w:trPr>
          <w:trHeight w:val="1008"/>
        </w:trPr>
        <w:tc>
          <w:tcPr>
            <w:tcW w:w="371"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违法案件查处率</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left"/>
              <w:rPr>
                <w:rFonts w:ascii="宋体" w:hAnsi="宋体" w:cs="宋体"/>
                <w:color w:val="000000"/>
                <w:sz w:val="18"/>
                <w:szCs w:val="18"/>
              </w:rPr>
            </w:pPr>
            <w:r>
              <w:rPr>
                <w:rFonts w:ascii="宋体" w:hAnsi="宋体" w:cs="宋体" w:hint="eastAsia"/>
                <w:color w:val="000000"/>
                <w:sz w:val="18"/>
                <w:szCs w:val="18"/>
              </w:rPr>
              <w:t>检查农资门店，双随机抽样检查</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违法案件查处率100%记5分，否则不记分。</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rPr>
                <w:rFonts w:ascii="宋体" w:hAnsi="宋体" w:cs="宋体"/>
                <w:color w:val="000000"/>
                <w:sz w:val="18"/>
                <w:szCs w:val="18"/>
              </w:rPr>
            </w:pPr>
          </w:p>
        </w:tc>
      </w:tr>
      <w:tr w:rsidR="00D842DC" w:rsidTr="00D842DC">
        <w:trPr>
          <w:trHeight w:val="1125"/>
        </w:trPr>
        <w:tc>
          <w:tcPr>
            <w:tcW w:w="371"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检测培训能力提升</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left"/>
              <w:rPr>
                <w:rFonts w:ascii="宋体" w:hAnsi="宋体" w:cs="宋体"/>
                <w:color w:val="000000"/>
                <w:sz w:val="18"/>
                <w:szCs w:val="18"/>
              </w:rPr>
            </w:pPr>
            <w:r>
              <w:rPr>
                <w:rFonts w:ascii="宋体" w:hAnsi="宋体" w:cs="宋体" w:hint="eastAsia"/>
                <w:color w:val="000000"/>
                <w:sz w:val="18"/>
                <w:szCs w:val="18"/>
              </w:rPr>
              <w:t>检测技术培训，提升检测能力</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Pr="00D842DC" w:rsidRDefault="00D842DC" w:rsidP="00D842DC">
            <w:pPr>
              <w:widowControl/>
              <w:jc w:val="left"/>
              <w:textAlignment w:val="center"/>
              <w:rPr>
                <w:rFonts w:ascii="宋体" w:hAnsi="宋体" w:cs="宋体"/>
                <w:color w:val="000000"/>
                <w:sz w:val="18"/>
                <w:szCs w:val="18"/>
              </w:rPr>
            </w:pPr>
            <w:r w:rsidRPr="00D842DC">
              <w:rPr>
                <w:rFonts w:ascii="宋体" w:hAnsi="宋体" w:cs="宋体" w:hint="eastAsia"/>
                <w:color w:val="000000"/>
                <w:kern w:val="0"/>
                <w:sz w:val="18"/>
                <w:szCs w:val="18"/>
              </w:rPr>
              <w:t>①</w:t>
            </w:r>
            <w:r w:rsidRPr="00D842DC">
              <w:rPr>
                <w:rFonts w:ascii="宋体" w:hAnsi="宋体" w:cs="宋体" w:hint="eastAsia"/>
                <w:color w:val="000000"/>
                <w:sz w:val="18"/>
                <w:szCs w:val="18"/>
              </w:rPr>
              <w:t>县乡两级培训检测人员30人次以上记2分，未完成按比例记分。</w:t>
            </w:r>
          </w:p>
          <w:p w:rsidR="00D842DC" w:rsidRDefault="00D842DC" w:rsidP="00D842DC">
            <w:pPr>
              <w:widowControl/>
              <w:jc w:val="left"/>
              <w:textAlignment w:val="center"/>
              <w:rPr>
                <w:rFonts w:ascii="宋体" w:hAnsi="宋体" w:cs="宋体"/>
                <w:color w:val="000000"/>
                <w:kern w:val="0"/>
                <w:sz w:val="18"/>
                <w:szCs w:val="18"/>
              </w:rPr>
            </w:pPr>
            <w:r w:rsidRPr="00D842DC">
              <w:rPr>
                <w:rFonts w:ascii="宋体" w:hAnsi="宋体" w:cs="宋体" w:hint="eastAsia"/>
                <w:color w:val="000000"/>
                <w:kern w:val="0"/>
                <w:sz w:val="18"/>
                <w:szCs w:val="18"/>
              </w:rPr>
              <w:t>②县级检测站检测能力显著提升记2分，部分提升记1分。</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rPr>
                <w:rFonts w:ascii="宋体" w:hAnsi="宋体" w:cs="宋体"/>
                <w:color w:val="000000"/>
                <w:sz w:val="18"/>
                <w:szCs w:val="18"/>
              </w:rPr>
            </w:pPr>
          </w:p>
        </w:tc>
      </w:tr>
      <w:tr w:rsidR="00D842DC" w:rsidTr="00D842DC">
        <w:trPr>
          <w:trHeight w:val="1125"/>
        </w:trPr>
        <w:tc>
          <w:tcPr>
            <w:tcW w:w="371"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Pr="00D842DC" w:rsidRDefault="00D842DC" w:rsidP="00D842DC">
            <w:pPr>
              <w:widowControl/>
              <w:jc w:val="left"/>
              <w:textAlignment w:val="center"/>
              <w:rPr>
                <w:rFonts w:ascii="宋体" w:hAnsi="宋体" w:cs="宋体"/>
                <w:color w:val="000000"/>
                <w:sz w:val="18"/>
                <w:szCs w:val="18"/>
              </w:rPr>
            </w:pPr>
            <w:r w:rsidRPr="00D842DC">
              <w:rPr>
                <w:rFonts w:ascii="宋体" w:hAnsi="宋体" w:cs="宋体" w:hint="eastAsia"/>
                <w:color w:val="000000"/>
                <w:kern w:val="0"/>
                <w:sz w:val="18"/>
                <w:szCs w:val="18"/>
              </w:rPr>
              <w:t>完成及时率</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Pr="00D842DC" w:rsidRDefault="00D842DC" w:rsidP="00D842DC">
            <w:pPr>
              <w:widowControl/>
              <w:jc w:val="center"/>
              <w:textAlignment w:val="center"/>
              <w:rPr>
                <w:rFonts w:ascii="宋体" w:hAnsi="宋体" w:cs="宋体"/>
                <w:color w:val="000000"/>
                <w:sz w:val="18"/>
                <w:szCs w:val="18"/>
              </w:rPr>
            </w:pPr>
            <w:r w:rsidRPr="00D842DC">
              <w:rPr>
                <w:rFonts w:ascii="宋体" w:hAnsi="宋体" w:cs="宋体" w:hint="eastAsia"/>
                <w:color w:val="000000"/>
                <w:kern w:val="0"/>
                <w:sz w:val="18"/>
                <w:szCs w:val="18"/>
              </w:rPr>
              <w:t>5</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Pr="00D842DC" w:rsidRDefault="00D842DC" w:rsidP="00D842DC">
            <w:pPr>
              <w:widowControl/>
              <w:jc w:val="left"/>
              <w:textAlignment w:val="center"/>
              <w:rPr>
                <w:rFonts w:ascii="宋体" w:hAnsi="宋体" w:cs="宋体"/>
                <w:color w:val="000000"/>
                <w:sz w:val="18"/>
                <w:szCs w:val="18"/>
              </w:rPr>
            </w:pPr>
            <w:r w:rsidRPr="00D842DC">
              <w:rPr>
                <w:rFonts w:ascii="宋体" w:hAnsi="宋体" w:cs="宋体" w:hint="eastAsia"/>
                <w:color w:val="000000"/>
                <w:kern w:val="0"/>
                <w:sz w:val="18"/>
                <w:szCs w:val="18"/>
              </w:rPr>
              <w:t>项目实际提前完成时间与计划完成时间的比率，用以反映和考核项目产出时效目标的实现程度</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Pr="00D842DC" w:rsidRDefault="00D842DC" w:rsidP="00D842DC">
            <w:pPr>
              <w:widowControl/>
              <w:jc w:val="left"/>
              <w:textAlignment w:val="center"/>
              <w:rPr>
                <w:rFonts w:ascii="宋体" w:hAnsi="宋体" w:cs="宋体"/>
                <w:color w:val="000000"/>
                <w:sz w:val="18"/>
                <w:szCs w:val="18"/>
              </w:rPr>
            </w:pPr>
            <w:r w:rsidRPr="00D842DC">
              <w:rPr>
                <w:rFonts w:ascii="宋体" w:hAnsi="宋体" w:cs="宋体" w:hint="eastAsia"/>
                <w:color w:val="000000"/>
                <w:kern w:val="0"/>
                <w:sz w:val="18"/>
                <w:szCs w:val="18"/>
              </w:rPr>
              <w:t>按时完成计5分，不按时完成的不计分。</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  5</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20"/>
                <w:szCs w:val="20"/>
              </w:rPr>
            </w:pPr>
          </w:p>
        </w:tc>
      </w:tr>
      <w:tr w:rsidR="00D842DC" w:rsidTr="00D842DC">
        <w:trPr>
          <w:trHeight w:val="720"/>
        </w:trPr>
        <w:tc>
          <w:tcPr>
            <w:tcW w:w="371"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361"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D842DC" w:rsidRDefault="00D842DC" w:rsidP="00D842DC">
            <w:pPr>
              <w:jc w:val="center"/>
              <w:rPr>
                <w:rFonts w:ascii="宋体" w:hAnsi="宋体" w:cs="宋体"/>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节庆期间农产品安全保障</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重大节庆期间农产品检测全覆盖，农产品消费安全零事故</w:t>
            </w:r>
          </w:p>
        </w:tc>
        <w:tc>
          <w:tcPr>
            <w:tcW w:w="286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按照上级要求，重大节庆期间检测全覆盖、零事故、零投诉记5分；1起事故或投诉记3分；2起以上不记分。</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sz w:val="18"/>
                <w:szCs w:val="18"/>
              </w:rPr>
              <w:t>5</w:t>
            </w:r>
          </w:p>
        </w:tc>
        <w:tc>
          <w:tcPr>
            <w:tcW w:w="285" w:type="dxa"/>
            <w:gridSpan w:val="2"/>
            <w:tcBorders>
              <w:top w:val="single" w:sz="4" w:space="0" w:color="auto"/>
              <w:left w:val="single" w:sz="4" w:space="0" w:color="auto"/>
              <w:bottom w:val="single" w:sz="4" w:space="0" w:color="auto"/>
              <w:right w:val="single" w:sz="4" w:space="0" w:color="auto"/>
            </w:tcBorders>
            <w:vAlign w:val="center"/>
          </w:tcPr>
          <w:p w:rsidR="00D842DC" w:rsidRDefault="00D842DC" w:rsidP="00D842DC">
            <w:pPr>
              <w:rPr>
                <w:rFonts w:ascii="宋体" w:hAnsi="宋体" w:cs="宋体"/>
                <w:color w:val="000000"/>
                <w:sz w:val="18"/>
                <w:szCs w:val="18"/>
              </w:rPr>
            </w:pPr>
          </w:p>
        </w:tc>
      </w:tr>
      <w:tr w:rsidR="00D842DC" w:rsidTr="00D842DC">
        <w:trPr>
          <w:gridAfter w:val="1"/>
          <w:wAfter w:w="34" w:type="dxa"/>
          <w:trHeight w:val="1200"/>
        </w:trPr>
        <w:tc>
          <w:tcPr>
            <w:tcW w:w="369" w:type="dxa"/>
            <w:vMerge w:val="restart"/>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效果</w:t>
            </w:r>
          </w:p>
        </w:tc>
        <w:tc>
          <w:tcPr>
            <w:tcW w:w="411" w:type="dxa"/>
            <w:vMerge w:val="restart"/>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359" w:type="dxa"/>
            <w:vMerge w:val="restart"/>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428" w:type="dxa"/>
            <w:gridSpan w:val="2"/>
            <w:vMerge w:val="restart"/>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706" w:type="dxa"/>
            <w:gridSpan w:val="2"/>
            <w:tcBorders>
              <w:top w:val="single" w:sz="4" w:space="0" w:color="auto"/>
              <w:left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本级行政区域内农产品消费安全</w:t>
            </w:r>
          </w:p>
        </w:tc>
        <w:tc>
          <w:tcPr>
            <w:tcW w:w="424"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ind w:firstLineChars="100" w:firstLine="18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sz w:val="18"/>
                <w:szCs w:val="18"/>
              </w:rPr>
              <w:t>非常好/较好/一般/较差/</w:t>
            </w:r>
          </w:p>
        </w:tc>
        <w:tc>
          <w:tcPr>
            <w:tcW w:w="2855"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sz w:val="18"/>
                <w:szCs w:val="18"/>
              </w:rPr>
              <w:t>非常好记5分，较好记4分，一般记2分，较差不记分</w:t>
            </w:r>
          </w:p>
        </w:tc>
        <w:tc>
          <w:tcPr>
            <w:tcW w:w="448"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83" w:type="dxa"/>
            <w:gridSpan w:val="2"/>
            <w:tcBorders>
              <w:top w:val="single" w:sz="4" w:space="0" w:color="auto"/>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gridAfter w:val="1"/>
          <w:wAfter w:w="34" w:type="dxa"/>
          <w:trHeight w:val="714"/>
        </w:trPr>
        <w:tc>
          <w:tcPr>
            <w:tcW w:w="369" w:type="dxa"/>
            <w:vMerge/>
            <w:tcBorders>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11"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59"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28" w:type="dxa"/>
            <w:gridSpan w:val="2"/>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项目实施对社会发展所带来的直接或间接影响情况。</w:t>
            </w:r>
          </w:p>
        </w:tc>
        <w:tc>
          <w:tcPr>
            <w:tcW w:w="285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社会效益突出的，记5分，社会效益较好的，记4分，社会效益一般的，不记分。</w:t>
            </w:r>
          </w:p>
        </w:tc>
        <w:tc>
          <w:tcPr>
            <w:tcW w:w="44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gridAfter w:val="1"/>
          <w:wAfter w:w="34" w:type="dxa"/>
          <w:trHeight w:val="714"/>
        </w:trPr>
        <w:tc>
          <w:tcPr>
            <w:tcW w:w="369" w:type="dxa"/>
            <w:vMerge/>
            <w:tcBorders>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11"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59"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28" w:type="dxa"/>
            <w:gridSpan w:val="2"/>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项目实施对生态环境所带来的直接或间接影响情况。</w:t>
            </w:r>
          </w:p>
        </w:tc>
        <w:tc>
          <w:tcPr>
            <w:tcW w:w="285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生态效益明显，记5分，生态效益较好的，记4分，生态效益一般的，不记分。</w:t>
            </w:r>
          </w:p>
        </w:tc>
        <w:tc>
          <w:tcPr>
            <w:tcW w:w="44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gridAfter w:val="1"/>
          <w:wAfter w:w="34" w:type="dxa"/>
          <w:trHeight w:val="873"/>
        </w:trPr>
        <w:tc>
          <w:tcPr>
            <w:tcW w:w="369" w:type="dxa"/>
            <w:vMerge/>
            <w:tcBorders>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11"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59"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28" w:type="dxa"/>
            <w:gridSpan w:val="2"/>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可持续影响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项目产出能持续运用；项目运行所依赖的政策制度能持续执行</w:t>
            </w:r>
          </w:p>
        </w:tc>
        <w:tc>
          <w:tcPr>
            <w:tcW w:w="285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达到绩效目标得6分，没达到目标每减少一个百分点扣0.2分。</w:t>
            </w:r>
          </w:p>
        </w:tc>
        <w:tc>
          <w:tcPr>
            <w:tcW w:w="44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gridAfter w:val="1"/>
          <w:wAfter w:w="34" w:type="dxa"/>
          <w:trHeight w:val="926"/>
        </w:trPr>
        <w:tc>
          <w:tcPr>
            <w:tcW w:w="369" w:type="dxa"/>
            <w:vMerge/>
            <w:tcBorders>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11"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359" w:type="dxa"/>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428" w:type="dxa"/>
            <w:gridSpan w:val="2"/>
            <w:vMerge/>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jc w:val="center"/>
              <w:rPr>
                <w:rFonts w:ascii="宋体" w:hAnsi="宋体" w:cs="宋体"/>
                <w:color w:val="000000"/>
                <w:sz w:val="18"/>
                <w:szCs w:val="18"/>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采用问卷调查方式，根据调查情况分析得出。</w:t>
            </w:r>
          </w:p>
        </w:tc>
        <w:tc>
          <w:tcPr>
            <w:tcW w:w="285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满意度90%以上得满分，满意度80%-90%计4分，满意度70%-80%计3分，满意度70%以下的不计分。</w:t>
            </w:r>
          </w:p>
        </w:tc>
        <w:tc>
          <w:tcPr>
            <w:tcW w:w="44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18"/>
                <w:szCs w:val="18"/>
              </w:rPr>
            </w:pPr>
          </w:p>
        </w:tc>
      </w:tr>
      <w:tr w:rsidR="00D842DC" w:rsidTr="00D842DC">
        <w:trPr>
          <w:gridAfter w:val="1"/>
          <w:wAfter w:w="34" w:type="dxa"/>
          <w:trHeight w:val="450"/>
        </w:trPr>
        <w:tc>
          <w:tcPr>
            <w:tcW w:w="369" w:type="dxa"/>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24"/>
              </w:rPr>
            </w:pPr>
            <w:r>
              <w:rPr>
                <w:rFonts w:ascii="宋体" w:hAnsi="宋体" w:cs="宋体" w:hint="eastAsia"/>
                <w:color w:val="000000"/>
                <w:kern w:val="0"/>
                <w:sz w:val="24"/>
              </w:rPr>
              <w:t>总分</w:t>
            </w:r>
          </w:p>
        </w:tc>
        <w:tc>
          <w:tcPr>
            <w:tcW w:w="411" w:type="dxa"/>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359" w:type="dxa"/>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24"/>
              </w:rPr>
            </w:pPr>
          </w:p>
        </w:tc>
        <w:tc>
          <w:tcPr>
            <w:tcW w:w="42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24"/>
              </w:rPr>
            </w:pP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24"/>
              </w:rPr>
            </w:pPr>
          </w:p>
        </w:tc>
        <w:tc>
          <w:tcPr>
            <w:tcW w:w="2855"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24"/>
              </w:rPr>
            </w:pPr>
          </w:p>
        </w:tc>
        <w:tc>
          <w:tcPr>
            <w:tcW w:w="448"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widowControl/>
              <w:jc w:val="center"/>
              <w:textAlignment w:val="center"/>
              <w:rPr>
                <w:rFonts w:ascii="宋体" w:hAnsi="宋体" w:cs="宋体"/>
                <w:color w:val="000000"/>
                <w:sz w:val="24"/>
              </w:rPr>
            </w:pPr>
            <w:r>
              <w:rPr>
                <w:rFonts w:ascii="宋体" w:hAnsi="宋体" w:cs="宋体" w:hint="eastAsia"/>
                <w:color w:val="000000"/>
                <w:kern w:val="0"/>
                <w:sz w:val="24"/>
              </w:rPr>
              <w:t>9</w:t>
            </w:r>
            <w:r>
              <w:rPr>
                <w:rFonts w:ascii="宋体" w:hAnsi="宋体" w:cs="宋体"/>
                <w:color w:val="000000"/>
                <w:kern w:val="0"/>
                <w:sz w:val="24"/>
              </w:rPr>
              <w:t>5</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D842DC" w:rsidRDefault="00D842DC" w:rsidP="00D842DC">
            <w:pPr>
              <w:rPr>
                <w:rFonts w:ascii="宋体" w:hAnsi="宋体" w:cs="宋体"/>
                <w:color w:val="000000"/>
                <w:sz w:val="24"/>
              </w:rPr>
            </w:pPr>
          </w:p>
        </w:tc>
      </w:tr>
    </w:tbl>
    <w:p w:rsidR="00A23B6B" w:rsidRPr="003400E5" w:rsidRDefault="00A23B6B" w:rsidP="00D842DC">
      <w:pPr>
        <w:rPr>
          <w:rFonts w:ascii="仿宋" w:eastAsia="仿宋" w:hAnsi="仿宋"/>
          <w:sz w:val="32"/>
          <w:szCs w:val="32"/>
        </w:rPr>
      </w:pPr>
    </w:p>
    <w:sectPr w:rsidR="00A23B6B" w:rsidRPr="003400E5" w:rsidSect="00325BF4">
      <w:footerReference w:type="default" r:id="rId1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94" w:rsidRDefault="00FA5094">
      <w:r>
        <w:separator/>
      </w:r>
    </w:p>
  </w:endnote>
  <w:endnote w:type="continuationSeparator" w:id="0">
    <w:p w:rsidR="00FA5094" w:rsidRDefault="00FA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F4" w:rsidRDefault="00325BF4">
    <w:pPr>
      <w:pStyle w:val="a3"/>
      <w:jc w:val="center"/>
    </w:pPr>
  </w:p>
  <w:p w:rsidR="00325BF4" w:rsidRDefault="00325BF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332865"/>
      <w:docPartObj>
        <w:docPartGallery w:val="Page Numbers (Bottom of Page)"/>
        <w:docPartUnique/>
      </w:docPartObj>
    </w:sdtPr>
    <w:sdtEndPr/>
    <w:sdtContent>
      <w:p w:rsidR="00325BF4" w:rsidRDefault="00325BF4">
        <w:pPr>
          <w:pStyle w:val="a3"/>
          <w:jc w:val="center"/>
        </w:pPr>
        <w:r>
          <w:fldChar w:fldCharType="begin"/>
        </w:r>
        <w:r>
          <w:instrText>PAGE   \* MERGEFORMAT</w:instrText>
        </w:r>
        <w:r>
          <w:fldChar w:fldCharType="separate"/>
        </w:r>
        <w:r w:rsidR="00E81901" w:rsidRPr="00E81901">
          <w:rPr>
            <w:noProof/>
            <w:lang w:val="zh-CN"/>
          </w:rPr>
          <w:t>5</w:t>
        </w:r>
        <w:r>
          <w:fldChar w:fldCharType="end"/>
        </w:r>
      </w:p>
    </w:sdtContent>
  </w:sdt>
  <w:p w:rsidR="00325BF4" w:rsidRDefault="00325BF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94" w:rsidRDefault="00FA5094">
      <w:r>
        <w:separator/>
      </w:r>
    </w:p>
  </w:footnote>
  <w:footnote w:type="continuationSeparator" w:id="0">
    <w:p w:rsidR="00FA5094" w:rsidRDefault="00FA5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611C00"/>
    <w:multiLevelType w:val="singleLevel"/>
    <w:tmpl w:val="B2611C00"/>
    <w:lvl w:ilvl="0">
      <w:start w:val="2"/>
      <w:numFmt w:val="decimal"/>
      <w:suff w:val="nothing"/>
      <w:lvlText w:val="%1、"/>
      <w:lvlJc w:val="left"/>
    </w:lvl>
  </w:abstractNum>
  <w:abstractNum w:abstractNumId="1" w15:restartNumberingAfterBreak="0">
    <w:nsid w:val="B86F5D1F"/>
    <w:multiLevelType w:val="singleLevel"/>
    <w:tmpl w:val="B86F5D1F"/>
    <w:lvl w:ilvl="0">
      <w:start w:val="2"/>
      <w:numFmt w:val="chineseCounting"/>
      <w:suff w:val="nothing"/>
      <w:lvlText w:val="（%1）"/>
      <w:lvlJc w:val="left"/>
      <w:rPr>
        <w:rFonts w:hint="eastAsia"/>
      </w:rPr>
    </w:lvl>
  </w:abstractNum>
  <w:abstractNum w:abstractNumId="2" w15:restartNumberingAfterBreak="0">
    <w:nsid w:val="D300F809"/>
    <w:multiLevelType w:val="singleLevel"/>
    <w:tmpl w:val="D300F80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E5E6A"/>
    <w:rsid w:val="000A160B"/>
    <w:rsid w:val="001203BC"/>
    <w:rsid w:val="001A263B"/>
    <w:rsid w:val="00215280"/>
    <w:rsid w:val="002A5D3B"/>
    <w:rsid w:val="00325BF4"/>
    <w:rsid w:val="003400E5"/>
    <w:rsid w:val="006A5631"/>
    <w:rsid w:val="008920F3"/>
    <w:rsid w:val="008E4FF9"/>
    <w:rsid w:val="00903588"/>
    <w:rsid w:val="00A23B6B"/>
    <w:rsid w:val="00A4345B"/>
    <w:rsid w:val="00BA2A9C"/>
    <w:rsid w:val="00C53418"/>
    <w:rsid w:val="00C75BC7"/>
    <w:rsid w:val="00D842DC"/>
    <w:rsid w:val="00DE4F07"/>
    <w:rsid w:val="00E4062F"/>
    <w:rsid w:val="00E61AD3"/>
    <w:rsid w:val="00E65E5E"/>
    <w:rsid w:val="00E81901"/>
    <w:rsid w:val="00FA5094"/>
    <w:rsid w:val="14FE5E6A"/>
    <w:rsid w:val="21A4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7A301E-9B95-48D6-AF73-54724A5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rsid w:val="003400E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400E5"/>
    <w:rPr>
      <w:kern w:val="2"/>
      <w:sz w:val="18"/>
      <w:szCs w:val="18"/>
    </w:rPr>
  </w:style>
  <w:style w:type="character" w:customStyle="1" w:styleId="a4">
    <w:name w:val="页脚 字符"/>
    <w:basedOn w:val="a0"/>
    <w:link w:val="a3"/>
    <w:uiPriority w:val="99"/>
    <w:rsid w:val="00325BF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dc:creator>
  <cp:lastModifiedBy>微软用户</cp:lastModifiedBy>
  <cp:revision>17</cp:revision>
  <dcterms:created xsi:type="dcterms:W3CDTF">2020-05-21T08:44:00Z</dcterms:created>
  <dcterms:modified xsi:type="dcterms:W3CDTF">2021-07-14T01:46:00Z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