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90" w:type="dxa"/>
        <w:tblInd w:w="0" w:type="dxa"/>
        <w:tblLayout w:type="fixed"/>
        <w:tblCellMar>
          <w:top w:w="15" w:type="dxa"/>
          <w:left w:w="15" w:type="dxa"/>
          <w:bottom w:w="15" w:type="dxa"/>
          <w:right w:w="15" w:type="dxa"/>
        </w:tblCellMar>
      </w:tblPr>
      <w:tblGrid>
        <w:gridCol w:w="322"/>
        <w:gridCol w:w="403"/>
        <w:gridCol w:w="317"/>
        <w:gridCol w:w="398"/>
        <w:gridCol w:w="514"/>
        <w:gridCol w:w="399"/>
        <w:gridCol w:w="2877"/>
        <w:gridCol w:w="4403"/>
        <w:gridCol w:w="317"/>
        <w:gridCol w:w="340"/>
      </w:tblGrid>
      <w:tr>
        <w:tblPrEx>
          <w:tblCellMar>
            <w:top w:w="15" w:type="dxa"/>
            <w:left w:w="15" w:type="dxa"/>
            <w:bottom w:w="15" w:type="dxa"/>
            <w:right w:w="15" w:type="dxa"/>
          </w:tblCellMar>
        </w:tblPrEx>
        <w:trPr>
          <w:trHeight w:val="585" w:hRule="atLeast"/>
        </w:trPr>
        <w:tc>
          <w:tcPr>
            <w:tcW w:w="10290" w:type="dxa"/>
            <w:gridSpan w:val="10"/>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芷江侗族自治县交通建设项目资金绩效评价指标</w:t>
            </w:r>
          </w:p>
        </w:tc>
      </w:tr>
      <w:tr>
        <w:tblPrEx>
          <w:tblCellMar>
            <w:top w:w="15" w:type="dxa"/>
            <w:left w:w="15" w:type="dxa"/>
            <w:bottom w:w="15" w:type="dxa"/>
            <w:right w:w="15" w:type="dxa"/>
          </w:tblCellMar>
        </w:tblPrEx>
        <w:trPr>
          <w:trHeight w:val="435" w:hRule="atLeast"/>
        </w:trPr>
        <w:tc>
          <w:tcPr>
            <w:tcW w:w="10290" w:type="dxa"/>
            <w:gridSpan w:val="10"/>
            <w:tcBorders>
              <w:bottom w:val="single" w:color="000000" w:sz="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填报单位：芷江交通运输局</w:t>
            </w:r>
          </w:p>
        </w:tc>
      </w:tr>
      <w:tr>
        <w:tblPrEx>
          <w:tblCellMar>
            <w:top w:w="15" w:type="dxa"/>
            <w:left w:w="15" w:type="dxa"/>
            <w:bottom w:w="15" w:type="dxa"/>
            <w:right w:w="15" w:type="dxa"/>
          </w:tblCellMar>
        </w:tblPrEx>
        <w:trPr>
          <w:trHeight w:val="915" w:hRule="atLeast"/>
        </w:trPr>
        <w:tc>
          <w:tcPr>
            <w:tcW w:w="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一级指标</w:t>
            </w:r>
          </w:p>
        </w:tc>
        <w:tc>
          <w:tcPr>
            <w:tcW w:w="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分值</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二级指标</w:t>
            </w:r>
          </w:p>
        </w:tc>
        <w:tc>
          <w:tcPr>
            <w:tcW w:w="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分值</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三级指标</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分值</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指标解释</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评价标准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评分</w:t>
            </w:r>
          </w:p>
        </w:tc>
        <w:tc>
          <w:tcPr>
            <w:tcW w:w="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tblPrEx>
          <w:tblCellMar>
            <w:top w:w="15" w:type="dxa"/>
            <w:left w:w="15" w:type="dxa"/>
            <w:bottom w:w="15" w:type="dxa"/>
            <w:right w:w="15" w:type="dxa"/>
          </w:tblCellMar>
        </w:tblPrEx>
        <w:trPr>
          <w:trHeight w:val="1110" w:hRule="atLeast"/>
        </w:trPr>
        <w:tc>
          <w:tcPr>
            <w:tcW w:w="3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投入</w:t>
            </w:r>
          </w:p>
        </w:tc>
        <w:tc>
          <w:tcPr>
            <w:tcW w:w="40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3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项目立项</w:t>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"C:\\Users\\ADMINI~1\\AppData\\Local\\Temp\\ksohtml\\clip_image5121.png"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7"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"C:\\Users\\ADMINI~1\\AppData\\Local\\Temp\\ksohtml\\clip_image5122.png"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5"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"C:\\Users\\ADMINI~1\\AppData\\Local\\Temp\\ksohtml\\clip_image5123.png"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6"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"C:\\Users\\ADMINI~1\\AppData\\Local\\Temp\\ksohtml\\clip_image5124.png"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4"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"C:\\Users\\ADMINI~1\\AppData\\Local\\Temp\\ksohtml\\clip_image5125.png"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1"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"C:\\Users\\ADMINI~1\\AppData\\Local\\Temp\\ksohtml\\clip_image5126.png"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2"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"C:\\Users\\ADMINI~1\\AppData\\Local\\Temp\\ksohtml\\clip_image5127.png"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8"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INCLUDEPICTURE \d "C:\\Users\\ADMINI~1\\AppData\\Local\\Temp\\ksohtml\\clip_image5128.png" \* MERGEFORMATINET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rPr>
              <w:drawing>
                <wp:inline distT="0" distB="0" distL="114300" distR="114300">
                  <wp:extent cx="9525" cy="9525"/>
                  <wp:effectExtent l="0" t="0" r="0"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000000"/>
                <w:kern w:val="0"/>
                <w:sz w:val="18"/>
                <w:szCs w:val="18"/>
                <w:lang w:bidi="ar"/>
              </w:rPr>
              <w:fldChar w:fldCharType="end"/>
            </w:r>
          </w:p>
        </w:tc>
        <w:tc>
          <w:tcPr>
            <w:tcW w:w="3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项目立项规范性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项目的申请、设立过程是否符合相关要求，用以反映和考核项目立项的规范情况。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①项目按照规定的程序设立1分，否则不记分；                                   ②所提交的文件、材料是否符合相关要求记1分，否则不记分；③事前经过必要的可行性研究、专家论证、风险评估、集体决策等记1分，否则不记分。                                                                        </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03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绩效目标合理性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项目所设定的绩效目标是否依据充分，是否符合客观实际，用以反映和考核项目绩效目标与项目实施的相符情况。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①符合国家相关法律法规、国民经济发展规划和党委政府决策记1分，否则不记分； ②与项目实施单位或委托单位职责密切相关记1分，否则不记分；③项目能促进事业发展所需要记1分，否则不记分；④项目预期产出效益和效果符合正常的业绩水平记1分，否则不记分。                                                       </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09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绩效指标明确性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依据绩效目标设定的绩效指标是否清晰、细化、可衡量等，用以反映和考核项目绩效目标的明细化情况。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①将项目绩效目标细化分解为具体的绩效指标记1分，否则不记分；②目标能通过清晰、可衡量的指标值予以体现记1分，否则不记分；③与项目年度任务数或计划数相对应记0.5分，否则不记分；④与预算确定的项目投资额或资金量相匹配记0.5分，否则不记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588"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资金落实</w:t>
            </w:r>
          </w:p>
        </w:tc>
        <w:tc>
          <w:tcPr>
            <w:tcW w:w="3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资金到位率</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资金到位率＝（实际到位资金/计划投入资金）×100%</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资金足额到位记5分，未足额到位按比例计分。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8"/>
                <w:lang w:bidi="ar"/>
              </w:rPr>
              <w:t>4</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到位及时率</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到位及时率＝（及时到位资金/应到位资金）×100%</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资金按时到位记5分，未按时按比例计分。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45" w:hRule="atLeast"/>
        </w:trPr>
        <w:tc>
          <w:tcPr>
            <w:tcW w:w="3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过程</w:t>
            </w:r>
          </w:p>
        </w:tc>
        <w:tc>
          <w:tcPr>
            <w:tcW w:w="40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3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业务管理</w:t>
            </w:r>
          </w:p>
        </w:tc>
        <w:tc>
          <w:tcPr>
            <w:tcW w:w="3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项目实施单位的业务管理制度是否健全，用以反映和考核业务管理制度对项目顺利实施的保障情况。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①已制定或具有相应的业务管理制度记2.5分， 不制定不记分；②业务管理制度合法、合规、完整记2.5分；不合法、不合规、不完整不记分。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031"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制度执行有效性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项目实施是否符合相关业务管理规定，用以反映和考核业务管理制度的有效执行情况。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遵守相关法律法规和业务管理规定记5分，否则不记分。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880"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项目质量可控性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项目实施至位是否为达到项目质量要求而采取了必需的措施，用以反映和考核项目实施单位对项目质量的控制情况。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①制定或有相应的项目质量要求或标准记2.5分，否则不记分；②采取了相应的项目质量检查、验收等必需的控制措施或手段记2.5分，否则不记分。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03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财务管理</w:t>
            </w:r>
          </w:p>
        </w:tc>
        <w:tc>
          <w:tcPr>
            <w:tcW w:w="3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管理制度健全性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项目实施单位的财务制度是否健全，用以反映和考核财务管理制度对资金规范、安全运行的保障情况。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①已制定或具有相应的项目资金管理办法记2.5分，否则不记分；②项目资金管理办法符合相关财务会计制定记2.5分，否则不记分。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69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资金使用合规性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项目资金使用是否符合相关的财务管理制度规定，用以反映和考核项目资金的规范运行情况。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bottom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050"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20"/>
                <w:szCs w:val="20"/>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财务监控有效性</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项目单位是否为保障资金的安全、规范运行而采取了必要的监控措施，用以反映和考核项目单位对资金运行的控制情况。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①已制定或具有相应的监控机制记2.5分，否则不记分；                                       ②采取了相应的财务检查等必要的监控措施或手段记2.5分，否则不记分。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w:t>
            </w:r>
          </w:p>
        </w:tc>
        <w:tc>
          <w:tcPr>
            <w:tcW w:w="40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31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项目产出</w:t>
            </w:r>
          </w:p>
        </w:tc>
        <w:tc>
          <w:tcPr>
            <w:tcW w:w="3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highlight w:val="none"/>
                <w:shd w:val="clear" w:color="auto" w:fill="auto"/>
              </w:rPr>
            </w:pPr>
            <w:r>
              <w:rPr>
                <w:rFonts w:hint="eastAsia" w:ascii="宋体" w:hAnsi="宋体" w:cs="宋体"/>
                <w:color w:val="000000"/>
                <w:kern w:val="0"/>
                <w:sz w:val="18"/>
                <w:szCs w:val="18"/>
                <w:highlight w:val="none"/>
                <w:shd w:val="clear" w:color="auto" w:fill="auto"/>
                <w:lang w:bidi="ar"/>
              </w:rPr>
              <w:t>项目实现的功能</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shd w:val="clear" w:color="auto" w:fill="auto"/>
              </w:rPr>
            </w:pPr>
            <w:r>
              <w:rPr>
                <w:rFonts w:hint="eastAsia" w:ascii="宋体" w:hAnsi="宋体" w:cs="宋体"/>
                <w:color w:val="000000"/>
                <w:kern w:val="0"/>
                <w:sz w:val="18"/>
                <w:szCs w:val="18"/>
                <w:highlight w:val="none"/>
                <w:shd w:val="clear" w:color="auto" w:fill="auto"/>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highlight w:val="none"/>
                <w:shd w:val="clear" w:color="auto" w:fill="auto"/>
              </w:rPr>
            </w:pPr>
            <w:r>
              <w:rPr>
                <w:rFonts w:hint="eastAsia" w:ascii="宋体" w:hAnsi="宋体" w:cs="宋体"/>
                <w:color w:val="000000"/>
                <w:kern w:val="0"/>
                <w:sz w:val="18"/>
                <w:szCs w:val="18"/>
                <w:highlight w:val="none"/>
                <w:shd w:val="clear" w:color="auto" w:fill="auto"/>
                <w:lang w:bidi="ar"/>
              </w:rPr>
              <w:t>项目满足路网改造、农村公路提质改造方面的情况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highlight w:val="none"/>
                <w:shd w:val="clear" w:color="auto" w:fill="auto"/>
              </w:rPr>
            </w:pPr>
            <w:r>
              <w:rPr>
                <w:rFonts w:hint="eastAsia" w:ascii="宋体" w:hAnsi="宋体" w:cs="宋体"/>
                <w:color w:val="000000"/>
                <w:kern w:val="0"/>
                <w:sz w:val="18"/>
                <w:szCs w:val="18"/>
                <w:highlight w:val="none"/>
                <w:shd w:val="clear" w:color="auto" w:fill="auto"/>
                <w:lang w:bidi="ar"/>
              </w:rPr>
              <w:t>满足路网改造或农村公路提质改造的5分。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shd w:val="clear" w:color="auto" w:fill="auto"/>
              </w:rPr>
            </w:pPr>
            <w:r>
              <w:rPr>
                <w:rFonts w:hint="eastAsia" w:ascii="宋体" w:hAnsi="宋体" w:cs="宋体"/>
                <w:color w:val="000000"/>
                <w:kern w:val="0"/>
                <w:sz w:val="18"/>
                <w:szCs w:val="18"/>
                <w:highlight w:val="none"/>
                <w:shd w:val="clear" w:color="auto" w:fill="auto"/>
                <w:lang w:bidi="ar"/>
              </w:rPr>
              <w:t>4</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highlight w:val="yellow"/>
              </w:rPr>
            </w:pPr>
          </w:p>
        </w:tc>
      </w:tr>
      <w:tr>
        <w:tblPrEx>
          <w:tblCellMar>
            <w:top w:w="15" w:type="dxa"/>
            <w:left w:w="15" w:type="dxa"/>
            <w:bottom w:w="15" w:type="dxa"/>
            <w:right w:w="15" w:type="dxa"/>
          </w:tblCellMar>
        </w:tblPrEx>
        <w:trPr>
          <w:trHeight w:val="1648"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公路线路里程完成比例</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计算公式：项目线路里程完成比例＝项目全部完工后的实际里程数/项目建设最终批复数×100％</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①按时足额完成的5分。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公路线路技术等级完成程度</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最终批复的项目技术等级与项目实际完成技术等级的比较</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最终批复的项目技术等级与项目实际完成技术等级一致的5分。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工程质量合格率</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反映工程质量1、路基：宽度、纵坡、平曲线半径、排水；2、路面：宽度、厚度、强度、平整度、路肩培护、错车道</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全部达标5分，不合格的每项扣0.2分。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780" w:hRule="atLeast"/>
        </w:trPr>
        <w:tc>
          <w:tcPr>
            <w:tcW w:w="322"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工程提前（延期）完成时间</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计算公式：工程提前(延期)完成时间＝工程计划完成时间-工程实际完成时间</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按时完成的5分；施工组织不力，每延期1个月扣0.5分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w:t>
            </w:r>
          </w:p>
        </w:tc>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3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项目效益</w:t>
            </w:r>
          </w:p>
        </w:tc>
        <w:tc>
          <w:tcPr>
            <w:tcW w:w="3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 </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项目实施对经济发展所带来的直接或间接影响情况。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好5分，一般4分，不好3分。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 </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项目实施对社会发展所带来的直接或间接影响情况。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好5分，一般4分，不好3分。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项目实施对生态环境所带来的直接或间接影响情况。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好5分，一般4分，不好3分。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15" w:hRule="atLeast"/>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项目后续运行及成效发挥的可持续影响情况。</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好5分，一般4分，不好3分。</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0" w:hRule="atLeast"/>
        </w:trPr>
        <w:tc>
          <w:tcPr>
            <w:tcW w:w="3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群众满意度</w:t>
            </w: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按实际调查结果报</w:t>
            </w:r>
          </w:p>
        </w:tc>
        <w:tc>
          <w:tcPr>
            <w:tcW w:w="4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满意度80%以上得满分，每下</w:t>
            </w:r>
            <w:bookmarkStart w:id="0" w:name="_GoBack"/>
            <w:bookmarkEnd w:id="0"/>
            <w:r>
              <w:rPr>
                <w:rFonts w:hint="eastAsia" w:ascii="宋体" w:hAnsi="宋体" w:cs="宋体"/>
                <w:color w:val="000000"/>
                <w:kern w:val="0"/>
                <w:sz w:val="18"/>
                <w:szCs w:val="18"/>
                <w:lang w:bidi="ar"/>
              </w:rPr>
              <w:t>降2个百分点扣0.5分，扣完为止。</w:t>
            </w: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510" w:hRule="atLeast"/>
        </w:trPr>
        <w:tc>
          <w:tcPr>
            <w:tcW w:w="3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总分</w:t>
            </w:r>
          </w:p>
        </w:tc>
        <w:tc>
          <w:tcPr>
            <w:tcW w:w="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100</w:t>
            </w:r>
          </w:p>
        </w:tc>
        <w:tc>
          <w:tcPr>
            <w:tcW w:w="3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100</w:t>
            </w:r>
          </w:p>
        </w:tc>
        <w:tc>
          <w:tcPr>
            <w:tcW w:w="5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100</w:t>
            </w:r>
          </w:p>
        </w:tc>
        <w:tc>
          <w:tcPr>
            <w:tcW w:w="28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44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95</w:t>
            </w:r>
          </w:p>
        </w:tc>
        <w:tc>
          <w:tcPr>
            <w:tcW w:w="3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bl>
    <w:p/>
    <w:sectPr>
      <w:pgSz w:w="11906" w:h="16838"/>
      <w:pgMar w:top="1701"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A3FF9"/>
    <w:rsid w:val="001A499B"/>
    <w:rsid w:val="00293904"/>
    <w:rsid w:val="14605109"/>
    <w:rsid w:val="2ADE3FB5"/>
    <w:rsid w:val="72FA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532</Words>
  <Characters>3035</Characters>
  <Lines>25</Lines>
  <Paragraphs>7</Paragraphs>
  <TotalTime>8</TotalTime>
  <ScaleCrop>false</ScaleCrop>
  <LinksUpToDate>false</LinksUpToDate>
  <CharactersWithSpaces>3560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2018-05-28T09:19:00Z</dcterms:created>
  <dc:creator>旭日东升</dc:creator>
  <cp:lastModifiedBy>在？买水果嘛</cp:lastModifiedBy>
  <dcterms:modified xsi:type="dcterms:W3CDTF">2020-06-24T03:22:08Z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