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overflowPunct/>
        <w:topLinePunct w:val="0"/>
        <w:autoSpaceDE/>
        <w:autoSpaceDN/>
        <w:bidi w:val="0"/>
        <w:spacing w:line="520" w:lineRule="exact"/>
        <w:jc w:val="center"/>
        <w:textAlignment w:val="auto"/>
        <w:rPr>
          <w:rFonts w:hint="eastAsia" w:ascii="黑体" w:hAnsi="黑体" w:eastAsia="黑体" w:cs="黑体"/>
          <w:b w:val="0"/>
          <w:bCs/>
          <w:sz w:val="44"/>
          <w:szCs w:val="44"/>
        </w:rPr>
      </w:pPr>
      <w:r>
        <w:rPr>
          <w:rFonts w:hint="eastAsia" w:ascii="黑体" w:hAnsi="黑体" w:eastAsia="黑体" w:cs="黑体"/>
          <w:b w:val="0"/>
          <w:bCs/>
          <w:sz w:val="44"/>
          <w:szCs w:val="44"/>
          <w:lang w:eastAsia="zh-CN"/>
        </w:rPr>
        <w:t>怀化市</w:t>
      </w:r>
      <w:r>
        <w:rPr>
          <w:rFonts w:hint="eastAsia" w:ascii="黑体" w:hAnsi="黑体" w:eastAsia="黑体" w:cs="黑体"/>
          <w:b w:val="0"/>
          <w:bCs/>
          <w:sz w:val="44"/>
          <w:szCs w:val="44"/>
        </w:rPr>
        <w:t>生态环境局</w:t>
      </w:r>
      <w:r>
        <w:rPr>
          <w:rFonts w:hint="eastAsia" w:ascii="黑体" w:hAnsi="黑体" w:eastAsia="黑体" w:cs="黑体"/>
          <w:b w:val="0"/>
          <w:bCs/>
          <w:sz w:val="44"/>
          <w:szCs w:val="44"/>
          <w:lang w:eastAsia="zh-CN"/>
        </w:rPr>
        <w:t>芷江分局</w:t>
      </w:r>
      <w:r>
        <w:rPr>
          <w:rFonts w:hint="eastAsia" w:ascii="黑体" w:hAnsi="黑体" w:eastAsia="黑体" w:cs="黑体"/>
          <w:b w:val="0"/>
          <w:bCs/>
          <w:sz w:val="44"/>
          <w:szCs w:val="44"/>
        </w:rPr>
        <w:t>202</w:t>
      </w:r>
      <w:r>
        <w:rPr>
          <w:rFonts w:hint="eastAsia" w:ascii="黑体" w:hAnsi="黑体" w:eastAsia="黑体" w:cs="黑体"/>
          <w:b w:val="0"/>
          <w:bCs/>
          <w:sz w:val="44"/>
          <w:szCs w:val="44"/>
          <w:lang w:val="en-US" w:eastAsia="zh-CN"/>
        </w:rPr>
        <w:t>1</w:t>
      </w:r>
      <w:r>
        <w:rPr>
          <w:rFonts w:hint="eastAsia" w:ascii="黑体" w:hAnsi="黑体" w:eastAsia="黑体" w:cs="黑体"/>
          <w:b w:val="0"/>
          <w:bCs/>
          <w:sz w:val="44"/>
          <w:szCs w:val="44"/>
        </w:rPr>
        <w:t>年部门整体</w:t>
      </w:r>
    </w:p>
    <w:p>
      <w:pPr>
        <w:keepNext/>
        <w:keepLines w:val="0"/>
        <w:pageBreakBefore w:val="0"/>
        <w:widowControl w:val="0"/>
        <w:kinsoku/>
        <w:wordWrap/>
        <w:overflowPunct/>
        <w:topLinePunct w:val="0"/>
        <w:autoSpaceDE/>
        <w:autoSpaceDN/>
        <w:bidi w:val="0"/>
        <w:spacing w:line="520" w:lineRule="exact"/>
        <w:jc w:val="center"/>
        <w:textAlignment w:val="auto"/>
        <w:rPr>
          <w:rFonts w:hint="eastAsia" w:ascii="黑体" w:hAnsi="黑体" w:eastAsia="黑体" w:cs="黑体"/>
          <w:b w:val="0"/>
          <w:bCs/>
          <w:sz w:val="44"/>
          <w:szCs w:val="44"/>
        </w:rPr>
      </w:pPr>
      <w:r>
        <w:rPr>
          <w:rFonts w:hint="eastAsia" w:ascii="黑体" w:hAnsi="黑体" w:eastAsia="黑体" w:cs="黑体"/>
          <w:b w:val="0"/>
          <w:bCs/>
          <w:sz w:val="44"/>
          <w:szCs w:val="44"/>
        </w:rPr>
        <w:t>支出绩效自评报告</w:t>
      </w:r>
    </w:p>
    <w:p>
      <w:pPr>
        <w:keepNext/>
        <w:keepLines w:val="0"/>
        <w:pageBreakBefore w:val="0"/>
        <w:widowControl w:val="0"/>
        <w:kinsoku/>
        <w:wordWrap/>
        <w:overflowPunct/>
        <w:topLinePunct w:val="0"/>
        <w:autoSpaceDE/>
        <w:autoSpaceDN/>
        <w:bidi w:val="0"/>
        <w:spacing w:line="520" w:lineRule="exact"/>
        <w:jc w:val="center"/>
        <w:textAlignment w:val="auto"/>
        <w:rPr>
          <w:rFonts w:hint="eastAsia" w:ascii="黑体" w:hAnsi="黑体" w:eastAsia="黑体" w:cs="黑体"/>
          <w:b w:val="0"/>
          <w:bCs/>
          <w:sz w:val="44"/>
          <w:szCs w:val="44"/>
        </w:rPr>
      </w:pPr>
    </w:p>
    <w:p>
      <w:pPr>
        <w:keepNex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2021年，我局</w:t>
      </w:r>
      <w:r>
        <w:rPr>
          <w:rFonts w:hint="eastAsia" w:ascii="仿宋_GB2312" w:hAnsi="仿宋_GB2312" w:eastAsia="仿宋_GB2312" w:cs="仿宋_GB2312"/>
          <w:sz w:val="32"/>
          <w:szCs w:val="32"/>
          <w:shd w:val="clear" w:color="auto" w:fill="FFFFFF"/>
        </w:rPr>
        <w:t>以习近平生态文明思想为指导，在县委、政府的正确领导和县人大、县政协的监督支持下，在怀化市生态环境局的具体要求指导下，扎实开展污染防治攻坚战、环保督察、国家生态文明示范县创建等工作，</w:t>
      </w:r>
      <w:r>
        <w:rPr>
          <w:rFonts w:hint="eastAsia" w:ascii="仿宋_GB2312" w:hAnsi="仿宋_GB2312" w:eastAsia="仿宋_GB2312" w:cs="仿宋_GB2312"/>
          <w:sz w:val="32"/>
          <w:szCs w:val="32"/>
        </w:rPr>
        <w:t>全体干部职工同心协力、履职尽责，有序推进了各项生态环境保护工作。</w:t>
      </w:r>
    </w:p>
    <w:p>
      <w:pPr>
        <w:keepNext/>
        <w:keepLines w:val="0"/>
        <w:pageBreakBefore w:val="0"/>
        <w:widowControl w:val="0"/>
        <w:kinsoku/>
        <w:wordWrap/>
        <w:overflowPunct/>
        <w:topLinePunct w:val="0"/>
        <w:autoSpaceDE/>
        <w:autoSpaceDN/>
        <w:bidi w:val="0"/>
        <w:spacing w:line="520" w:lineRule="exact"/>
        <w:ind w:firstLine="643" w:firstLineChars="200"/>
        <w:textAlignment w:val="auto"/>
        <w:rPr>
          <w:rFonts w:ascii="仿宋" w:hAnsi="仿宋" w:eastAsia="仿宋" w:cs="华文仿宋"/>
          <w:b/>
          <w:sz w:val="32"/>
          <w:szCs w:val="32"/>
        </w:rPr>
      </w:pPr>
      <w:r>
        <w:rPr>
          <w:rFonts w:hint="eastAsia" w:ascii="仿宋" w:hAnsi="仿宋" w:eastAsia="仿宋" w:cs="华文仿宋"/>
          <w:b/>
          <w:sz w:val="32"/>
          <w:szCs w:val="32"/>
        </w:rPr>
        <w:t>一、部门概况</w:t>
      </w:r>
    </w:p>
    <w:p>
      <w:pPr>
        <w:widowControl/>
        <w:spacing w:line="500" w:lineRule="auto"/>
        <w:ind w:firstLine="627" w:firstLineChars="196"/>
        <w:jc w:val="left"/>
        <w:rPr>
          <w:rFonts w:hint="eastAsia" w:ascii="仿宋_GB2312" w:eastAsia="仿宋_GB2312"/>
          <w:sz w:val="32"/>
          <w:szCs w:val="32"/>
        </w:rPr>
      </w:pPr>
      <w:r>
        <w:rPr>
          <w:rFonts w:hint="eastAsia" w:ascii="仿宋_GB2312" w:hAnsi="仿宋_GB2312" w:eastAsia="仿宋_GB2312" w:cs="仿宋_GB2312"/>
          <w:b w:val="0"/>
          <w:bCs/>
          <w:sz w:val="32"/>
          <w:szCs w:val="32"/>
          <w:lang w:eastAsia="zh-CN"/>
        </w:rPr>
        <w:t>（一）</w:t>
      </w:r>
      <w:r>
        <w:rPr>
          <w:rFonts w:hint="eastAsia" w:ascii="仿宋_GB2312" w:hAnsi="仿宋_GB2312" w:eastAsia="仿宋_GB2312" w:cs="仿宋_GB2312"/>
          <w:b w:val="0"/>
          <w:bCs/>
          <w:sz w:val="32"/>
          <w:szCs w:val="32"/>
        </w:rPr>
        <w:t>本单位基本职能</w:t>
      </w:r>
      <w:r>
        <w:rPr>
          <w:rFonts w:hint="eastAsia" w:ascii="仿宋_GB2312" w:hAnsi="仿宋_GB2312" w:eastAsia="仿宋_GB2312" w:cs="仿宋_GB2312"/>
          <w:sz w:val="32"/>
          <w:szCs w:val="32"/>
        </w:rPr>
        <w:t>：</w:t>
      </w:r>
      <w:r>
        <w:rPr>
          <w:rFonts w:hint="eastAsia" w:ascii="仿宋_GB2312" w:eastAsia="仿宋_GB2312"/>
          <w:sz w:val="32"/>
          <w:szCs w:val="32"/>
        </w:rPr>
        <w:t>1.贯彻执行国家生态环境基本制度。会同同级有关部门拟订生态环境保护规划、规范、制度,经批准后组织实施;会同同级有关部门编制并监督实施重点区域、流域、饮用水水源地生态环境规划和水功能区划。</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2.负责统筹协调和监督管理生态环境保护工作。组织协调环境污染事故和生态破坏事件的调查处理,指导协调突发生态环境事件的应急、预警工作,参与实施生态环境损害赔偿制度</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3.负责监督管理减排目标的落实。根据上级核定污染物总量控制目标,组织制定并监督实施本辖区污染物排放总量控制计划及相关措施,监督实施排污许可制度,监督检查污染物减排任务完成情况,实施生态环境保护目标责任制,组织协调应对气候变化和温室气体减排工作</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4.负责环境污染防治的监督管理。组织拟订本辖区大气水、土壤、噪声、光、恶臭、固体废物、废弃化学品、危险废物、机动车等的污染防治管理制度并监督实施;会同有关部门监督管理饮用水水源地生态环境保护工作;指导城乡生态环境综合整治工作,监督农业面源污染治理工作;监督指导区域大气环境保护工作,组织实施区域大气污染联防联控协作机制。</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5.指导协调和监督生态保护修复工作。监督管理对生态环境有影响的自然资源开发利用活动、重要生态环境建设和生态破坏恢复工作;指导协调和监督各类自然保护地的生态环境保护工作;监督野生动植物保护、湿地生态环境保护等工作;指导协调和监督农村生态环境保护,监督生物技术环境安全,参与生物多样性保护工作,参与生态保护补偿工作。</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6.负责核与辐射安全的监督管理,牵头核安全工作协调机制有关工作,参与核事故应急处理,负责辐射环境事故应急处理;监督管理核设施和放射源安全,监督管理核设施、核技术应用、电磁辐射、伴有放射性矿产资源开发利用活动中的污染防治;对核材料管制和民用核安全设备的设计,制造、安装及无损检验活动实施监督管理</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7.负责生态环境准入的监督管理.组织实施生态环境准入清单;按规定审批或审查开发建设区域,规划、项目环境影响评价文件。</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8.负责生态环境监测工作,组织实施生态环境执法监测、应急监测、环境质量监测、污染源监测。</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9.协调配合做好中央和省生态环境保护督察相关工作。指导、协调、督促生态环境保护督察反馈问题整改工作;对同级有关部门(单位)</w:t>
      </w:r>
      <w:r>
        <w:rPr>
          <w:rFonts w:hint="eastAsia" w:ascii="仿宋_GB2312"/>
          <w:sz w:val="32"/>
          <w:szCs w:val="32"/>
        </w:rPr>
        <w:t>貫</w:t>
      </w:r>
      <w:r>
        <w:rPr>
          <w:rFonts w:hint="eastAsia" w:ascii="仿宋_GB2312" w:eastAsia="仿宋_GB2312"/>
          <w:sz w:val="32"/>
          <w:szCs w:val="32"/>
        </w:rPr>
        <w:t>彻落实生态环境保护决策部署情况、对生态环境保护督察反馈问题整改情况、对“党政同责”“一岗双责”落实情况进行督查督办,对贯彻落实不到位、整改不力的提请问责。</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10.统一负责生态环境保护综合行政执法。组织开展生态环境保护执法检查活动,查处生态环境违法问题。</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11.组织指导和协调生态环境宣传教育工作,推动社会组织和公众参与生态环境保护;开展生态环境科技工作,组织生态环境重大科学研究和技术工程示范。</w:t>
      </w:r>
    </w:p>
    <w:p>
      <w:pPr>
        <w:widowControl/>
        <w:spacing w:line="500" w:lineRule="auto"/>
        <w:ind w:firstLine="627" w:firstLineChars="196"/>
        <w:jc w:val="left"/>
        <w:rPr>
          <w:rFonts w:hint="eastAsia" w:ascii="仿宋_GB2312" w:eastAsia="仿宋_GB2312"/>
          <w:sz w:val="32"/>
          <w:szCs w:val="32"/>
        </w:rPr>
      </w:pPr>
      <w:r>
        <w:rPr>
          <w:rFonts w:hint="eastAsia" w:ascii="仿宋_GB2312" w:eastAsia="仿宋_GB2312"/>
          <w:sz w:val="32"/>
          <w:szCs w:val="32"/>
        </w:rPr>
        <w:t>12.完成市生态环境局和县市区委、政府交办的其他工作。</w:t>
      </w:r>
    </w:p>
    <w:p>
      <w:pPr>
        <w:keepNext/>
        <w:keepLines w:val="0"/>
        <w:pageBreakBefore w:val="0"/>
        <w:widowControl w:val="0"/>
        <w:kinsoku/>
        <w:wordWrap/>
        <w:overflowPunct/>
        <w:topLinePunct w:val="0"/>
        <w:autoSpaceDE/>
        <w:autoSpaceDN/>
        <w:bidi w:val="0"/>
        <w:spacing w:line="520" w:lineRule="exact"/>
        <w:ind w:firstLine="645"/>
        <w:textAlignment w:val="auto"/>
        <w:rPr>
          <w:rFonts w:hint="eastAsia" w:ascii="仿宋_GB2312" w:hAnsi="仿宋_GB2312" w:eastAsia="仿宋_GB2312" w:cs="仿宋_GB2312"/>
          <w:sz w:val="32"/>
          <w:szCs w:val="32"/>
        </w:rPr>
      </w:pPr>
    </w:p>
    <w:p>
      <w:pPr>
        <w:spacing w:line="540" w:lineRule="exact"/>
        <w:ind w:firstLine="800" w:firstLineChars="250"/>
        <w:rPr>
          <w:rFonts w:ascii="仿宋" w:hAnsi="仿宋" w:eastAsia="仿宋"/>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eastAsia="zh-CN"/>
        </w:rPr>
        <w:t>（二）</w:t>
      </w:r>
      <w:r>
        <w:rPr>
          <w:rFonts w:hint="eastAsia" w:ascii="仿宋_GB2312" w:hAnsi="仿宋_GB2312" w:eastAsia="仿宋_GB2312" w:cs="仿宋_GB2312"/>
          <w:b w:val="0"/>
          <w:bCs w:val="0"/>
          <w:sz w:val="32"/>
          <w:szCs w:val="32"/>
        </w:rPr>
        <w:t>单位基本情</w:t>
      </w:r>
      <w:r>
        <w:rPr>
          <w:rFonts w:hint="eastAsia" w:ascii="仿宋_GB2312" w:hAnsi="仿宋_GB2312" w:eastAsia="仿宋_GB2312" w:cs="仿宋_GB2312"/>
          <w:sz w:val="32"/>
          <w:szCs w:val="32"/>
        </w:rPr>
        <w:t>况：</w:t>
      </w:r>
      <w:r>
        <w:rPr>
          <w:rFonts w:hint="eastAsia" w:ascii="仿宋" w:hAnsi="仿宋" w:eastAsia="仿宋"/>
          <w:sz w:val="32"/>
          <w:szCs w:val="32"/>
        </w:rPr>
        <w:t>怀化市生态环境局芷江分局作为怀化市生态环境局的二级部门预算单位，内设科室为</w:t>
      </w:r>
      <w:r>
        <w:rPr>
          <w:rFonts w:hint="eastAsia" w:ascii="仿宋" w:hAnsi="仿宋" w:eastAsia="仿宋"/>
          <w:sz w:val="32"/>
          <w:szCs w:val="32"/>
          <w:lang w:val="en-US" w:eastAsia="zh-CN"/>
        </w:rPr>
        <w:t>4个</w:t>
      </w:r>
      <w:r>
        <w:rPr>
          <w:rFonts w:hint="eastAsia" w:ascii="仿宋" w:hAnsi="仿宋" w:eastAsia="仿宋"/>
          <w:sz w:val="32"/>
          <w:szCs w:val="32"/>
        </w:rPr>
        <w:t>：办公室、</w:t>
      </w:r>
      <w:r>
        <w:rPr>
          <w:rFonts w:hint="eastAsia" w:ascii="仿宋" w:hAnsi="仿宋" w:eastAsia="仿宋"/>
          <w:sz w:val="32"/>
          <w:szCs w:val="32"/>
          <w:lang w:val="en-US" w:eastAsia="zh-CN"/>
        </w:rPr>
        <w:t>环保督察协调股</w:t>
      </w:r>
      <w:r>
        <w:rPr>
          <w:rFonts w:hint="eastAsia" w:ascii="仿宋" w:hAnsi="仿宋" w:eastAsia="仿宋"/>
          <w:sz w:val="32"/>
          <w:szCs w:val="32"/>
        </w:rPr>
        <w:t>、</w:t>
      </w:r>
      <w:r>
        <w:rPr>
          <w:rFonts w:hint="eastAsia" w:ascii="仿宋" w:hAnsi="仿宋" w:eastAsia="仿宋"/>
          <w:sz w:val="32"/>
          <w:szCs w:val="32"/>
          <w:lang w:eastAsia="zh-CN"/>
        </w:rPr>
        <w:t>行政审批股（法制宣传股）</w:t>
      </w:r>
      <w:r>
        <w:rPr>
          <w:rFonts w:hint="eastAsia" w:ascii="仿宋" w:hAnsi="仿宋" w:eastAsia="仿宋"/>
          <w:sz w:val="32"/>
          <w:szCs w:val="32"/>
        </w:rPr>
        <w:t>、</w:t>
      </w:r>
      <w:r>
        <w:rPr>
          <w:rFonts w:hint="eastAsia" w:ascii="仿宋" w:hAnsi="仿宋" w:eastAsia="仿宋"/>
          <w:sz w:val="32"/>
          <w:szCs w:val="32"/>
          <w:lang w:eastAsia="zh-CN"/>
        </w:rPr>
        <w:t>污染防治股</w:t>
      </w:r>
      <w:r>
        <w:rPr>
          <w:rFonts w:hint="eastAsia" w:ascii="仿宋" w:hAnsi="仿宋" w:eastAsia="仿宋"/>
          <w:sz w:val="32"/>
          <w:szCs w:val="32"/>
        </w:rPr>
        <w:t>。单位财政供养人员30人参照公务员管理14人，事业财政拨款16人，到龄退休15人，提前退休3人。</w:t>
      </w:r>
    </w:p>
    <w:p>
      <w:pPr>
        <w:keepNext/>
        <w:keepLines w:val="0"/>
        <w:pageBreakBefore w:val="0"/>
        <w:widowControl w:val="0"/>
        <w:kinsoku/>
        <w:wordWrap/>
        <w:overflowPunct/>
        <w:topLinePunct w:val="0"/>
        <w:autoSpaceDE/>
        <w:autoSpaceDN/>
        <w:bidi w:val="0"/>
        <w:spacing w:line="520" w:lineRule="exact"/>
        <w:ind w:firstLine="320" w:firstLineChars="100"/>
        <w:textAlignment w:val="auto"/>
        <w:rPr>
          <w:rFonts w:hint="eastAsia" w:ascii="仿宋_GB2312" w:hAnsi="仿宋_GB2312" w:eastAsia="仿宋_GB2312" w:cs="仿宋_GB2312"/>
          <w:sz w:val="32"/>
          <w:szCs w:val="32"/>
        </w:rPr>
      </w:pP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（三）</w:t>
      </w:r>
      <w:r>
        <w:rPr>
          <w:rFonts w:hint="eastAsia" w:ascii="仿宋_GB2312" w:hAnsi="仿宋_GB2312" w:eastAsia="仿宋_GB2312" w:cs="仿宋_GB2312"/>
          <w:b w:val="0"/>
          <w:bCs/>
          <w:sz w:val="32"/>
          <w:szCs w:val="32"/>
        </w:rPr>
        <w:t>本单</w:t>
      </w:r>
      <w:r>
        <w:rPr>
          <w:rFonts w:hint="eastAsia" w:ascii="仿宋_GB2312" w:hAnsi="仿宋_GB2312" w:eastAsia="仿宋_GB2312" w:cs="仿宋_GB2312"/>
          <w:sz w:val="32"/>
          <w:szCs w:val="32"/>
        </w:rPr>
        <w:t>位今年工作开展情况：</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w:t>
      </w:r>
      <w:r>
        <w:rPr>
          <w:rFonts w:hint="eastAsia" w:ascii="楷体_GB2312" w:hAnsi="楷体_GB2312" w:eastAsia="楷体_GB2312" w:cs="楷体_GB2312"/>
          <w:b/>
          <w:sz w:val="32"/>
          <w:szCs w:val="32"/>
        </w:rPr>
        <w:t>加强政治生态建设，落实重大工作任务</w:t>
      </w:r>
      <w:r>
        <w:rPr>
          <w:rFonts w:hint="eastAsia" w:ascii="楷体_GB2312" w:hAnsi="楷体_GB2312" w:eastAsia="楷体_GB2312" w:cs="楷体_GB2312"/>
          <w:b/>
          <w:sz w:val="32"/>
          <w:szCs w:val="32"/>
          <w:lang w:val="en-US" w:eastAsia="zh-CN"/>
        </w:rPr>
        <w:t>。</w:t>
      </w:r>
    </w:p>
    <w:p>
      <w:pPr>
        <w:keepNext/>
        <w:keepLines w:val="0"/>
        <w:pageBreakBefore w:val="0"/>
        <w:widowControl w:val="0"/>
        <w:kinsoku/>
        <w:wordWrap/>
        <w:overflowPunct/>
        <w:topLinePunct w:val="0"/>
        <w:autoSpaceDE/>
        <w:autoSpaceDN/>
        <w:bidi w:val="0"/>
        <w:spacing w:line="520" w:lineRule="exact"/>
        <w:ind w:firstLine="627" w:firstLineChars="196"/>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w:t>
      </w:r>
      <w:r>
        <w:rPr>
          <w:rFonts w:hint="eastAsia" w:ascii="楷体_GB2312" w:hAnsi="楷体_GB2312" w:eastAsia="楷体_GB2312" w:cs="楷体_GB2312"/>
          <w:b/>
          <w:color w:val="000000"/>
          <w:sz w:val="32"/>
          <w:szCs w:val="32"/>
          <w:lang w:bidi="ar"/>
        </w:rPr>
        <w:t>着力生态创建，</w:t>
      </w:r>
      <w:r>
        <w:rPr>
          <w:rFonts w:hint="eastAsia" w:ascii="楷体_GB2312" w:hAnsi="楷体_GB2312" w:eastAsia="楷体_GB2312" w:cs="楷体_GB2312"/>
          <w:b/>
          <w:sz w:val="32"/>
          <w:szCs w:val="32"/>
        </w:rPr>
        <w:t>打好污染防治攻坚战</w:t>
      </w:r>
      <w:r>
        <w:rPr>
          <w:rFonts w:hint="eastAsia" w:ascii="楷体_GB2312" w:hAnsi="楷体_GB2312" w:eastAsia="楷体_GB2312" w:cs="楷体_GB2312"/>
          <w:b/>
          <w:sz w:val="32"/>
          <w:szCs w:val="32"/>
          <w:lang w:eastAsia="zh-CN"/>
        </w:rPr>
        <w:t>。</w:t>
      </w:r>
    </w:p>
    <w:p>
      <w:pPr>
        <w:spacing w:line="560" w:lineRule="exact"/>
        <w:ind w:firstLine="640" w:firstLineChars="200"/>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w:t>
      </w:r>
      <w:r>
        <w:rPr>
          <w:rFonts w:hint="eastAsia" w:ascii="楷体_GB2312" w:hAnsi="楷体_GB2312" w:eastAsia="楷体_GB2312" w:cs="楷体_GB2312"/>
          <w:b/>
          <w:bCs/>
          <w:color w:val="000000"/>
          <w:sz w:val="32"/>
          <w:szCs w:val="32"/>
          <w:lang w:bidi="ar"/>
        </w:rPr>
        <w:t>落实督察任务，强化执法、妥处信访</w:t>
      </w:r>
      <w:r>
        <w:rPr>
          <w:rFonts w:hint="eastAsia" w:ascii="仿宋_GB2312" w:hAnsi="仿宋_GB2312" w:eastAsia="仿宋_GB2312" w:cs="仿宋_GB2312"/>
          <w:bCs/>
          <w:sz w:val="32"/>
          <w:szCs w:val="32"/>
          <w:lang w:eastAsia="zh-CN"/>
        </w:rPr>
        <w:t>。</w:t>
      </w:r>
    </w:p>
    <w:p>
      <w:pPr>
        <w:pStyle w:val="3"/>
        <w:keepNext/>
        <w:spacing w:after="0" w:line="560" w:lineRule="exact"/>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w:t>
      </w:r>
      <w:r>
        <w:rPr>
          <w:rFonts w:hint="eastAsia" w:ascii="楷体_GB2312" w:hAnsi="楷体_GB2312" w:eastAsia="楷体_GB2312" w:cs="楷体_GB2312"/>
          <w:b/>
          <w:bCs/>
          <w:color w:val="000000"/>
          <w:sz w:val="32"/>
          <w:szCs w:val="32"/>
          <w:lang w:bidi="ar"/>
        </w:rPr>
        <w:t>严格环评准入，持续开展污染减排</w:t>
      </w:r>
      <w:r>
        <w:rPr>
          <w:rFonts w:hint="eastAsia" w:ascii="仿宋_GB2312" w:hAnsi="仿宋_GB2312" w:eastAsia="仿宋_GB2312" w:cs="仿宋_GB2312"/>
          <w:bCs/>
          <w:sz w:val="32"/>
          <w:szCs w:val="32"/>
          <w:lang w:eastAsia="zh-CN"/>
        </w:rPr>
        <w:t>。</w:t>
      </w:r>
    </w:p>
    <w:p>
      <w:pPr>
        <w:keepNext/>
        <w:keepLines w:val="0"/>
        <w:pageBreakBefore w:val="0"/>
        <w:widowControl w:val="0"/>
        <w:kinsoku/>
        <w:wordWrap/>
        <w:overflowPunct/>
        <w:topLinePunct w:val="0"/>
        <w:autoSpaceDE/>
        <w:autoSpaceDN/>
        <w:bidi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（四）</w:t>
      </w:r>
      <w:r>
        <w:rPr>
          <w:rFonts w:hint="eastAsia" w:ascii="仿宋_GB2312" w:hAnsi="仿宋_GB2312" w:eastAsia="仿宋_GB2312" w:cs="仿宋_GB2312"/>
          <w:b w:val="0"/>
          <w:bCs/>
          <w:sz w:val="32"/>
          <w:szCs w:val="32"/>
        </w:rPr>
        <w:t>整体支出</w:t>
      </w:r>
      <w:r>
        <w:rPr>
          <w:rFonts w:hint="eastAsia" w:ascii="仿宋_GB2312" w:hAnsi="仿宋_GB2312" w:eastAsia="仿宋_GB2312" w:cs="仿宋_GB2312"/>
          <w:sz w:val="32"/>
          <w:szCs w:val="32"/>
        </w:rPr>
        <w:t>规模、使用方向、主要内容和涉及范围。</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为了大力推进源头防控、污染治理、环境监管和生态建设等重点工作，全面完成了环保“十三五”各项工作任务，</w:t>
      </w:r>
      <w:r>
        <w:rPr>
          <w:rFonts w:hint="eastAsia" w:ascii="仿宋_GB2312" w:hAnsi="仿宋_GB2312" w:eastAsia="仿宋_GB2312" w:cs="仿宋_GB2312"/>
          <w:sz w:val="32"/>
          <w:szCs w:val="32"/>
          <w:lang w:eastAsia="zh-CN"/>
        </w:rPr>
        <w:t>正在编制</w:t>
      </w:r>
      <w:r>
        <w:rPr>
          <w:rFonts w:hint="eastAsia" w:ascii="仿宋_GB2312" w:hAnsi="仿宋_GB2312" w:eastAsia="仿宋_GB2312" w:cs="仿宋_GB2312"/>
          <w:sz w:val="32"/>
          <w:szCs w:val="32"/>
        </w:rPr>
        <w:t>“十四五”计划，202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全县生态专项工作经费40万元、生态功能区工作经费纳入专项资金核算50万元、白水滩水自动站、木叶溪大气自动站、人社局楼顶大气自动站三个站运行经费40万元，第三方监测50万元，因此我局部门整体支出包括基本支出、项目支出、专项支出。</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highlight w:val="red"/>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年总支出</w:t>
      </w:r>
      <w:bookmarkStart w:id="0" w:name="_GoBack"/>
      <w:r>
        <w:rPr>
          <w:rFonts w:hint="eastAsia" w:ascii="仿宋_GB2312" w:hAnsi="仿宋_GB2312" w:eastAsia="仿宋_GB2312" w:cs="仿宋_GB2312"/>
          <w:sz w:val="32"/>
          <w:szCs w:val="32"/>
        </w:rPr>
        <w:t>1478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12</w:t>
      </w:r>
      <w:bookmarkEnd w:id="0"/>
      <w:r>
        <w:rPr>
          <w:rFonts w:hint="eastAsia" w:ascii="仿宋_GB2312" w:hAnsi="仿宋_GB2312" w:eastAsia="仿宋_GB2312" w:cs="仿宋_GB2312"/>
          <w:sz w:val="32"/>
          <w:szCs w:val="32"/>
        </w:rPr>
        <w:t>万元，上年1660.43万元，比上年</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185.31</w:t>
      </w:r>
      <w:r>
        <w:rPr>
          <w:rFonts w:hint="eastAsia" w:ascii="仿宋_GB2312" w:hAnsi="仿宋_GB2312" w:eastAsia="仿宋_GB2312" w:cs="仿宋_GB2312"/>
          <w:sz w:val="32"/>
          <w:szCs w:val="32"/>
        </w:rPr>
        <w:t>万元。其中：工资福利支出</w:t>
      </w:r>
      <w:r>
        <w:rPr>
          <w:rFonts w:hint="eastAsia" w:ascii="仿宋_GB2312" w:hAnsi="仿宋_GB2312" w:eastAsia="仿宋_GB2312" w:cs="仿宋_GB2312"/>
          <w:sz w:val="32"/>
          <w:szCs w:val="32"/>
          <w:lang w:val="en-US" w:eastAsia="zh-CN"/>
        </w:rPr>
        <w:t>399</w:t>
      </w:r>
      <w:r>
        <w:rPr>
          <w:rFonts w:hint="eastAsia" w:ascii="仿宋_GB2312" w:hAnsi="仿宋_GB2312" w:eastAsia="仿宋_GB2312" w:cs="仿宋_GB2312"/>
          <w:sz w:val="32"/>
          <w:szCs w:val="32"/>
        </w:rPr>
        <w:t>万元，上年387.11万元，比上年增加</w:t>
      </w:r>
      <w:r>
        <w:rPr>
          <w:rFonts w:hint="eastAsia" w:ascii="仿宋_GB2312" w:hAnsi="仿宋_GB2312" w:eastAsia="仿宋_GB2312" w:cs="仿宋_GB2312"/>
          <w:sz w:val="32"/>
          <w:szCs w:val="32"/>
          <w:lang w:val="en-US" w:eastAsia="zh-CN"/>
        </w:rPr>
        <w:t>11.89</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588.75</w:t>
      </w:r>
      <w:r>
        <w:rPr>
          <w:rFonts w:hint="eastAsia" w:ascii="仿宋_GB2312" w:hAnsi="仿宋_GB2312" w:eastAsia="仿宋_GB2312" w:cs="仿宋_GB2312"/>
          <w:sz w:val="32"/>
          <w:szCs w:val="32"/>
        </w:rPr>
        <w:t>万元，上年642.33万元，比上年</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53.58</w:t>
      </w:r>
      <w:r>
        <w:rPr>
          <w:rFonts w:hint="eastAsia" w:ascii="仿宋_GB2312" w:hAnsi="仿宋_GB2312" w:eastAsia="仿宋_GB2312" w:cs="仿宋_GB2312"/>
          <w:sz w:val="32"/>
          <w:szCs w:val="32"/>
        </w:rPr>
        <w:t>万元；对个人和家庭补助支出</w:t>
      </w:r>
      <w:r>
        <w:rPr>
          <w:rFonts w:hint="eastAsia" w:ascii="仿宋_GB2312" w:hAnsi="仿宋_GB2312" w:eastAsia="仿宋_GB2312" w:cs="仿宋_GB2312"/>
          <w:sz w:val="32"/>
          <w:szCs w:val="32"/>
          <w:lang w:val="en-US" w:eastAsia="zh-CN"/>
        </w:rPr>
        <w:t>84.92</w:t>
      </w:r>
      <w:r>
        <w:rPr>
          <w:rFonts w:hint="eastAsia" w:ascii="仿宋_GB2312" w:hAnsi="仿宋_GB2312" w:eastAsia="仿宋_GB2312" w:cs="仿宋_GB2312"/>
          <w:sz w:val="32"/>
          <w:szCs w:val="32"/>
        </w:rPr>
        <w:t>万元，上年94.68，比上年减少</w:t>
      </w:r>
      <w:r>
        <w:rPr>
          <w:rFonts w:hint="eastAsia" w:ascii="仿宋_GB2312" w:hAnsi="仿宋_GB2312" w:eastAsia="仿宋_GB2312" w:cs="仿宋_GB2312"/>
          <w:sz w:val="32"/>
          <w:szCs w:val="32"/>
          <w:lang w:val="en-US" w:eastAsia="zh-CN"/>
        </w:rPr>
        <w:t>9.76</w:t>
      </w:r>
      <w:r>
        <w:rPr>
          <w:rFonts w:hint="eastAsia" w:ascii="仿宋_GB2312" w:hAnsi="仿宋_GB2312" w:eastAsia="仿宋_GB2312" w:cs="仿宋_GB2312"/>
          <w:sz w:val="32"/>
          <w:szCs w:val="32"/>
        </w:rPr>
        <w:t>万元；基本建设支出</w:t>
      </w:r>
      <w:r>
        <w:rPr>
          <w:rFonts w:hint="eastAsia" w:ascii="仿宋_GB2312" w:hAnsi="仿宋_GB2312" w:eastAsia="仿宋_GB2312" w:cs="仿宋_GB2312"/>
          <w:sz w:val="32"/>
          <w:szCs w:val="32"/>
          <w:lang w:val="en-US" w:eastAsia="zh-CN"/>
        </w:rPr>
        <w:t>398.26</w:t>
      </w:r>
      <w:r>
        <w:rPr>
          <w:rFonts w:hint="eastAsia" w:ascii="仿宋_GB2312" w:hAnsi="仿宋_GB2312" w:eastAsia="仿宋_GB2312" w:cs="仿宋_GB2312"/>
          <w:sz w:val="32"/>
          <w:szCs w:val="32"/>
        </w:rPr>
        <w:t>万元，上年477.25万元，比上年</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78.99</w:t>
      </w:r>
      <w:r>
        <w:rPr>
          <w:rFonts w:hint="eastAsia" w:ascii="仿宋_GB2312" w:hAnsi="仿宋_GB2312" w:eastAsia="仿宋_GB2312" w:cs="仿宋_GB2312"/>
          <w:sz w:val="32"/>
          <w:szCs w:val="32"/>
        </w:rPr>
        <w:t>万元；其他资本性支出</w:t>
      </w:r>
      <w:r>
        <w:rPr>
          <w:rFonts w:hint="eastAsia" w:ascii="仿宋_GB2312" w:hAnsi="仿宋_GB2312" w:eastAsia="仿宋_GB2312" w:cs="仿宋_GB2312"/>
          <w:sz w:val="32"/>
          <w:szCs w:val="32"/>
          <w:lang w:val="en-US" w:eastAsia="zh-CN"/>
        </w:rPr>
        <w:t>7.19</w:t>
      </w:r>
      <w:r>
        <w:rPr>
          <w:rFonts w:hint="eastAsia" w:ascii="仿宋_GB2312" w:hAnsi="仿宋_GB2312" w:eastAsia="仿宋_GB2312" w:cs="仿宋_GB2312"/>
          <w:sz w:val="32"/>
          <w:szCs w:val="32"/>
        </w:rPr>
        <w:t>万元，上年59.06万元，比上年增加减少</w:t>
      </w:r>
      <w:r>
        <w:rPr>
          <w:rFonts w:hint="eastAsia" w:ascii="仿宋_GB2312" w:hAnsi="仿宋_GB2312" w:eastAsia="仿宋_GB2312" w:cs="仿宋_GB2312"/>
          <w:sz w:val="32"/>
          <w:szCs w:val="32"/>
          <w:lang w:val="en-US" w:eastAsia="zh-CN"/>
        </w:rPr>
        <w:t>51.87</w:t>
      </w:r>
      <w:r>
        <w:rPr>
          <w:rFonts w:hint="eastAsia" w:ascii="仿宋_GB2312" w:hAnsi="仿宋_GB2312" w:eastAsia="仿宋_GB2312" w:cs="仿宋_GB2312"/>
          <w:sz w:val="32"/>
          <w:szCs w:val="32"/>
        </w:rPr>
        <w:t>万元；本年没有对企事业单位的补贴支出。202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年公务接待</w:t>
      </w:r>
      <w:r>
        <w:rPr>
          <w:rFonts w:hint="eastAsia" w:ascii="仿宋_GB2312" w:hAnsi="仿宋_GB2312" w:eastAsia="仿宋_GB2312" w:cs="仿宋_GB2312"/>
          <w:sz w:val="32"/>
          <w:szCs w:val="32"/>
          <w:lang w:val="en-US" w:eastAsia="zh-CN"/>
        </w:rPr>
        <w:t>5.55</w:t>
      </w:r>
      <w:r>
        <w:rPr>
          <w:rFonts w:hint="eastAsia" w:ascii="仿宋_GB2312" w:hAnsi="仿宋_GB2312" w:eastAsia="仿宋_GB2312" w:cs="仿宋_GB2312"/>
          <w:sz w:val="32"/>
          <w:szCs w:val="32"/>
        </w:rPr>
        <w:t>万元，20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年公务接待费5.15万元，相比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年公务用车运行</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年公务用车运行维护费3.58万元，相比减少</w:t>
      </w:r>
      <w:r>
        <w:rPr>
          <w:rFonts w:hint="eastAsia" w:ascii="仿宋_GB2312" w:hAnsi="仿宋_GB2312" w:eastAsia="仿宋_GB2312" w:cs="仿宋_GB2312"/>
          <w:sz w:val="32"/>
          <w:szCs w:val="32"/>
          <w:lang w:val="en-US" w:eastAsia="zh-CN"/>
        </w:rPr>
        <w:t>3.58</w:t>
      </w:r>
      <w:r>
        <w:rPr>
          <w:rFonts w:hint="eastAsia" w:ascii="仿宋_GB2312" w:hAnsi="仿宋_GB2312" w:eastAsia="仿宋_GB2312" w:cs="仿宋_GB2312"/>
          <w:sz w:val="32"/>
          <w:szCs w:val="32"/>
        </w:rPr>
        <w:t>万元，因为执法车辆统一归到公车办管理，增加了</w:t>
      </w:r>
      <w:r>
        <w:rPr>
          <w:rFonts w:hint="eastAsia" w:ascii="仿宋_GB2312" w:hAnsi="仿宋_GB2312" w:eastAsia="仿宋_GB2312" w:cs="仿宋_GB2312"/>
          <w:sz w:val="32"/>
          <w:szCs w:val="32"/>
          <w:lang w:val="en-US" w:eastAsia="zh-CN"/>
        </w:rPr>
        <w:t>4.48</w:t>
      </w:r>
      <w:r>
        <w:rPr>
          <w:rFonts w:hint="eastAsia" w:ascii="仿宋_GB2312" w:hAnsi="仿宋_GB2312" w:eastAsia="仿宋_GB2312" w:cs="仿宋_GB2312"/>
          <w:sz w:val="32"/>
          <w:szCs w:val="32"/>
        </w:rPr>
        <w:t>万元其他交通费。全年“三公经费”</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2060"/>
          <w:sz w:val="32"/>
          <w:szCs w:val="32"/>
        </w:rPr>
        <w:t>支出合理合法，</w:t>
      </w:r>
      <w:r>
        <w:rPr>
          <w:rFonts w:hint="eastAsia" w:ascii="仿宋_GB2312" w:hAnsi="仿宋_GB2312" w:eastAsia="仿宋_GB2312" w:cs="仿宋_GB2312"/>
          <w:sz w:val="32"/>
          <w:szCs w:val="32"/>
        </w:rPr>
        <w:t>厉行节</w:t>
      </w:r>
      <w:r>
        <w:rPr>
          <w:rFonts w:hint="eastAsia" w:ascii="仿宋_GB2312" w:hAnsi="仿宋_GB2312" w:eastAsia="仿宋_GB2312" w:cs="仿宋_GB2312"/>
          <w:sz w:val="32"/>
          <w:szCs w:val="32"/>
          <w:highlight w:val="none"/>
        </w:rPr>
        <w:t>约。</w:t>
      </w:r>
    </w:p>
    <w:p>
      <w:pPr>
        <w:keepNext/>
        <w:keepLines w:val="0"/>
        <w:pageBreakBefore w:val="0"/>
        <w:widowControl w:val="0"/>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二、部门整体支出管理及使用情况</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1、基本支出</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年我局基本支出实际完成</w:t>
      </w:r>
      <w:r>
        <w:rPr>
          <w:rFonts w:hint="eastAsia" w:ascii="仿宋_GB2312" w:hAnsi="仿宋_GB2312" w:eastAsia="仿宋_GB2312" w:cs="仿宋_GB2312"/>
          <w:sz w:val="32"/>
          <w:szCs w:val="32"/>
          <w:lang w:val="en-US" w:eastAsia="zh-CN"/>
        </w:rPr>
        <w:t>583.44</w:t>
      </w:r>
      <w:r>
        <w:rPr>
          <w:rFonts w:hint="eastAsia" w:ascii="仿宋_GB2312" w:hAnsi="仿宋_GB2312" w:eastAsia="仿宋_GB2312" w:cs="仿宋_GB2312"/>
          <w:sz w:val="32"/>
          <w:szCs w:val="32"/>
        </w:rPr>
        <w:t>万元。包括工资及福利支出</w:t>
      </w:r>
      <w:r>
        <w:rPr>
          <w:rFonts w:hint="eastAsia" w:ascii="仿宋_GB2312" w:hAnsi="仿宋_GB2312" w:eastAsia="仿宋_GB2312" w:cs="仿宋_GB2312"/>
          <w:sz w:val="32"/>
          <w:szCs w:val="32"/>
          <w:lang w:val="en-US" w:eastAsia="zh-CN"/>
        </w:rPr>
        <w:t>399</w:t>
      </w:r>
      <w:r>
        <w:rPr>
          <w:rFonts w:hint="eastAsia" w:ascii="仿宋_GB2312" w:hAnsi="仿宋_GB2312" w:eastAsia="仿宋_GB2312" w:cs="仿宋_GB2312"/>
          <w:sz w:val="32"/>
          <w:szCs w:val="32"/>
        </w:rPr>
        <w:t>万元，日常工作经费支出</w:t>
      </w:r>
      <w:r>
        <w:rPr>
          <w:rFonts w:hint="eastAsia" w:ascii="仿宋_GB2312" w:hAnsi="仿宋_GB2312" w:eastAsia="仿宋_GB2312" w:cs="仿宋_GB2312"/>
          <w:sz w:val="32"/>
          <w:szCs w:val="32"/>
          <w:lang w:val="en-US" w:eastAsia="zh-CN"/>
        </w:rPr>
        <w:t>95.11</w:t>
      </w:r>
      <w:r>
        <w:rPr>
          <w:rFonts w:hint="eastAsia" w:ascii="仿宋_GB2312" w:hAnsi="仿宋_GB2312" w:eastAsia="仿宋_GB2312" w:cs="仿宋_GB2312"/>
          <w:sz w:val="32"/>
          <w:szCs w:val="32"/>
        </w:rPr>
        <w:t>万元、对个人和家庭的补助支出</w:t>
      </w:r>
      <w:r>
        <w:rPr>
          <w:rFonts w:hint="eastAsia" w:ascii="仿宋_GB2312" w:hAnsi="仿宋_GB2312" w:eastAsia="仿宋_GB2312" w:cs="仿宋_GB2312"/>
          <w:sz w:val="32"/>
          <w:szCs w:val="32"/>
          <w:lang w:val="en-US" w:eastAsia="zh-CN"/>
        </w:rPr>
        <w:t>84.92</w:t>
      </w:r>
      <w:r>
        <w:rPr>
          <w:rFonts w:hint="eastAsia" w:ascii="仿宋_GB2312" w:hAnsi="仿宋_GB2312" w:eastAsia="仿宋_GB2312" w:cs="仿宋_GB2312"/>
          <w:sz w:val="32"/>
          <w:szCs w:val="32"/>
        </w:rPr>
        <w:t>万元。其他资本性支出</w:t>
      </w:r>
      <w:r>
        <w:rPr>
          <w:rFonts w:hint="eastAsia" w:ascii="仿宋_GB2312" w:hAnsi="仿宋_GB2312" w:eastAsia="仿宋_GB2312" w:cs="仿宋_GB2312"/>
          <w:sz w:val="32"/>
          <w:szCs w:val="32"/>
          <w:lang w:val="en-US" w:eastAsia="zh-CN"/>
        </w:rPr>
        <w:t>4.41</w:t>
      </w:r>
      <w:r>
        <w:rPr>
          <w:rFonts w:hint="eastAsia" w:ascii="仿宋_GB2312" w:hAnsi="仿宋_GB2312" w:eastAsia="仿宋_GB2312" w:cs="仿宋_GB2312"/>
          <w:sz w:val="32"/>
          <w:szCs w:val="32"/>
        </w:rPr>
        <w:t xml:space="preserve">万元。  </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2、项目支出</w:t>
      </w:r>
      <w:r>
        <w:rPr>
          <w:rFonts w:hint="default" w:ascii="仿宋_GB2312" w:hAnsi="仿宋_GB2312" w:eastAsia="仿宋_GB2312" w:cs="仿宋_GB2312"/>
          <w:sz w:val="32"/>
          <w:szCs w:val="32"/>
        </w:rPr>
        <w:t>894.68</w:t>
      </w:r>
      <w:r>
        <w:rPr>
          <w:rFonts w:hint="eastAsia" w:ascii="仿宋_GB2312" w:hAnsi="仿宋_GB2312" w:eastAsia="仿宋_GB2312" w:cs="仿宋_GB2312"/>
          <w:sz w:val="32"/>
          <w:szCs w:val="32"/>
        </w:rPr>
        <w:t>万元，上年</w:t>
      </w:r>
      <w:r>
        <w:rPr>
          <w:rFonts w:hint="default" w:ascii="仿宋_GB2312" w:hAnsi="仿宋_GB2312" w:eastAsia="仿宋_GB2312" w:cs="仿宋_GB2312"/>
          <w:sz w:val="32"/>
          <w:szCs w:val="32"/>
        </w:rPr>
        <w:t>1150.76</w:t>
      </w:r>
      <w:r>
        <w:rPr>
          <w:rFonts w:hint="eastAsia" w:ascii="仿宋_GB2312" w:hAnsi="仿宋_GB2312" w:eastAsia="仿宋_GB2312" w:cs="仿宋_GB2312"/>
          <w:sz w:val="32"/>
          <w:szCs w:val="32"/>
        </w:rPr>
        <w:t>万元</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全年项目总支出</w:t>
      </w:r>
      <w:r>
        <w:rPr>
          <w:rFonts w:hint="default" w:ascii="仿宋_GB2312" w:hAnsi="仿宋_GB2312" w:eastAsia="仿宋_GB2312" w:cs="仿宋_GB2312"/>
          <w:sz w:val="32"/>
          <w:szCs w:val="32"/>
        </w:rPr>
        <w:t>894.68</w:t>
      </w:r>
      <w:r>
        <w:rPr>
          <w:rFonts w:hint="eastAsia" w:ascii="仿宋_GB2312" w:hAnsi="仿宋_GB2312" w:eastAsia="仿宋_GB2312" w:cs="仿宋_GB2312"/>
          <w:sz w:val="32"/>
          <w:szCs w:val="32"/>
        </w:rPr>
        <w:t>万元。其他环境监测与监察支出</w:t>
      </w:r>
      <w:r>
        <w:rPr>
          <w:rFonts w:hint="default" w:ascii="仿宋_GB2312" w:hAnsi="仿宋_GB2312" w:eastAsia="仿宋_GB2312" w:cs="仿宋_GB2312"/>
          <w:sz w:val="32"/>
          <w:szCs w:val="32"/>
        </w:rPr>
        <w:t>161.24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,主要用于生态功能区考核经费，第三方监测等；</w:t>
      </w:r>
      <w:r>
        <w:rPr>
          <w:rFonts w:hint="eastAsia" w:ascii="仿宋_GB2312" w:hAnsi="仿宋_GB2312" w:eastAsia="仿宋_GB2312" w:cs="仿宋_GB2312"/>
          <w:sz w:val="32"/>
          <w:szCs w:val="32"/>
        </w:rPr>
        <w:t>大气</w:t>
      </w:r>
      <w:r>
        <w:rPr>
          <w:rFonts w:hint="default" w:ascii="仿宋_GB2312" w:hAnsi="仿宋_GB2312" w:eastAsia="仿宋_GB2312" w:cs="仿宋_GB2312"/>
          <w:sz w:val="32"/>
          <w:szCs w:val="32"/>
        </w:rPr>
        <w:t>1.36</w:t>
      </w:r>
      <w:r>
        <w:rPr>
          <w:rFonts w:hint="eastAsia" w:ascii="仿宋_GB2312" w:hAnsi="仿宋_GB2312" w:eastAsia="仿宋_GB2312" w:cs="仿宋_GB2312"/>
          <w:sz w:val="32"/>
          <w:szCs w:val="32"/>
        </w:rPr>
        <w:t>万元，主要是大气自动监测站经费；水体</w:t>
      </w:r>
      <w:r>
        <w:rPr>
          <w:rFonts w:hint="default" w:ascii="仿宋_GB2312" w:hAnsi="仿宋_GB2312" w:eastAsia="仿宋_GB2312" w:cs="仿宋_GB2312"/>
          <w:sz w:val="32"/>
          <w:szCs w:val="32"/>
        </w:rPr>
        <w:t>310.75</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lang w:eastAsia="zh-CN"/>
        </w:rPr>
        <w:t>自动站运行、</w:t>
      </w:r>
      <w:r>
        <w:rPr>
          <w:rFonts w:hint="eastAsia" w:ascii="仿宋_GB2312" w:hAnsi="仿宋_GB2312" w:eastAsia="仿宋_GB2312" w:cs="仿宋_GB2312"/>
          <w:sz w:val="32"/>
          <w:szCs w:val="32"/>
        </w:rPr>
        <w:t>是千人饮用水源</w:t>
      </w:r>
      <w:r>
        <w:rPr>
          <w:rFonts w:hint="eastAsia" w:ascii="仿宋_GB2312" w:hAnsi="仿宋_GB2312" w:eastAsia="仿宋_GB2312" w:cs="仿宋_GB2312"/>
          <w:sz w:val="32"/>
          <w:szCs w:val="32"/>
          <w:lang w:eastAsia="zh-CN"/>
        </w:rPr>
        <w:t>保护区划分</w:t>
      </w:r>
      <w:r>
        <w:rPr>
          <w:rFonts w:hint="eastAsia" w:ascii="仿宋_GB2312" w:hAnsi="仿宋_GB2312" w:eastAsia="仿宋_GB2312" w:cs="仿宋_GB2312"/>
          <w:sz w:val="32"/>
          <w:szCs w:val="32"/>
        </w:rPr>
        <w:t>编制、白水滩自动站第三方运维、</w:t>
      </w:r>
      <w:r>
        <w:rPr>
          <w:rFonts w:hint="eastAsia" w:ascii="仿宋_GB2312" w:hAnsi="仿宋_GB2312" w:eastAsia="仿宋_GB2312" w:cs="仿宋_GB2312"/>
          <w:sz w:val="32"/>
          <w:szCs w:val="32"/>
          <w:lang w:eastAsia="zh-CN"/>
        </w:rPr>
        <w:t>碧涌冷水溪污水处理工程前期编制</w:t>
      </w:r>
      <w:r>
        <w:rPr>
          <w:rFonts w:hint="eastAsia" w:ascii="仿宋_GB2312" w:hAnsi="仿宋_GB2312" w:eastAsia="仿宋_GB2312" w:cs="仿宋_GB2312"/>
          <w:sz w:val="32"/>
          <w:szCs w:val="32"/>
        </w:rPr>
        <w:t>等；</w:t>
      </w:r>
      <w:r>
        <w:rPr>
          <w:rFonts w:hint="default" w:ascii="仿宋_GB2312" w:hAnsi="仿宋_GB2312" w:eastAsia="仿宋_GB2312" w:cs="仿宋_GB2312"/>
          <w:sz w:val="32"/>
          <w:szCs w:val="32"/>
        </w:rPr>
        <w:t>其他污染防治支出21.8</w:t>
      </w:r>
      <w:r>
        <w:rPr>
          <w:rFonts w:hint="eastAsia" w:ascii="仿宋_GB2312" w:hAnsi="仿宋_GB2312" w:eastAsia="仿宋_GB2312" w:cs="仿宋_GB2312"/>
          <w:sz w:val="32"/>
          <w:szCs w:val="32"/>
          <w:lang w:eastAsia="zh-CN"/>
        </w:rPr>
        <w:t>万元，主要用于第二次污染源普查</w:t>
      </w:r>
      <w:r>
        <w:rPr>
          <w:rFonts w:hint="default" w:ascii="仿宋_GB2312" w:hAnsi="仿宋_GB2312" w:eastAsia="仿宋_GB2312" w:cs="仿宋_GB2312"/>
          <w:sz w:val="32"/>
          <w:szCs w:val="32"/>
        </w:rPr>
        <w:t>；自然生态保护29.56万元</w:t>
      </w:r>
      <w:r>
        <w:rPr>
          <w:rFonts w:hint="eastAsia" w:ascii="仿宋_GB2312" w:hAnsi="仿宋_GB2312" w:eastAsia="仿宋_GB2312" w:cs="仿宋_GB2312"/>
          <w:sz w:val="32"/>
          <w:szCs w:val="32"/>
          <w:lang w:eastAsia="zh-CN"/>
        </w:rPr>
        <w:t>，主要用于饮用水源维修等</w:t>
      </w:r>
      <w:r>
        <w:rPr>
          <w:rFonts w:hint="default" w:ascii="仿宋_GB2312" w:hAnsi="仿宋_GB2312" w:eastAsia="仿宋_GB2312" w:cs="仿宋_GB2312"/>
          <w:sz w:val="32"/>
          <w:szCs w:val="32"/>
        </w:rPr>
        <w:t>；农环治理327.19万元</w:t>
      </w:r>
      <w:r>
        <w:rPr>
          <w:rFonts w:hint="eastAsia" w:ascii="仿宋_GB2312" w:hAnsi="仿宋_GB2312" w:eastAsia="仿宋_GB2312" w:cs="仿宋_GB2312"/>
          <w:sz w:val="32"/>
          <w:szCs w:val="32"/>
          <w:lang w:eastAsia="zh-CN"/>
        </w:rPr>
        <w:t>，主要用于胡家头、沙溪、龙口、艾头坪等村的农环治理</w:t>
      </w:r>
      <w:r>
        <w:rPr>
          <w:rFonts w:hint="default" w:ascii="仿宋_GB2312" w:hAnsi="仿宋_GB2312" w:eastAsia="仿宋_GB2312" w:cs="仿宋_GB2312"/>
          <w:sz w:val="32"/>
          <w:szCs w:val="32"/>
        </w:rPr>
        <w:t>；生态环境监测与信息2.78万元</w:t>
      </w:r>
      <w:r>
        <w:rPr>
          <w:rFonts w:hint="eastAsia" w:ascii="仿宋_GB2312" w:hAnsi="仿宋_GB2312" w:eastAsia="仿宋_GB2312" w:cs="仿宋_GB2312"/>
          <w:sz w:val="32"/>
          <w:szCs w:val="32"/>
          <w:lang w:eastAsia="zh-CN"/>
        </w:rPr>
        <w:t>，主要用于生态创建</w:t>
      </w:r>
      <w:r>
        <w:rPr>
          <w:rFonts w:hint="default" w:ascii="仿宋_GB2312" w:hAnsi="仿宋_GB2312" w:eastAsia="仿宋_GB2312" w:cs="仿宋_GB2312"/>
          <w:sz w:val="32"/>
          <w:szCs w:val="32"/>
        </w:rPr>
        <w:t>；生态环境执法监察20万元</w:t>
      </w:r>
      <w:r>
        <w:rPr>
          <w:rFonts w:hint="eastAsia" w:ascii="仿宋_GB2312" w:hAnsi="仿宋_GB2312" w:eastAsia="仿宋_GB2312" w:cs="仿宋_GB2312"/>
          <w:sz w:val="32"/>
          <w:szCs w:val="32"/>
          <w:lang w:eastAsia="zh-CN"/>
        </w:rPr>
        <w:t>，主要用于中央环保督察整治</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其他</w:t>
      </w:r>
      <w:r>
        <w:rPr>
          <w:rFonts w:hint="default" w:ascii="仿宋_GB2312" w:hAnsi="仿宋_GB2312" w:eastAsia="仿宋_GB2312" w:cs="仿宋_GB2312"/>
          <w:sz w:val="32"/>
          <w:szCs w:val="32"/>
        </w:rPr>
        <w:t>扶贫支出20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，是整合资金用于农环治理；所有项目资金</w:t>
      </w:r>
      <w:r>
        <w:rPr>
          <w:rFonts w:hint="eastAsia" w:ascii="仿宋_GB2312" w:hAnsi="仿宋_GB2312" w:eastAsia="仿宋_GB2312" w:cs="仿宋_GB2312"/>
          <w:sz w:val="32"/>
          <w:szCs w:val="32"/>
        </w:rPr>
        <w:t>专款专用，</w:t>
      </w:r>
      <w:r>
        <w:rPr>
          <w:rFonts w:hint="eastAsia" w:ascii="仿宋_GB2312" w:hAnsi="仿宋_GB2312" w:eastAsia="仿宋_GB2312" w:cs="仿宋_GB2312"/>
          <w:color w:val="auto"/>
          <w:sz w:val="32"/>
          <w:szCs w:val="32"/>
        </w:rPr>
        <w:t>无违规使用资金情况。</w:t>
      </w:r>
    </w:p>
    <w:p>
      <w:pPr>
        <w:keepNext/>
        <w:keepLines w:val="0"/>
        <w:pageBreakBefore w:val="0"/>
        <w:widowControl w:val="0"/>
        <w:tabs>
          <w:tab w:val="left" w:pos="675"/>
        </w:tabs>
        <w:kinsoku/>
        <w:wordWrap/>
        <w:overflowPunct/>
        <w:topLinePunct w:val="0"/>
        <w:autoSpaceDE/>
        <w:autoSpaceDN/>
        <w:bidi w:val="0"/>
        <w:spacing w:line="520" w:lineRule="exact"/>
        <w:ind w:firstLine="643" w:firstLineChars="200"/>
        <w:textAlignment w:val="auto"/>
        <w:rPr>
          <w:rFonts w:ascii="仿宋" w:hAnsi="仿宋" w:eastAsia="仿宋" w:cs="华文仿宋"/>
          <w:b/>
          <w:color w:val="auto"/>
          <w:sz w:val="32"/>
          <w:szCs w:val="32"/>
        </w:rPr>
      </w:pPr>
      <w:r>
        <w:rPr>
          <w:rFonts w:hint="eastAsia" w:ascii="仿宋_GB2312" w:hAnsi="仿宋_GB2312" w:eastAsia="仿宋_GB2312" w:cs="仿宋_GB2312"/>
          <w:b/>
          <w:color w:val="auto"/>
          <w:sz w:val="32"/>
          <w:szCs w:val="32"/>
        </w:rPr>
        <w:t>三、专项组织实施情况</w:t>
      </w:r>
    </w:p>
    <w:p>
      <w:pPr>
        <w:keepNext/>
        <w:keepLines w:val="0"/>
        <w:pageBreakBefore w:val="0"/>
        <w:widowControl w:val="0"/>
        <w:tabs>
          <w:tab w:val="left" w:pos="675"/>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1、专项组织情况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2020年生态功能区工作经费转移支付50万元，生态专项工作经费40万元列入专项支出，自动站运行经费40万元，第三方监测50万元，实际支出</w:t>
      </w:r>
      <w:r>
        <w:rPr>
          <w:rFonts w:hint="eastAsia" w:ascii="仿宋_GB2312" w:hAnsi="仿宋_GB2312" w:eastAsia="仿宋_GB2312" w:cs="仿宋_GB2312"/>
          <w:sz w:val="32"/>
          <w:szCs w:val="32"/>
          <w:lang w:val="en-US" w:eastAsia="zh-CN"/>
        </w:rPr>
        <w:t>93.16</w:t>
      </w:r>
      <w:r>
        <w:rPr>
          <w:rFonts w:hint="eastAsia" w:ascii="仿宋_GB2312" w:hAnsi="仿宋_GB2312" w:eastAsia="仿宋_GB2312" w:cs="仿宋_GB2312"/>
          <w:sz w:val="32"/>
          <w:szCs w:val="32"/>
        </w:rPr>
        <w:t>万元，年初预算拨款180万元、实际支出223.</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万元。</w:t>
      </w:r>
    </w:p>
    <w:p>
      <w:pPr>
        <w:keepNext/>
        <w:keepLines w:val="0"/>
        <w:pageBreakBefore w:val="0"/>
        <w:widowControl w:val="0"/>
        <w:tabs>
          <w:tab w:val="left" w:pos="675"/>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项管理情况。完善专项资金管理，从源头人入手，落实责任，完善制度，合理使用，加强监管，确保专项资金的管理使用高效率。一是加强领导，增强责任意识。落实管理责任，成立项目实施领导小组。二是加强资金管理制度建设。结合单位的实际，制定出各项规章制度，将各项经济活动划分到具体工作岗位，按照岗位确定任务和职责，贯彻执行所制订的相关财务制度，加强制度执行监督，使专项资金的财务管理有章可循。三是加强资金的支出管理。监测“专项核算、专款专用”的原则，严禁挤占、挪用专项资金。</w:t>
      </w:r>
    </w:p>
    <w:p>
      <w:pPr>
        <w:keepNext/>
        <w:keepLines w:val="0"/>
        <w:pageBreakBefore w:val="0"/>
        <w:widowControl w:val="0"/>
        <w:tabs>
          <w:tab w:val="left" w:pos="675"/>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3、财务管理状况</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rPr>
        <w:t>本单位在政府正确领导下和各部门监督下，加强财务管理，认真组织全年预、决算，尽量节约各项开支，做到专款专用，厉行收支两条线原则，全年未出现任何违纪违规开支现象。由于社会对环境保护要求越来越严格，要做的事很多，今后的支出缺口还很大，还需加大增收渠道，加强对财政和上级的联系，争取上级和财政部门的支持。</w:t>
      </w:r>
    </w:p>
    <w:p>
      <w:pPr>
        <w:keepNext/>
        <w:keepLines w:val="0"/>
        <w:pageBreakBefore w:val="0"/>
        <w:widowControl w:val="0"/>
        <w:tabs>
          <w:tab w:val="left" w:pos="675"/>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今后的工作中，我们将严格执行中央的“八项规定”，严格开支每一分财政资金；将一如既往的认真贯彻执行财务政策、方针、制度，在严格执行财政法律法规的同时严格按照政府采购、国库集中支付、公务卡支付等财务规章执行。使我局的财务工作能按照国家的政策、税法进行，加强财务核算和财务监督，杜绝不合理的开支，尽量使各项资金发挥最高能效。</w:t>
      </w:r>
    </w:p>
    <w:p>
      <w:pPr>
        <w:keepNext/>
        <w:keepLines w:val="0"/>
        <w:pageBreakBefore w:val="0"/>
        <w:widowControl w:val="0"/>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四、资产管理情况</w:t>
      </w:r>
    </w:p>
    <w:p>
      <w:pPr>
        <w:keepNext/>
        <w:keepLines w:val="0"/>
        <w:pageBreakBefore w:val="0"/>
        <w:widowControl w:val="0"/>
        <w:tabs>
          <w:tab w:val="left" w:pos="675"/>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固定资产管理情况：我局固定资产主要是专业设备专业配备，专人管理，及时登记科学使用，按时保养，每年年末对固定资产进行盘点清查，固定资产的处置、报废严格执行国家规定的审批程序办理。</w:t>
      </w:r>
    </w:p>
    <w:p>
      <w:pPr>
        <w:keepNext/>
        <w:keepLines w:val="0"/>
        <w:pageBreakBefore w:val="0"/>
        <w:widowControl w:val="0"/>
        <w:tabs>
          <w:tab w:val="left" w:pos="675"/>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年末固定资产原值</w:t>
      </w:r>
      <w:r>
        <w:rPr>
          <w:rFonts w:hint="eastAsia" w:ascii="仿宋_GB2312" w:hAnsi="仿宋_GB2312" w:eastAsia="仿宋_GB2312" w:cs="仿宋_GB2312"/>
          <w:sz w:val="32"/>
          <w:szCs w:val="32"/>
          <w:lang w:val="en-US" w:eastAsia="zh-CN"/>
        </w:rPr>
        <w:t>1235.9</w:t>
      </w:r>
      <w:r>
        <w:rPr>
          <w:rFonts w:hint="eastAsia" w:ascii="仿宋_GB2312" w:hAnsi="仿宋_GB2312" w:eastAsia="仿宋_GB2312" w:cs="仿宋_GB2312"/>
          <w:sz w:val="32"/>
          <w:szCs w:val="32"/>
        </w:rPr>
        <w:t>万元，净值</w:t>
      </w:r>
      <w:r>
        <w:rPr>
          <w:rFonts w:hint="eastAsia" w:ascii="仿宋_GB2312" w:hAnsi="仿宋_GB2312" w:eastAsia="仿宋_GB2312" w:cs="仿宋_GB2312"/>
          <w:sz w:val="32"/>
          <w:szCs w:val="32"/>
          <w:lang w:val="en-US" w:eastAsia="zh-CN"/>
        </w:rPr>
        <w:t>850.22</w:t>
      </w:r>
      <w:r>
        <w:rPr>
          <w:rFonts w:hint="eastAsia" w:ascii="仿宋_GB2312" w:hAnsi="仿宋_GB2312" w:eastAsia="仿宋_GB2312" w:cs="仿宋_GB2312"/>
          <w:sz w:val="32"/>
          <w:szCs w:val="32"/>
        </w:rPr>
        <w:t>万元，年初固定资产原值</w:t>
      </w:r>
      <w:r>
        <w:rPr>
          <w:rFonts w:hint="eastAsia" w:ascii="仿宋_GB2312" w:hAnsi="仿宋_GB2312" w:eastAsia="仿宋_GB2312" w:cs="仿宋_GB2312"/>
          <w:sz w:val="32"/>
          <w:szCs w:val="32"/>
          <w:lang w:val="en-US" w:eastAsia="zh-CN"/>
        </w:rPr>
        <w:t>1228.72</w:t>
      </w:r>
      <w:r>
        <w:rPr>
          <w:rFonts w:hint="eastAsia" w:ascii="仿宋_GB2312" w:hAnsi="仿宋_GB2312" w:eastAsia="仿宋_GB2312" w:cs="仿宋_GB2312"/>
          <w:sz w:val="32"/>
          <w:szCs w:val="32"/>
        </w:rPr>
        <w:t>万元，本年增加固定资产原值</w:t>
      </w:r>
      <w:r>
        <w:rPr>
          <w:rFonts w:hint="eastAsia" w:ascii="仿宋_GB2312" w:hAnsi="仿宋_GB2312" w:eastAsia="仿宋_GB2312" w:cs="仿宋_GB2312"/>
          <w:sz w:val="32"/>
          <w:szCs w:val="32"/>
          <w:lang w:val="en-US" w:eastAsia="zh-CN"/>
        </w:rPr>
        <w:t>7.18</w:t>
      </w:r>
      <w:r>
        <w:rPr>
          <w:rFonts w:hint="eastAsia" w:ascii="仿宋_GB2312" w:hAnsi="仿宋_GB2312" w:eastAsia="仿宋_GB2312" w:cs="仿宋_GB2312"/>
          <w:sz w:val="32"/>
          <w:szCs w:val="32"/>
        </w:rPr>
        <w:t>万元，主要为</w:t>
      </w:r>
      <w:r>
        <w:rPr>
          <w:rFonts w:hint="eastAsia" w:ascii="仿宋_GB2312" w:hAnsi="仿宋_GB2312" w:eastAsia="仿宋_GB2312" w:cs="仿宋_GB2312"/>
          <w:sz w:val="32"/>
          <w:szCs w:val="32"/>
          <w:lang w:eastAsia="zh-CN"/>
        </w:rPr>
        <w:t>办公设备添置</w:t>
      </w:r>
      <w:r>
        <w:rPr>
          <w:rFonts w:hint="eastAsia" w:ascii="仿宋_GB2312" w:hAnsi="仿宋_GB2312" w:eastAsia="仿宋_GB2312" w:cs="仿宋_GB2312"/>
          <w:sz w:val="32"/>
          <w:szCs w:val="32"/>
        </w:rPr>
        <w:t>。</w:t>
      </w:r>
    </w:p>
    <w:p>
      <w:pPr>
        <w:keepNext/>
        <w:keepLines w:val="0"/>
        <w:pageBreakBefore w:val="0"/>
        <w:widowControl w:val="0"/>
        <w:numPr>
          <w:ilvl w:val="0"/>
          <w:numId w:val="1"/>
        </w:numPr>
        <w:kinsoku/>
        <w:wordWrap/>
        <w:overflowPunct/>
        <w:topLinePunct w:val="0"/>
        <w:autoSpaceDE/>
        <w:autoSpaceDN/>
        <w:bidi w:val="0"/>
        <w:spacing w:line="520" w:lineRule="exact"/>
        <w:ind w:left="800" w:leftChars="0" w:firstLine="0" w:firstLine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部门整体支出绩效情况</w:t>
      </w:r>
    </w:p>
    <w:p>
      <w:pPr>
        <w:keepNext/>
        <w:shd w:val="clear" w:color="auto" w:fill="FFFFFF"/>
        <w:spacing w:line="560" w:lineRule="exact"/>
        <w:ind w:firstLine="643"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（一）加强政治生态建设，落实重大工作任务。</w:t>
      </w:r>
      <w:r>
        <w:rPr>
          <w:rFonts w:hint="eastAsia" w:ascii="仿宋_GB2312" w:hAnsi="仿宋_GB2312" w:eastAsia="仿宋_GB2312" w:cs="仿宋_GB2312"/>
          <w:bCs/>
          <w:color w:val="000000"/>
          <w:sz w:val="32"/>
          <w:szCs w:val="32"/>
          <w:lang w:bidi="ar"/>
        </w:rPr>
        <w:t>严格按照上级要求全面落实从严管党治党、</w:t>
      </w:r>
      <w:r>
        <w:rPr>
          <w:rFonts w:hint="eastAsia" w:ascii="仿宋_GB2312" w:hAnsi="仿宋_GB2312" w:eastAsia="仿宋_GB2312" w:cs="仿宋_GB2312"/>
          <w:color w:val="000000"/>
          <w:sz w:val="32"/>
          <w:szCs w:val="32"/>
          <w:shd w:val="clear" w:color="auto" w:fill="FFFFFF"/>
          <w:lang w:bidi="ar"/>
        </w:rPr>
        <w:t>“一岗双责”和“三重一大”等相关议事规则，</w:t>
      </w:r>
      <w:r>
        <w:rPr>
          <w:rFonts w:hint="eastAsia" w:ascii="仿宋_GB2312" w:hAnsi="仿宋_GB2312" w:eastAsia="仿宋_GB2312" w:cs="仿宋_GB2312"/>
          <w:bCs/>
          <w:color w:val="000000"/>
          <w:sz w:val="32"/>
          <w:szCs w:val="32"/>
          <w:lang w:bidi="ar"/>
        </w:rPr>
        <w:t>落实意识形态、网络意识形态工作责任制。积极开展党史学习教育工作，结合习近平总书七一重要讲话和十九届六中全会，传达贯彻中央、省、市、县党史学习教育动员大会会议精神，对全局党史学习教育工作进行了动员部署，将党史学习教育作为贯穿全年的一项重大政治任务。通过县委宣讲团授课、中心组学习、专题组织生活会、专题党课、重走红军长征路活动等方式，将学思用、知信行统一起来。组织全体党员开展了“缅怀先烈、重走长征路”、瞻仰老一辈革命家滕代远故居和纪念馆等现场学习教育。</w:t>
      </w:r>
      <w:r>
        <w:rPr>
          <w:rFonts w:hint="eastAsia" w:ascii="仿宋_GB2312" w:hAnsi="仿宋_GB2312" w:eastAsia="仿宋_GB2312" w:cs="仿宋_GB2312"/>
          <w:color w:val="000000"/>
          <w:sz w:val="32"/>
          <w:szCs w:val="32"/>
          <w:lang w:bidi="ar"/>
        </w:rPr>
        <w:t>加强行政执法、行政审批、项目申报等重点领域廉洁风险防控，</w:t>
      </w:r>
      <w:r>
        <w:rPr>
          <w:rFonts w:hint="eastAsia" w:ascii="仿宋_GB2312" w:hAnsi="仿宋_GB2312" w:eastAsia="仿宋_GB2312" w:cs="仿宋_GB2312"/>
          <w:sz w:val="32"/>
          <w:szCs w:val="32"/>
        </w:rPr>
        <w:t>定期听取各股室、二级机构党风廉政建设工作情况汇报，</w:t>
      </w:r>
      <w:r>
        <w:rPr>
          <w:rFonts w:hint="eastAsia" w:ascii="仿宋_GB2312" w:hAnsi="仿宋_GB2312" w:eastAsia="仿宋_GB2312" w:cs="仿宋_GB2312"/>
          <w:color w:val="000000"/>
          <w:sz w:val="32"/>
          <w:szCs w:val="32"/>
          <w:lang w:bidi="ar"/>
        </w:rPr>
        <w:t>我局未发生一起党风廉政建设责任制追究和党纪政务处分案件。严格落实乡村振兴工作，</w:t>
      </w:r>
      <w:r>
        <w:rPr>
          <w:rFonts w:hint="eastAsia" w:ascii="仿宋_GB2312" w:hAnsi="仿宋_GB2312" w:eastAsia="仿宋_GB2312" w:cs="仿宋_GB2312"/>
          <w:sz w:val="32"/>
          <w:szCs w:val="32"/>
        </w:rPr>
        <w:t>制定了全面开展“两山”基地创建、以点带面着力打造示范村、加快村庄规划编制与运用、加强农村生态环境监管整治、全面推行和深化河长制、深化农村生活垃圾处理、有序推进农村“厕所革命”和污水治理、严守生态保护红线全力保护森林资源、实施生态文明建设宣传阵地教育等九条生态振兴措施。我局共派出2人到岩桥镇水路田村开展乡村振兴驻村工作。</w:t>
      </w:r>
      <w:r>
        <w:rPr>
          <w:rFonts w:hint="eastAsia" w:ascii="仿宋_GB2312" w:hAnsi="仿宋_GB2312" w:eastAsia="仿宋_GB2312" w:cs="仿宋_GB2312"/>
          <w:color w:val="000000"/>
          <w:sz w:val="32"/>
          <w:szCs w:val="32"/>
          <w:lang w:bidi="ar"/>
        </w:rPr>
        <w:t>全面落实新冠肺炎疫情防控工作，积极对单位及7S责任小区开展中高风险区来芷人员摸排，组织全局干部职工进行疫苗接种。</w:t>
      </w:r>
    </w:p>
    <w:p>
      <w:pPr>
        <w:keepNext/>
        <w:spacing w:line="560" w:lineRule="exact"/>
        <w:ind w:firstLine="643" w:firstLineChars="200"/>
        <w:rPr>
          <w:rFonts w:hint="eastAsia" w:ascii="仿宋_GB2312" w:hAnsi="仿宋_GB2312" w:eastAsia="仿宋_GB2312" w:cs="仿宋_GB2312"/>
          <w:kern w:val="0"/>
          <w:sz w:val="32"/>
          <w:szCs w:val="32"/>
          <w:shd w:val="clear" w:color="auto" w:fill="FFFFFF"/>
          <w:lang w:bidi="ar"/>
        </w:rPr>
      </w:pPr>
      <w:r>
        <w:rPr>
          <w:rFonts w:hint="eastAsia" w:ascii="楷体_GB2312" w:hAnsi="楷体_GB2312" w:eastAsia="楷体_GB2312" w:cs="楷体_GB2312"/>
          <w:b/>
          <w:sz w:val="32"/>
          <w:szCs w:val="32"/>
        </w:rPr>
        <w:t>（二）</w:t>
      </w:r>
      <w:r>
        <w:rPr>
          <w:rFonts w:hint="eastAsia" w:ascii="楷体_GB2312" w:hAnsi="楷体_GB2312" w:eastAsia="楷体_GB2312" w:cs="楷体_GB2312"/>
          <w:b/>
          <w:color w:val="000000"/>
          <w:sz w:val="32"/>
          <w:szCs w:val="32"/>
          <w:lang w:bidi="ar"/>
        </w:rPr>
        <w:t>着力生态创建，</w:t>
      </w:r>
      <w:r>
        <w:rPr>
          <w:rFonts w:hint="eastAsia" w:ascii="楷体_GB2312" w:hAnsi="楷体_GB2312" w:eastAsia="楷体_GB2312" w:cs="楷体_GB2312"/>
          <w:b/>
          <w:sz w:val="32"/>
          <w:szCs w:val="32"/>
        </w:rPr>
        <w:t>打好污染防治攻坚战。</w:t>
      </w:r>
      <w:r>
        <w:rPr>
          <w:rFonts w:hint="eastAsia" w:ascii="仿宋_GB2312" w:hAnsi="仿宋_GB2312" w:eastAsia="仿宋_GB2312" w:cs="仿宋_GB2312"/>
          <w:sz w:val="32"/>
          <w:szCs w:val="32"/>
        </w:rPr>
        <w:t>2021年全县环境质量保持总体稳定，空气优良率为96.8%，环境空气质量达到国家二级标准。白水滩、岩桥二个出入境断面水质达到《地表水环境质量标准》</w:t>
      </w:r>
      <w:r>
        <w:rPr>
          <w:rFonts w:hint="eastAsia" w:ascii="仿宋_GB2312" w:hAnsi="仿宋" w:eastAsia="仿宋_GB2312"/>
          <w:sz w:val="30"/>
          <w:szCs w:val="30"/>
        </w:rPr>
        <w:t>Ⅱ</w:t>
      </w:r>
      <w:r>
        <w:rPr>
          <w:rFonts w:hint="eastAsia" w:ascii="仿宋_GB2312" w:hAnsi="仿宋_GB2312" w:eastAsia="仿宋_GB2312" w:cs="仿宋_GB2312"/>
          <w:sz w:val="32"/>
          <w:szCs w:val="32"/>
        </w:rPr>
        <w:t>类水质标准，县城集中式饮用水源地水质达到Ⅱ类水质标准，水质达标率均为100%。我县被评为全市2020 年度污染防治攻坚战和环境空气质量创建达标工作先进单位。</w:t>
      </w:r>
      <w:r>
        <w:rPr>
          <w:rFonts w:hint="eastAsia" w:ascii="仿宋_GB2312" w:hAnsi="仿宋_GB2312" w:eastAsia="仿宋_GB2312" w:cs="仿宋_GB2312"/>
          <w:b/>
          <w:bCs/>
          <w:sz w:val="32"/>
          <w:szCs w:val="32"/>
        </w:rPr>
        <w:t>大气污染防治方面。</w:t>
      </w:r>
      <w:r>
        <w:rPr>
          <w:rFonts w:hint="eastAsia" w:ascii="仿宋_GB2312" w:hAnsi="仿宋_GB2312" w:eastAsia="仿宋_GB2312" w:cs="仿宋_GB2312"/>
          <w:sz w:val="32"/>
          <w:szCs w:val="32"/>
        </w:rPr>
        <w:t>印发了《2021年芷江县巩固环境空气质量二级标准达标城市工作方案》，对县城区内14个在建项目，2家预拌商品砼搅拌站进行建筑施工扬尘专项检查。城区所有受监项目均已配备雾炮机及扬尘在线监控监测设备且已全部联网，规模较大项目已安装围挡喷淋及塔吊喷淋系统，按照扬尘治理“六个100%”落实到位，进一步规范渣土车辆管理。持续开展页岩机制砖厂、矿山开采等行业扬尘整治。推进重点行业VOCs综合治理。建立秸秆禁烧网格化监管机制，加大秸秆综合利用的扶持力度。开展餐饮油烟整治行动。进一步严格控制烟花爆竹燃放，全面禁止中心城区范围内燃放烟花爆竹。大力推进中心城区主要出入口的城乡结合部环境综合整治行动。</w:t>
      </w:r>
      <w:r>
        <w:rPr>
          <w:rFonts w:hint="eastAsia" w:ascii="仿宋_GB2312" w:hAnsi="仿宋_GB2312" w:eastAsia="仿宋_GB2312" w:cs="仿宋_GB2312"/>
          <w:b/>
          <w:bCs/>
          <w:sz w:val="32"/>
          <w:szCs w:val="32"/>
        </w:rPr>
        <w:t>水污染防治方面。</w:t>
      </w:r>
      <w:r>
        <w:rPr>
          <w:rFonts w:hint="eastAsia" w:ascii="仿宋_GB2312" w:hAnsi="仿宋_GB2312" w:eastAsia="仿宋_GB2312" w:cs="仿宋_GB2312"/>
          <w:bCs/>
          <w:sz w:val="32"/>
          <w:szCs w:val="32"/>
        </w:rPr>
        <w:t>全面</w:t>
      </w:r>
      <w:r>
        <w:rPr>
          <w:rFonts w:hint="eastAsia" w:ascii="仿宋_GB2312" w:hAnsi="仿宋_GB2312" w:eastAsia="仿宋_GB2312" w:cs="仿宋_GB2312"/>
          <w:sz w:val="32"/>
          <w:szCs w:val="32"/>
        </w:rPr>
        <w:t>开展并完成了全县20个千人以上饮用水源保护区核查，并制定了整治方案。冷水溪、碧涌镇污水处理厂及管网建设工程（板山、罗岩）及大树坳农村生活污水和流域治理项目均已开工建设。罗旧镇、碧涌镇污水处理厂及管网建设项目（集镇）已经全面完工并运行。工业集中区推进污水处理站处理规模由100t/d扩容至500t/d工作。开展“千吨万人”饮用水水源保护区整治。与新晃、鹤城签订了2021年舞水流域生态保护补偿协议并完成2020年流域补偿款的拨付。</w:t>
      </w:r>
      <w:r>
        <w:rPr>
          <w:rFonts w:hint="eastAsia" w:ascii="仿宋_GB2312" w:hAnsi="仿宋_GB2312" w:eastAsia="仿宋_GB2312" w:cs="仿宋_GB2312"/>
          <w:b/>
          <w:bCs/>
          <w:sz w:val="32"/>
          <w:szCs w:val="32"/>
        </w:rPr>
        <w:t>土壤污染防治方面。</w:t>
      </w:r>
      <w:r>
        <w:rPr>
          <w:rFonts w:hint="eastAsia" w:ascii="仿宋_GB2312" w:hAnsi="仿宋_GB2312" w:eastAsia="仿宋_GB2312" w:cs="仿宋_GB2312"/>
          <w:sz w:val="32"/>
          <w:szCs w:val="32"/>
        </w:rPr>
        <w:t>配合完成关闭矿山矿涌水污染情况调查工作和1家重点监管单位土壤污染隐患排查工作。完成土壤污染治理与修复成效综合评估。开展危险废物专项大调查大排查工作，建立健全了危险废物大排查检查联动机制和危险废物产生单位清单，建立危险废物管理台账。</w:t>
      </w:r>
      <w:r>
        <w:rPr>
          <w:rFonts w:hint="eastAsia" w:ascii="仿宋_GB2312" w:hAnsi="仿宋_GB2312" w:eastAsia="仿宋_GB2312" w:cs="仿宋_GB2312"/>
          <w:b/>
          <w:sz w:val="32"/>
          <w:szCs w:val="32"/>
        </w:rPr>
        <w:t>国家生态文明建设示范县创建方面。</w:t>
      </w:r>
      <w:r>
        <w:rPr>
          <w:rFonts w:hint="eastAsia" w:ascii="仿宋_GB2312" w:hAnsi="仿宋_GB2312" w:eastAsia="仿宋_GB2312" w:cs="仿宋_GB2312"/>
          <w:bCs/>
          <w:sz w:val="32"/>
          <w:szCs w:val="32"/>
        </w:rPr>
        <w:t>县委、政府高度重视，多次召开国家生态文明建设示范县创建工作协调会和推进会，安排部署全国生态文明建设示范县创建工作；各部门积极配合，完成了相关资料和佐证材料上报；聘请湖南师大团队编制创建工作申报材料，已全部完成申报材料、宣传汇报片、汇报PPT的制作，按照要求上报到省生态环境厅。</w:t>
      </w:r>
      <w:r>
        <w:rPr>
          <w:rFonts w:hint="eastAsia" w:ascii="仿宋_GB2312" w:hAnsi="仿宋_GB2312" w:eastAsia="仿宋_GB2312" w:cs="仿宋_GB2312"/>
          <w:b/>
          <w:sz w:val="32"/>
          <w:szCs w:val="32"/>
        </w:rPr>
        <w:t>农村环境综合整治方面。</w:t>
      </w:r>
      <w:r>
        <w:rPr>
          <w:rFonts w:hint="eastAsia" w:ascii="仿宋_GB2312" w:hAnsi="仿宋_GB2312" w:eastAsia="仿宋_GB2312" w:cs="仿宋_GB2312"/>
          <w:bCs/>
          <w:sz w:val="32"/>
          <w:szCs w:val="32"/>
        </w:rPr>
        <w:t>今年1月完成了“十三五”农村环境综合整治整县推进整体验收。今年省市下达我县农村环境综合整治任务为芷江镇两头田村和曲溪垅村，目前已全部完成并通过省级验收。</w:t>
      </w:r>
      <w:r>
        <w:rPr>
          <w:rFonts w:hint="eastAsia" w:ascii="仿宋_GB2312" w:hAnsi="仿宋_GB2312" w:eastAsia="仿宋_GB2312" w:cs="仿宋_GB2312"/>
          <w:b/>
          <w:sz w:val="32"/>
          <w:szCs w:val="32"/>
        </w:rPr>
        <w:t>生态环境宣传教育方面。</w:t>
      </w:r>
      <w:r>
        <w:rPr>
          <w:rFonts w:hint="eastAsia" w:ascii="仿宋_GB2312" w:hAnsi="仿宋_GB2312" w:eastAsia="仿宋_GB2312" w:cs="仿宋_GB2312"/>
          <w:bCs/>
          <w:sz w:val="32"/>
          <w:szCs w:val="32"/>
        </w:rPr>
        <w:t>围绕“人与自然和谐共生”主题，开展形式多样内容丰富的进社区、进企业、进校园、进乡镇等系列“六五”世界环境日宣传活动。在县电视台和城区大屏幕上播放芷江创建国家生态文明建设示范县汇报片《青山绿水，大美无言》；应急宣传周、农村法治宣传月在各乡镇和城区开展“环境应急知识”、《排污许可证管理条例》等环保法律法规“谁执法，谁宣传”宣传活动；6月5日当天在人流密集区联合县检察院开展“人与自然和谐共生”和“环保公益诉讼”宣传咨询活动，发放“环保法律法规”、“公民生态环境行为规范”、“垃圾分类”、“公益诉讼”等宣传资料3000余份，并发放环保购物袋300余个；联合芷江志愿者协会、芷江同心公益组织50多名公益小天使通过走进污水处理厂学习了解污水处理知识，向沿街商铺和居民发送保护环境宣传单，前往东街社区清洁街道、铲除墙上乱张贴小广告等形式开展相关主题活动。</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kern w:val="0"/>
          <w:sz w:val="32"/>
          <w:szCs w:val="32"/>
          <w:shd w:val="clear" w:color="auto" w:fill="FFFFFF"/>
          <w:lang w:bidi="ar"/>
        </w:rPr>
        <w:t>（三）</w:t>
      </w:r>
      <w:r>
        <w:rPr>
          <w:rFonts w:hint="eastAsia" w:ascii="楷体_GB2312" w:hAnsi="楷体_GB2312" w:eastAsia="楷体_GB2312" w:cs="楷体_GB2312"/>
          <w:b/>
          <w:bCs/>
          <w:color w:val="000000"/>
          <w:sz w:val="32"/>
          <w:szCs w:val="32"/>
          <w:lang w:bidi="ar"/>
        </w:rPr>
        <w:t>落实督察任务，强化执法、妥处信访。</w:t>
      </w:r>
      <w:r>
        <w:rPr>
          <w:rFonts w:hint="eastAsia" w:ascii="仿宋_GB2312" w:hAnsi="仿宋_GB2312" w:eastAsia="仿宋_GB2312" w:cs="仿宋_GB2312"/>
          <w:color w:val="000000"/>
          <w:sz w:val="32"/>
          <w:szCs w:val="32"/>
          <w:lang w:bidi="ar"/>
        </w:rPr>
        <w:t>中央第二轮生态环境保护督察期间，我县共收到环境信访投诉交办件16件，其中不属实11件，部份属实5件，现已办结15件，正在办理1件，为“新店坪镇家园村锰渣库治理问题”，目前第三方工程、环境监理公司已进场，已完成治理工程锰渣新填埋场基础防渗项目，已完成主体工程总量的50%，预计12月30日前完成基础土建和新锰渣填埋场封场工程。今年年我局共下达了《责令改正环境违法行为决定书》32份，查处案件14起，下达《行政处罚决定书》9份，处罚款59.8412万元。其中移送公安机关实施行政拘留7起。</w:t>
      </w:r>
      <w:r>
        <w:rPr>
          <w:rFonts w:hint="eastAsia" w:ascii="仿宋_GB2312" w:hAnsi="仿宋_GB2312" w:eastAsia="仿宋_GB2312" w:cs="仿宋_GB2312"/>
          <w:sz w:val="32"/>
          <w:szCs w:val="32"/>
        </w:rPr>
        <w:t>全年共接到环境信访事项59件，其中12345市长热线投诉43件、全国生态环境信访投诉举报管理平台9件、上级转交办件3件、网络投诉4件，</w:t>
      </w:r>
      <w:r>
        <w:rPr>
          <w:rFonts w:hint="eastAsia" w:ascii="仿宋_GB2312" w:hAnsi="仿宋_GB2312" w:eastAsia="仿宋_GB2312" w:cs="仿宋_GB2312"/>
          <w:color w:val="000000"/>
          <w:sz w:val="32"/>
          <w:szCs w:val="32"/>
          <w:lang w:bidi="ar"/>
        </w:rPr>
        <w:t>处理办结率100%。</w:t>
      </w:r>
    </w:p>
    <w:p>
      <w:pPr>
        <w:pStyle w:val="3"/>
        <w:keepNext/>
        <w:spacing w:after="0" w:line="560" w:lineRule="exact"/>
        <w:ind w:firstLine="643" w:firstLineChars="200"/>
        <w:rPr>
          <w:rFonts w:hint="eastAsia" w:ascii="仿宋_GB2312" w:hAnsi="仿宋_GB2312" w:eastAsia="仿宋_GB2312" w:cs="仿宋_GB2312"/>
          <w:bCs/>
          <w:color w:val="222222"/>
          <w:kern w:val="0"/>
          <w:sz w:val="32"/>
          <w:szCs w:val="32"/>
          <w:shd w:val="clear" w:color="auto" w:fill="FFFFFF"/>
          <w:lang w:bidi="ar"/>
        </w:rPr>
      </w:pPr>
      <w:r>
        <w:rPr>
          <w:rFonts w:hint="eastAsia" w:ascii="楷体_GB2312" w:hAnsi="楷体_GB2312" w:eastAsia="楷体_GB2312" w:cs="楷体_GB2312"/>
          <w:b/>
          <w:bCs/>
          <w:color w:val="000000"/>
          <w:sz w:val="32"/>
          <w:szCs w:val="32"/>
          <w:lang w:bidi="ar"/>
        </w:rPr>
        <w:t>（四）严格环评准入，持续开展污染减排。</w:t>
      </w:r>
      <w:r>
        <w:rPr>
          <w:rFonts w:hint="eastAsia" w:ascii="仿宋_GB2312" w:hAnsi="仿宋_GB2312" w:eastAsia="仿宋_GB2312" w:cs="仿宋_GB2312"/>
          <w:color w:val="000000"/>
          <w:sz w:val="32"/>
          <w:szCs w:val="32"/>
        </w:rPr>
        <w:t>全年共审批建设项目9个,完成登记表网上备案项目27个。我县已完成“三线一单”细化编制任务，我局将严格按照“三线一单”成果，严格把关项目准入，确保成果在我县顺利落地。积极推进“放管服”改革和优化营商环境工作，主动为县重点项目环评手续办理提供便捷服务。配合省生态环境厅完成了2020年度环境信用评价工作。结合我县生态环境质量改善目标、产业布局与结构调整等相关规划，按照上级主管部门“十四五”污染减排方案的总体设计要求，对我县在“十四五”期间主要污染物减排空间进行摸底。</w:t>
      </w:r>
      <w:r>
        <w:rPr>
          <w:rFonts w:hint="eastAsia" w:ascii="仿宋_GB2312" w:hAnsi="仿宋_GB2312" w:eastAsia="仿宋_GB2312" w:cs="仿宋_GB2312"/>
          <w:sz w:val="32"/>
          <w:szCs w:val="32"/>
        </w:rPr>
        <w:t>全力</w:t>
      </w:r>
      <w:r>
        <w:rPr>
          <w:rFonts w:hint="eastAsia" w:ascii="仿宋_GB2312" w:hAnsi="仿宋_GB2312" w:eastAsia="仿宋_GB2312" w:cs="仿宋_GB2312"/>
          <w:color w:val="000000"/>
          <w:kern w:val="0"/>
          <w:sz w:val="32"/>
          <w:szCs w:val="32"/>
        </w:rPr>
        <w:t>构建以排污许可制为核心的固定污染源监管体系，</w:t>
      </w:r>
      <w:r>
        <w:rPr>
          <w:rFonts w:hint="eastAsia" w:ascii="仿宋_GB2312" w:hAnsi="仿宋_GB2312" w:eastAsia="仿宋_GB2312" w:cs="仿宋_GB2312"/>
          <w:sz w:val="32"/>
          <w:szCs w:val="32"/>
        </w:rPr>
        <w:t>全面完成固定污染源排污许可发证登记工作，截止目前，累计完成发证64家，登记备案291家。</w:t>
      </w:r>
    </w:p>
    <w:p>
      <w:pPr>
        <w:pStyle w:val="2"/>
        <w:numPr>
          <w:ilvl w:val="0"/>
          <w:numId w:val="0"/>
        </w:numPr>
        <w:ind w:left="800" w:leftChars="0"/>
        <w:rPr>
          <w:rFonts w:hint="eastAsia"/>
        </w:rPr>
      </w:pPr>
    </w:p>
    <w:p>
      <w:pPr>
        <w:keepNext/>
        <w:keepLines w:val="0"/>
        <w:pageBreakBefore w:val="0"/>
        <w:widowControl w:val="0"/>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b/>
          <w:color w:val="000000"/>
          <w:spacing w:val="15"/>
          <w:sz w:val="32"/>
          <w:szCs w:val="32"/>
        </w:rPr>
      </w:pPr>
      <w:r>
        <w:rPr>
          <w:rFonts w:hint="eastAsia" w:ascii="仿宋_GB2312" w:hAnsi="仿宋_GB2312" w:eastAsia="仿宋_GB2312" w:cs="仿宋_GB2312"/>
          <w:b/>
          <w:color w:val="000000"/>
          <w:spacing w:val="0"/>
          <w:sz w:val="32"/>
          <w:szCs w:val="32"/>
        </w:rPr>
        <w:t>六、存在的主要问题</w:t>
      </w:r>
    </w:p>
    <w:p>
      <w:pPr>
        <w:pStyle w:val="3"/>
        <w:keepNext/>
        <w:keepLines w:val="0"/>
        <w:pageBreakBefore w:val="0"/>
        <w:widowControl w:val="0"/>
        <w:kinsoku/>
        <w:wordWrap/>
        <w:overflowPunct/>
        <w:topLinePunct w:val="0"/>
        <w:autoSpaceDE/>
        <w:autoSpaceDN/>
        <w:bidi w:val="0"/>
        <w:spacing w:after="0"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综合执法合力有待提升。扬尘防治、非煤矿山整治、农村面源污染、水生态保护、生活噪声污染等生态环境保护工作涉及林业、水利、应急、农业农村等多个部门，有关部门环保责任不清、密切配合不够，打击环境违法犯罪效率不高。</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、环保宣传力度有待加强。一些部门工作人员和普通群众对生态文明建设、环境保护的认识仍然不够高，创新开展</w:t>
      </w:r>
      <w:r>
        <w:rPr>
          <w:rFonts w:hint="eastAsia" w:ascii="仿宋_GB2312" w:hAnsi="仿宋_GB2312" w:eastAsia="仿宋_GB2312" w:cs="仿宋_GB2312"/>
          <w:b w:val="0"/>
          <w:bCs w:val="0"/>
          <w:sz w:val="32"/>
          <w:szCs w:val="32"/>
          <w:shd w:val="clear" w:color="auto" w:fill="FFFFFF"/>
        </w:rPr>
        <w:t>“六五”世界环境日环保宣传活动，进一步普及环保知识和法律法规，同时加强政府门户网站、红网、怀化日报</w:t>
      </w:r>
      <w:r>
        <w:rPr>
          <w:rFonts w:hint="eastAsia" w:ascii="仿宋_GB2312" w:hAnsi="仿宋_GB2312" w:eastAsia="仿宋_GB2312" w:cs="仿宋_GB2312"/>
          <w:bCs/>
          <w:sz w:val="32"/>
          <w:szCs w:val="32"/>
          <w:shd w:val="clear" w:color="auto" w:fill="FFFFFF"/>
        </w:rPr>
        <w:t>等新闻媒体的环保信息报送工作，充分展现生态环保工作成效和生态环保铁军良好形象。</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、是环保机构编制、队伍素质能力与新环保法的严格要求不相适应。</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、是财务管理欠缺，财务自身能力建设不够，财务管理制度不健全。</w:t>
      </w:r>
    </w:p>
    <w:p>
      <w:pPr>
        <w:keepNext/>
        <w:keepLines w:val="0"/>
        <w:pageBreakBefore w:val="0"/>
        <w:widowControl w:val="0"/>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七、改进措施和有关建议</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1、对日益严峻的环保形势增加工作经费，加强部门协调。</w:t>
      </w:r>
    </w:p>
    <w:p>
      <w:pPr>
        <w:keepNext/>
        <w:keepLines w:val="0"/>
        <w:pageBreakBefore w:val="0"/>
        <w:widowControl w:val="0"/>
        <w:kinsoku/>
        <w:wordWrap/>
        <w:overflowPunct/>
        <w:topLinePunct w:val="0"/>
        <w:autoSpaceDE/>
        <w:autoSpaceDN/>
        <w:bidi w:val="0"/>
        <w:spacing w:line="520" w:lineRule="exact"/>
        <w:ind w:firstLine="6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2、增加环保机构人员，加大业务培训力度，使环保队伍能适应新形式要求。</w:t>
      </w:r>
    </w:p>
    <w:p>
      <w:pPr>
        <w:keepNext/>
        <w:keepLines w:val="0"/>
        <w:pageBreakBefore w:val="0"/>
        <w:widowControl w:val="0"/>
        <w:tabs>
          <w:tab w:val="left" w:pos="645"/>
          <w:tab w:val="center" w:pos="4153"/>
        </w:tabs>
        <w:kinsoku/>
        <w:wordWrap/>
        <w:overflowPunct/>
        <w:topLinePunct w:val="0"/>
        <w:autoSpaceDE/>
        <w:autoSpaceDN/>
        <w:bidi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3、加强基层财务业务培训力度，使之能有效加强财务管理。财政部门加强监督和指导同时进行，建立健全财务管理制度，使支出都能按制度执行，并发挥最大效益。      </w:t>
      </w:r>
    </w:p>
    <w:p>
      <w:pPr>
        <w:keepNext/>
        <w:keepLines w:val="0"/>
        <w:pageBreakBefore w:val="0"/>
        <w:widowControl w:val="0"/>
        <w:tabs>
          <w:tab w:val="left" w:pos="645"/>
          <w:tab w:val="center" w:pos="4153"/>
        </w:tabs>
        <w:kinsoku/>
        <w:wordWrap/>
        <w:overflowPunct/>
        <w:topLinePunct w:val="0"/>
        <w:autoSpaceDE/>
        <w:autoSpaceDN/>
        <w:bidi w:val="0"/>
        <w:spacing w:line="520" w:lineRule="exact"/>
        <w:jc w:val="left"/>
        <w:textAlignment w:val="auto"/>
        <w:rPr>
          <w:rFonts w:hint="eastAsia" w:ascii="仿宋_GB2312" w:hAnsi="仿宋_GB2312" w:eastAsia="仿宋_GB2312" w:cs="仿宋_GB2312"/>
          <w:sz w:val="32"/>
          <w:szCs w:val="32"/>
        </w:rPr>
      </w:pPr>
    </w:p>
    <w:p>
      <w:pPr>
        <w:keepNext/>
        <w:keepLines w:val="0"/>
        <w:pageBreakBefore w:val="0"/>
        <w:widowControl w:val="0"/>
        <w:tabs>
          <w:tab w:val="left" w:pos="645"/>
          <w:tab w:val="center" w:pos="4153"/>
        </w:tabs>
        <w:kinsoku/>
        <w:wordWrap/>
        <w:overflowPunct/>
        <w:topLinePunct w:val="0"/>
        <w:autoSpaceDE/>
        <w:autoSpaceDN/>
        <w:bidi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keepLines w:val="0"/>
        <w:pageBreakBefore w:val="0"/>
        <w:widowControl w:val="0"/>
        <w:tabs>
          <w:tab w:val="left" w:pos="645"/>
          <w:tab w:val="center" w:pos="4153"/>
        </w:tabs>
        <w:kinsoku/>
        <w:wordWrap/>
        <w:overflowPunct/>
        <w:topLinePunct w:val="0"/>
        <w:autoSpaceDE/>
        <w:autoSpaceDN/>
        <w:bidi w:val="0"/>
        <w:spacing w:line="520" w:lineRule="exact"/>
        <w:jc w:val="left"/>
        <w:textAlignment w:val="auto"/>
        <w:rPr>
          <w:rFonts w:hint="eastAsia" w:ascii="仿宋_GB2312" w:hAnsi="仿宋_GB2312" w:eastAsia="仿宋_GB2312" w:cs="仿宋_GB2312"/>
          <w:sz w:val="32"/>
          <w:szCs w:val="32"/>
        </w:rPr>
      </w:pPr>
    </w:p>
    <w:p>
      <w:pPr>
        <w:keepNext/>
        <w:keepLines w:val="0"/>
        <w:pageBreakBefore w:val="0"/>
        <w:widowControl w:val="0"/>
        <w:kinsoku/>
        <w:wordWrap/>
        <w:overflowPunct/>
        <w:topLinePunct w:val="0"/>
        <w:autoSpaceDE/>
        <w:autoSpaceDN/>
        <w:bidi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怀化市生态环境局芷江分局</w:t>
      </w:r>
    </w:p>
    <w:p>
      <w:pPr>
        <w:keepNext/>
        <w:keepLines w:val="0"/>
        <w:pageBreakBefore w:val="0"/>
        <w:widowControl w:val="0"/>
        <w:tabs>
          <w:tab w:val="left" w:pos="4735"/>
        </w:tabs>
        <w:kinsoku/>
        <w:wordWrap/>
        <w:overflowPunct/>
        <w:topLinePunct w:val="0"/>
        <w:autoSpaceDE/>
        <w:autoSpaceDN/>
        <w:bidi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日</w:t>
      </w:r>
    </w:p>
    <w:p/>
    <w:sectPr>
      <w:headerReference r:id="rId3" w:type="default"/>
      <w:footerReference r:id="rId4" w:type="default"/>
      <w:footerReference r:id="rId5" w:type="even"/>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hakuyoxingshu7000"/>
    <w:panose1 w:val="00000000000000000000"/>
    <w:charset w:val="86"/>
    <w:family w:val="auto"/>
    <w:pitch w:val="default"/>
    <w:sig w:usb0="00000000" w:usb1="00000000" w:usb2="00000000" w:usb3="00000000" w:csb0="0004009F" w:csb1="DFD70000"/>
  </w:font>
  <w:font w:name="hakuyoxingshu7000">
    <w:panose1 w:val="02000600000000000000"/>
    <w:charset w:val="86"/>
    <w:family w:val="auto"/>
    <w:pitch w:val="default"/>
    <w:sig w:usb0="FFFFFFFF" w:usb1="E9FFFFFF" w:usb2="0000003F" w:usb3="00000000" w:csb0="603F00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FDD8C"/>
    <w:multiLevelType w:val="singleLevel"/>
    <w:tmpl w:val="AACFDD8C"/>
    <w:lvl w:ilvl="0" w:tentative="0">
      <w:start w:val="5"/>
      <w:numFmt w:val="chineseCounting"/>
      <w:suff w:val="nothing"/>
      <w:lvlText w:val="%1、"/>
      <w:lvlJc w:val="left"/>
      <w:pPr>
        <w:ind w:left="8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M4Y2M4MjY5MDE3MGQ4ZGU3NmViOGU4ZmNlMzFiZmQifQ=="/>
  </w:docVars>
  <w:rsids>
    <w:rsidRoot w:val="00AB3CF0"/>
    <w:rsid w:val="000A5E0F"/>
    <w:rsid w:val="0014394F"/>
    <w:rsid w:val="001F5F24"/>
    <w:rsid w:val="002326D6"/>
    <w:rsid w:val="0029016A"/>
    <w:rsid w:val="002B19D5"/>
    <w:rsid w:val="002F0859"/>
    <w:rsid w:val="003010D5"/>
    <w:rsid w:val="003466B7"/>
    <w:rsid w:val="00356E8A"/>
    <w:rsid w:val="00381B02"/>
    <w:rsid w:val="00383C93"/>
    <w:rsid w:val="00397D2C"/>
    <w:rsid w:val="003B37B7"/>
    <w:rsid w:val="003D4E09"/>
    <w:rsid w:val="00440841"/>
    <w:rsid w:val="004953D3"/>
    <w:rsid w:val="004D6470"/>
    <w:rsid w:val="004E4F06"/>
    <w:rsid w:val="004F1E06"/>
    <w:rsid w:val="005279F3"/>
    <w:rsid w:val="0054024E"/>
    <w:rsid w:val="00561EFB"/>
    <w:rsid w:val="006006A9"/>
    <w:rsid w:val="006651AB"/>
    <w:rsid w:val="00707E11"/>
    <w:rsid w:val="0071704B"/>
    <w:rsid w:val="008368EF"/>
    <w:rsid w:val="00925D77"/>
    <w:rsid w:val="009713C8"/>
    <w:rsid w:val="009A2955"/>
    <w:rsid w:val="009C27F9"/>
    <w:rsid w:val="009E480D"/>
    <w:rsid w:val="00A24702"/>
    <w:rsid w:val="00A30B14"/>
    <w:rsid w:val="00AB01A5"/>
    <w:rsid w:val="00AB3CF0"/>
    <w:rsid w:val="00AE00BA"/>
    <w:rsid w:val="00AF12ED"/>
    <w:rsid w:val="00BB30E7"/>
    <w:rsid w:val="00BC52FF"/>
    <w:rsid w:val="00BE6B0E"/>
    <w:rsid w:val="00BF66E9"/>
    <w:rsid w:val="00C0667E"/>
    <w:rsid w:val="00C37AAB"/>
    <w:rsid w:val="00D16D15"/>
    <w:rsid w:val="00F031C5"/>
    <w:rsid w:val="00F820F7"/>
    <w:rsid w:val="01B74C7E"/>
    <w:rsid w:val="046F1016"/>
    <w:rsid w:val="0BDA46D8"/>
    <w:rsid w:val="12822D7B"/>
    <w:rsid w:val="176F3E0B"/>
    <w:rsid w:val="21411D9D"/>
    <w:rsid w:val="22A537FA"/>
    <w:rsid w:val="34E83C50"/>
    <w:rsid w:val="4332390D"/>
    <w:rsid w:val="4C7402A3"/>
    <w:rsid w:val="4E322131"/>
    <w:rsid w:val="5FD37BF4"/>
    <w:rsid w:val="6A5544A8"/>
    <w:rsid w:val="715B3F99"/>
    <w:rsid w:val="73CD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unhideWhenUsed/>
    <w:qFormat/>
    <w:uiPriority w:val="0"/>
    <w:pPr>
      <w:spacing w:after="120"/>
    </w:p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99"/>
    <w:rPr>
      <w:rFonts w:cs="Times New Roman"/>
    </w:rPr>
  </w:style>
  <w:style w:type="character" w:customStyle="1" w:styleId="10">
    <w:name w:val="正文文本 Char"/>
    <w:basedOn w:val="8"/>
    <w:link w:val="3"/>
    <w:uiPriority w:val="99"/>
    <w:rPr>
      <w:rFonts w:ascii="Times New Roman" w:hAnsi="Times New Roman" w:eastAsia="宋体" w:cs="Times New Roman"/>
      <w:szCs w:val="24"/>
    </w:rPr>
  </w:style>
  <w:style w:type="character" w:customStyle="1" w:styleId="11">
    <w:name w:val="页脚 Char"/>
    <w:basedOn w:val="8"/>
    <w:link w:val="4"/>
    <w:qFormat/>
    <w:uiPriority w:val="99"/>
    <w:rPr>
      <w:rFonts w:ascii="Times New Roman" w:hAnsi="Times New Roman" w:eastAsia="宋体" w:cs="Times New Roman"/>
      <w:sz w:val="18"/>
      <w:szCs w:val="18"/>
    </w:rPr>
  </w:style>
  <w:style w:type="character" w:customStyle="1" w:styleId="12">
    <w:name w:val="页眉 Char"/>
    <w:basedOn w:val="8"/>
    <w:link w:val="5"/>
    <w:qFormat/>
    <w:uiPriority w:val="99"/>
    <w:rPr>
      <w:rFonts w:ascii="Times New Roman" w:hAnsi="Times New Roman" w:eastAsia="宋体" w:cs="Times New Roman"/>
      <w:sz w:val="18"/>
      <w:szCs w:val="18"/>
    </w:rPr>
  </w:style>
  <w:style w:type="character" w:customStyle="1" w:styleId="13">
    <w:name w:val="font01"/>
    <w:basedOn w:val="8"/>
    <w:qFormat/>
    <w:uiPriority w:val="99"/>
    <w:rPr>
      <w:rFonts w:ascii="宋体" w:hAnsi="宋体" w:eastAsia="宋体" w:cs="宋体"/>
      <w:color w:val="000000"/>
      <w:sz w:val="20"/>
      <w:szCs w:val="20"/>
      <w:u w:val="none"/>
    </w:rPr>
  </w:style>
  <w:style w:type="character" w:customStyle="1" w:styleId="14">
    <w:name w:val="font21"/>
    <w:basedOn w:val="8"/>
    <w:qFormat/>
    <w:uiPriority w:val="99"/>
    <w:rPr>
      <w:rFonts w:ascii="仿宋_GB2312" w:eastAsia="仿宋_GB2312" w:cs="仿宋_GB2312"/>
      <w:color w:val="000000"/>
      <w:sz w:val="20"/>
      <w:szCs w:val="20"/>
      <w:u w:val="none"/>
    </w:rPr>
  </w:style>
  <w:style w:type="character" w:customStyle="1" w:styleId="15">
    <w:name w:val="标题 3 Char"/>
    <w:basedOn w:val="8"/>
    <w:link w:val="2"/>
    <w:qFormat/>
    <w:uiPriority w:val="0"/>
    <w:rPr>
      <w:rFonts w:ascii="宋体" w:hAnsi="宋体" w:eastAsia="宋体" w:cs="Times New Roman"/>
      <w:b/>
      <w:kern w:val="0"/>
      <w:sz w:val="27"/>
      <w:szCs w:val="2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8214</Words>
  <Characters>8773</Characters>
  <Lines>66</Lines>
  <Paragraphs>18</Paragraphs>
  <TotalTime>324</TotalTime>
  <ScaleCrop>false</ScaleCrop>
  <LinksUpToDate>false</LinksUpToDate>
  <CharactersWithSpaces>9148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2021-06-29T07:31:00Z</dcterms:created>
  <dc:creator>Administrator</dc:creator>
  <cp:lastModifiedBy>Administrator</cp:lastModifiedBy>
  <cp:lastPrinted>2021-07-09T00:34:00Z</cp:lastPrinted>
  <dcterms:modified xsi:type="dcterms:W3CDTF">2022-06-16T03:21:20Z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6EC20C0DAABE40CB88AB6531556DE440</vt:lpwstr>
  </property>
</Properties>
</file>