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84" w:rsidRDefault="006E5784">
      <w:pPr>
        <w:pStyle w:val="a3"/>
        <w:spacing w:line="720" w:lineRule="auto"/>
        <w:jc w:val="center"/>
        <w:rPr>
          <w:rFonts w:cs="宋体"/>
          <w:sz w:val="32"/>
          <w:szCs w:val="32"/>
        </w:rPr>
      </w:pPr>
    </w:p>
    <w:p w:rsidR="006E5784" w:rsidRDefault="006E5784">
      <w:pPr>
        <w:pStyle w:val="a3"/>
        <w:spacing w:line="720" w:lineRule="auto"/>
        <w:jc w:val="center"/>
        <w:rPr>
          <w:rFonts w:cs="宋体"/>
          <w:sz w:val="32"/>
          <w:szCs w:val="32"/>
        </w:rPr>
      </w:pPr>
    </w:p>
    <w:p w:rsidR="006E5784" w:rsidRDefault="006E5784">
      <w:pPr>
        <w:pStyle w:val="a3"/>
        <w:spacing w:line="720" w:lineRule="auto"/>
        <w:jc w:val="center"/>
        <w:rPr>
          <w:rFonts w:cs="宋体"/>
          <w:sz w:val="32"/>
          <w:szCs w:val="32"/>
        </w:rPr>
      </w:pPr>
    </w:p>
    <w:p w:rsidR="006E5784" w:rsidRDefault="006E5784">
      <w:pPr>
        <w:pStyle w:val="a3"/>
        <w:spacing w:line="720" w:lineRule="auto"/>
        <w:jc w:val="center"/>
        <w:rPr>
          <w:rFonts w:cs="宋体"/>
          <w:sz w:val="32"/>
          <w:szCs w:val="32"/>
        </w:rPr>
      </w:pPr>
    </w:p>
    <w:p w:rsidR="006E5784" w:rsidRDefault="003C0A15">
      <w:pPr>
        <w:pStyle w:val="a3"/>
        <w:spacing w:line="720" w:lineRule="auto"/>
        <w:jc w:val="center"/>
        <w:rPr>
          <w:rFonts w:ascii="仿宋" w:eastAsia="仿宋" w:hAnsi="仿宋" w:cs="Times New Roman"/>
          <w:sz w:val="32"/>
          <w:szCs w:val="32"/>
        </w:rPr>
      </w:pPr>
      <w:r>
        <w:rPr>
          <w:rFonts w:ascii="仿宋" w:eastAsia="仿宋" w:hAnsi="仿宋" w:cs="Times New Roman" w:hint="eastAsia"/>
          <w:sz w:val="32"/>
          <w:szCs w:val="32"/>
        </w:rPr>
        <w:t>芷林发[2021]11号</w:t>
      </w:r>
    </w:p>
    <w:p w:rsidR="006E5784" w:rsidRDefault="006E5784">
      <w:pPr>
        <w:jc w:val="center"/>
        <w:rPr>
          <w:rFonts w:ascii="黑体" w:eastAsia="黑体" w:hAnsi="黑体" w:cs="Times New Roman"/>
          <w:bCs/>
        </w:rPr>
      </w:pPr>
    </w:p>
    <w:p w:rsidR="006E5784" w:rsidRDefault="003C0A15">
      <w:pPr>
        <w:jc w:val="center"/>
        <w:rPr>
          <w:rFonts w:ascii="黑体" w:eastAsia="黑体" w:hAnsi="黑体" w:cs="Times New Roman"/>
          <w:b/>
          <w:bCs/>
          <w:sz w:val="44"/>
          <w:szCs w:val="44"/>
        </w:rPr>
      </w:pPr>
      <w:r>
        <w:rPr>
          <w:rFonts w:ascii="黑体" w:eastAsia="黑体" w:hAnsi="黑体" w:cs="Times New Roman" w:hint="eastAsia"/>
          <w:b/>
          <w:bCs/>
          <w:sz w:val="44"/>
          <w:szCs w:val="44"/>
        </w:rPr>
        <w:t>芷江侗族自治县林业局</w:t>
      </w:r>
    </w:p>
    <w:p w:rsidR="006E5784" w:rsidRDefault="003C0A15">
      <w:pPr>
        <w:jc w:val="center"/>
        <w:rPr>
          <w:rFonts w:ascii="黑体" w:eastAsia="黑体" w:hAnsi="黑体" w:cs="Times New Roman"/>
          <w:b/>
          <w:bCs/>
          <w:sz w:val="44"/>
          <w:szCs w:val="44"/>
        </w:rPr>
      </w:pPr>
      <w:r>
        <w:rPr>
          <w:rFonts w:ascii="黑体" w:eastAsia="黑体" w:hAnsi="黑体" w:cs="Times New Roman" w:hint="eastAsia"/>
          <w:b/>
          <w:bCs/>
          <w:sz w:val="44"/>
          <w:szCs w:val="44"/>
        </w:rPr>
        <w:t>2020年度部门整体支出绩效评价</w:t>
      </w:r>
    </w:p>
    <w:p w:rsidR="006E5784" w:rsidRDefault="006E5784">
      <w:pPr>
        <w:spacing w:line="560" w:lineRule="exact"/>
        <w:jc w:val="center"/>
        <w:rPr>
          <w:rFonts w:ascii="仿宋" w:eastAsia="仿宋" w:hAnsi="仿宋"/>
          <w:b/>
          <w:color w:val="000000"/>
          <w:sz w:val="36"/>
          <w:szCs w:val="36"/>
        </w:rPr>
      </w:pP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为进一步规范财政资金管理，强</w:t>
      </w:r>
      <w:bookmarkStart w:id="0" w:name="_GoBack"/>
      <w:bookmarkEnd w:id="0"/>
      <w:r>
        <w:rPr>
          <w:rFonts w:ascii="仿宋" w:eastAsia="仿宋" w:hAnsi="仿宋" w:hint="eastAsia"/>
          <w:sz w:val="32"/>
          <w:szCs w:val="32"/>
        </w:rPr>
        <w:t xml:space="preserve">化部门责任意识，切实提高财政资金使用效益，根据《预算法》关于“各级政府、各部门、各单位应当对预算支出情况开展绩效评价”的规定，根据《芷江侗族自治县财政局关于开展2020年度财政资金绩效工作的通知》（芷财绩[2021]1号）文件的要求，我局对部门整体支出进行了绩效评价,现将有关情况报告如下： </w:t>
      </w:r>
    </w:p>
    <w:p w:rsidR="006E5784" w:rsidRDefault="003C0A15">
      <w:pPr>
        <w:spacing w:line="640" w:lineRule="exact"/>
        <w:ind w:firstLineChars="200" w:firstLine="643"/>
        <w:rPr>
          <w:rFonts w:ascii="黑体" w:eastAsia="黑体" w:hAnsi="黑体"/>
          <w:b/>
          <w:sz w:val="32"/>
          <w:szCs w:val="32"/>
        </w:rPr>
      </w:pPr>
      <w:r>
        <w:rPr>
          <w:rFonts w:ascii="黑体" w:eastAsia="黑体" w:hAnsi="黑体" w:hint="eastAsia"/>
          <w:b/>
          <w:sz w:val="32"/>
          <w:szCs w:val="32"/>
        </w:rPr>
        <w:t>一、评价依据</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1、《党政机关厉行节约反对浪费条例》、财政部《财政支出绩效评价管理暂行办法》（财预〔2011〕285号）、《中共湖</w:t>
      </w:r>
      <w:r>
        <w:rPr>
          <w:rFonts w:ascii="仿宋" w:eastAsia="仿宋" w:hAnsi="仿宋" w:hint="eastAsia"/>
          <w:sz w:val="32"/>
          <w:szCs w:val="32"/>
        </w:rPr>
        <w:lastRenderedPageBreak/>
        <w:t>南省委办公厅湖南省人民政府办公厅关于全面实施预算绩效管理的实施意见》（湘办发〔2019〕10号）、《芷江侗族自治县人民政府关于全面推进预算绩效管理的实施意见》（芷政发[2014]8号）、《芷江侗族自治县财政支出绩效评价管理暂行办法》（芷财绩[2014]4号）。</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2、相关专项资金绩效目标、专项资金及项目管理办法。</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3、中央、省相关政策规定和财务会计制度。</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4、部门预算及决算报告、项目审计报告和验收报告等。</w:t>
      </w:r>
    </w:p>
    <w:p w:rsidR="006E5784" w:rsidRDefault="003C0A15">
      <w:pPr>
        <w:spacing w:line="640" w:lineRule="exact"/>
        <w:ind w:firstLineChars="200" w:firstLine="643"/>
        <w:rPr>
          <w:rFonts w:ascii="黑体" w:eastAsia="黑体" w:hAnsi="黑体"/>
          <w:b/>
          <w:sz w:val="32"/>
          <w:szCs w:val="32"/>
        </w:rPr>
      </w:pPr>
      <w:r>
        <w:rPr>
          <w:rFonts w:ascii="黑体" w:eastAsia="黑体" w:hAnsi="黑体" w:hint="eastAsia"/>
          <w:b/>
          <w:sz w:val="32"/>
          <w:szCs w:val="32"/>
        </w:rPr>
        <w:t>二、评价内容</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t>（一）专项资金绩效评价</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2020年专项资金3806.07万元，分别为节能环保支出450.91万;城乡社区支出299.93万元；农林水支出3044.19万元;抗疫特别国债安排的支出11.03万元。</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各专项经费执行专款专用，使用率100%。完成0.55万亩用材林人工造林，无林地封山育林1万亩，退化林修复1万亩，中幼林抚育4万亩。全县商品林116万亩，公益林面积69万亩，全县森林覆盖率70.28%，公益林护林员110人，生态护林员394人。专项资金管理规范，能按时、按质、按量完成项目任务，没有浪费或套取资金等行为。</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lastRenderedPageBreak/>
        <w:t>（二）部门整体支出绩效评价</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1、收入情况：2020年收入1426.37万元，其中：财政拨款收入1317.77万元，非税收入108.6万元。</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2、支出情况：2020年基本支出1992.54万元。其中：工资福利支出1257.82万元，商品和服务支出300.96万元，对个人和家庭补助支出410.93万元，其他资本性支出4.65万元。</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商品和服务支出中“三公经费”支出，公务接待费是7.6万元(标准为15万元)，公务车辆运行维护费3.9万元(标准为15万元)没有因公出国（境）费用，2020年度“三公经费</w:t>
      </w:r>
      <w:r>
        <w:rPr>
          <w:rFonts w:ascii="仿宋" w:eastAsia="仿宋" w:hAnsi="仿宋"/>
          <w:sz w:val="32"/>
          <w:szCs w:val="32"/>
        </w:rPr>
        <w:t>”</w:t>
      </w:r>
      <w:r>
        <w:rPr>
          <w:rFonts w:ascii="仿宋" w:eastAsia="仿宋" w:hAnsi="仿宋" w:hint="eastAsia"/>
          <w:sz w:val="32"/>
          <w:szCs w:val="32"/>
        </w:rPr>
        <w:t>严格按照财政规定执行，没有突破控制数。</w:t>
      </w:r>
    </w:p>
    <w:p w:rsidR="006E5784" w:rsidRDefault="003C0A15">
      <w:pPr>
        <w:spacing w:line="640" w:lineRule="exact"/>
        <w:ind w:firstLineChars="200" w:firstLine="643"/>
        <w:rPr>
          <w:rFonts w:ascii="黑体" w:eastAsia="黑体" w:hAnsi="黑体"/>
          <w:b/>
          <w:sz w:val="32"/>
          <w:szCs w:val="32"/>
        </w:rPr>
      </w:pPr>
      <w:r>
        <w:rPr>
          <w:rFonts w:ascii="黑体" w:eastAsia="黑体" w:hAnsi="黑体" w:hint="eastAsia"/>
          <w:b/>
          <w:sz w:val="32"/>
          <w:szCs w:val="32"/>
        </w:rPr>
        <w:t>三、整体支出绩效情况</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2020年我局总支出5798.61万元，其中基本支出1992.54万元，占总支出51%，林业项目支出3806.07万元，占总支出的49%。从以下各项指标也可以看出我局从履行本部门职能上的效益：</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t>1、森林资源变化</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森林资源的变化主要体现在森林资源活立木蓄积量的增长。生态公益林区的树木都在生长，因植物年生长量体现在木材的生长量，故主要计算森林生产活立木的价值。根据全国主要树种标</w:t>
      </w:r>
      <w:r>
        <w:rPr>
          <w:rFonts w:ascii="仿宋" w:eastAsia="仿宋" w:hAnsi="仿宋" w:hint="eastAsia"/>
          <w:sz w:val="32"/>
          <w:szCs w:val="32"/>
        </w:rPr>
        <w:lastRenderedPageBreak/>
        <w:t>准序列立木林价和湖南省林分净生长量标准，林木成熟期20年，亩平均蓄积达到15立方米，出材10立方米，每立方米价值800元，经济效益达8000元左右。</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t>2、社会效益</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社会效益主要体现在：森林是旅游休养的最佳场所；森林是非常重要的教学、科研基地；森林是文艺创作的源泉；森林是爱国主义教育的基地。</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促进旅游发展，提高林农收入。“山水之美，古来共谈”(南朝陶景宏)。在传统中国社会，山水美就是“自然美”，就是理想美。因此，自然景观美，不仅是促发旅游动机的主要动因，而且是旅游审美活动的主要对象。茂密的森林可以满足人们精神需求、陶冶情操、提高健康水平，是精神文明建设的重要组成部分，如现下比较流行的回归大自然的生态旅游热。此外，林业也为社会提供大量的就业岗位。林业的发展同时也能增加山区农民收入，为农民提供致富的途径，促进“三农”问题的解决，比如说可为1万余亩农田稳产、高产提供保障条件。促进林业增产、林农增收，进行森林管护可为林农提供2.25万余个用工日的就业机会。项目实施以来，改善我县树种结构单一的境况，对促进农村经济繁荣，社会经济发展及社会稳定具有重要的意义。</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lastRenderedPageBreak/>
        <w:t>3、生态效益</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①森林在维护生态平衡和国土安全中处于其它任何生态系统都无可替代的主体地位，生态安全是国土安全的前提。</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②森林能提高大气质量：一是能有效地减缓温室效应；二是主要的氧源；三是可减少氧层的耗损；四是可净化空气；五是有调节温度的功能是森林能有效保护生物多样性。</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③森林与物种多样性、生态系统多样性、遗传多样性息息相关，地球上有一半以上的生物在森林中栖息繁衍。</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④森林可防止水土流失，土壤对降水有极强的吸收和渗透作用森林土壤的稳渗速率一般在200mm/h,比世界上最大的降雨60mm/h还要大得多。森林的枯枝落叶层不仅可以吸收2—5mm的降水，还可以保护土壤免遭雨滴的冲击。</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⑤森林可防止地力衰退，森林的根系能固持土壤，涵养水源，保持水土，吸收利用盐分；枯枝落叶可增加有机质、腐殖质，能有效地改善土壤结构，提高土壤肥力。</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⑥森林能缓解水资源危机，是“绿色水库”。森林及其土壤像“海绵”一样可吸收大量的降水，并阻止和减轻洪水灾害。森林可以促进水分循环和影响大气环流，增加降水，起“空中水库”的作用。</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⑦森林能消除噪声污染。</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⑧能有效遏止沙漠化，林网超过10％,沙地植被盖度超过0.3，沙暴的危害就会减少到最小限度。</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t>4、可持续影响</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林业生态项目的实施，既保护了芷江县的生态环境，又增加了林农的收入，同时还产生了一定的社会效益。林区稳定，林农安心；持续发挥生态作用显著；对增加森林覆盖率、提高活立木蓄积、涵养水源、净化空气、对生态环境的保护将起到积极的作用。</w:t>
      </w:r>
    </w:p>
    <w:p w:rsidR="006E5784" w:rsidRDefault="003C0A15" w:rsidP="00467E8B">
      <w:pPr>
        <w:spacing w:line="640" w:lineRule="exact"/>
        <w:ind w:firstLineChars="200" w:firstLine="643"/>
        <w:rPr>
          <w:rFonts w:ascii="仿宋" w:eastAsia="仿宋" w:hAnsi="仿宋"/>
          <w:b/>
          <w:sz w:val="32"/>
          <w:szCs w:val="32"/>
        </w:rPr>
      </w:pPr>
      <w:r>
        <w:rPr>
          <w:rFonts w:ascii="仿宋" w:eastAsia="仿宋" w:hAnsi="仿宋" w:hint="eastAsia"/>
          <w:b/>
          <w:sz w:val="32"/>
          <w:szCs w:val="32"/>
        </w:rPr>
        <w:t>5、满意度指标完成情况</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林业项目的实施，营造了林区良好的生态环境及稳定的社会环境，我县林业生态、经济和社会明显增强，在很大程度上做到了让群众满意，让他们安心为绿美芷江的建设积极努力。各方面的满意度均为100%。</w:t>
      </w:r>
    </w:p>
    <w:p w:rsidR="006E5784" w:rsidRDefault="003C0A15">
      <w:pPr>
        <w:spacing w:line="640" w:lineRule="exact"/>
        <w:ind w:firstLineChars="200" w:firstLine="643"/>
        <w:rPr>
          <w:rFonts w:ascii="黑体" w:eastAsia="黑体" w:hAnsi="黑体"/>
          <w:b/>
          <w:sz w:val="32"/>
          <w:szCs w:val="32"/>
        </w:rPr>
      </w:pPr>
      <w:r>
        <w:rPr>
          <w:rFonts w:ascii="黑体" w:eastAsia="黑体" w:hAnsi="黑体" w:hint="eastAsia"/>
          <w:b/>
          <w:sz w:val="32"/>
          <w:szCs w:val="32"/>
        </w:rPr>
        <w:t>四、绩效指标分析</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我局部门整体支出绩效得分为98分。扣分在公用经费使用率方面，因为年初预算为1426.37万元(人员经费1326.69万元,日常公用经费99.68万元)，而年终决算数是1992.54(人员经费1686.94万元,日常公用经费305.6万元)。年终决算数比年初预</w:t>
      </w:r>
      <w:r>
        <w:rPr>
          <w:rFonts w:ascii="仿宋" w:eastAsia="仿宋" w:hAnsi="仿宋" w:hint="eastAsia"/>
          <w:sz w:val="32"/>
          <w:szCs w:val="32"/>
        </w:rPr>
        <w:lastRenderedPageBreak/>
        <w:t>算超出566.17万元，主要是用于干部职工的绩效奖、工资进级、住房公积金、医疗保险、工会经费、退休人员的慰问金、抚恤金等各方面的开支，因超出预算原因，所以此项导致扣分，但较2019年有所改进，控制率由2019年156%到2020年的139%。三公经费控制率方面，由于年初预算数过低，2020年三公经费年初预算为7万元，而年终决算数是11.5万元，预算控制率不理想，但2020年三公经费支出仅为2019年22.46万元的51%，全年控制数30万元的38%，故此项记满分。</w:t>
      </w:r>
    </w:p>
    <w:p w:rsidR="006E5784" w:rsidRDefault="006E5784">
      <w:pPr>
        <w:spacing w:line="640" w:lineRule="exact"/>
        <w:ind w:firstLineChars="200" w:firstLine="640"/>
        <w:rPr>
          <w:rFonts w:ascii="仿宋" w:eastAsia="仿宋" w:hAnsi="仿宋"/>
          <w:sz w:val="32"/>
          <w:szCs w:val="32"/>
        </w:rPr>
      </w:pPr>
    </w:p>
    <w:p w:rsidR="006E5784" w:rsidRDefault="006E5784">
      <w:pPr>
        <w:spacing w:line="640" w:lineRule="exact"/>
        <w:ind w:firstLineChars="200" w:firstLine="640"/>
        <w:rPr>
          <w:rFonts w:ascii="仿宋" w:eastAsia="仿宋" w:hAnsi="仿宋"/>
          <w:sz w:val="32"/>
          <w:szCs w:val="32"/>
        </w:rPr>
      </w:pP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 xml:space="preserve">                           芷江侗族自治县林业局</w:t>
      </w:r>
    </w:p>
    <w:p w:rsidR="006E5784" w:rsidRDefault="003C0A15">
      <w:pPr>
        <w:spacing w:line="640" w:lineRule="exact"/>
        <w:ind w:firstLineChars="200" w:firstLine="640"/>
        <w:rPr>
          <w:rFonts w:ascii="仿宋" w:eastAsia="仿宋" w:hAnsi="仿宋"/>
          <w:sz w:val="32"/>
          <w:szCs w:val="32"/>
        </w:rPr>
      </w:pPr>
      <w:r>
        <w:rPr>
          <w:rFonts w:ascii="仿宋" w:eastAsia="仿宋" w:hAnsi="仿宋" w:hint="eastAsia"/>
          <w:sz w:val="32"/>
          <w:szCs w:val="32"/>
        </w:rPr>
        <w:t xml:space="preserve">                              202</w:t>
      </w:r>
      <w:r w:rsidR="00467E8B">
        <w:rPr>
          <w:rFonts w:ascii="仿宋" w:eastAsia="仿宋" w:hAnsi="仿宋" w:hint="eastAsia"/>
          <w:sz w:val="32"/>
          <w:szCs w:val="32"/>
        </w:rPr>
        <w:t>1</w:t>
      </w:r>
      <w:r>
        <w:rPr>
          <w:rFonts w:ascii="仿宋" w:eastAsia="仿宋" w:hAnsi="仿宋" w:hint="eastAsia"/>
          <w:sz w:val="32"/>
          <w:szCs w:val="32"/>
        </w:rPr>
        <w:t>年7月5日</w:t>
      </w:r>
    </w:p>
    <w:p w:rsidR="006E5784" w:rsidRDefault="006E5784">
      <w:pPr>
        <w:spacing w:line="640" w:lineRule="exact"/>
        <w:sectPr w:rsidR="006E5784">
          <w:pgSz w:w="11906" w:h="16838"/>
          <w:pgMar w:top="2098" w:right="1531" w:bottom="1985" w:left="1531" w:header="851" w:footer="992" w:gutter="0"/>
          <w:cols w:space="425"/>
          <w:docGrid w:type="lines" w:linePitch="312"/>
        </w:sectPr>
      </w:pPr>
    </w:p>
    <w:p w:rsidR="006E5784" w:rsidRDefault="006E5784"/>
    <w:p w:rsidR="006E5784" w:rsidRDefault="003C0A15">
      <w:pPr>
        <w:tabs>
          <w:tab w:val="left" w:pos="1575"/>
          <w:tab w:val="left" w:pos="2070"/>
          <w:tab w:val="left" w:pos="3150"/>
          <w:tab w:val="left" w:pos="3630"/>
          <w:tab w:val="left" w:pos="6255"/>
          <w:tab w:val="left" w:pos="9435"/>
        </w:tabs>
        <w:jc w:val="left"/>
        <w:rPr>
          <w:rFonts w:ascii="宋体" w:eastAsia="宋体" w:hAnsi="宋体" w:cs="宋体"/>
          <w:color w:val="000000"/>
          <w:sz w:val="24"/>
        </w:rPr>
      </w:pPr>
      <w:r>
        <w:rPr>
          <w:rFonts w:ascii="黑体" w:eastAsia="黑体" w:hAnsi="宋体" w:cs="黑体" w:hint="eastAsia"/>
          <w:color w:val="000000"/>
          <w:kern w:val="0"/>
          <w:sz w:val="24"/>
        </w:rPr>
        <w:t>附件2</w:t>
      </w:r>
    </w:p>
    <w:p w:rsidR="006E5784" w:rsidRDefault="003C0A15">
      <w:pPr>
        <w:widowControl/>
        <w:jc w:val="center"/>
        <w:textAlignment w:val="top"/>
        <w:rPr>
          <w:rFonts w:ascii="方正小标宋_GBK" w:eastAsia="方正小标宋_GBK" w:hAnsi="方正小标宋_GBK" w:cs="方正小标宋_GBK"/>
          <w:b/>
          <w:color w:val="000000"/>
          <w:sz w:val="36"/>
          <w:szCs w:val="36"/>
        </w:rPr>
      </w:pPr>
      <w:r>
        <w:rPr>
          <w:rFonts w:ascii="方正小标宋_GBK" w:eastAsia="方正小标宋_GBK" w:hAnsi="方正小标宋_GBK" w:cs="方正小标宋_GBK" w:hint="eastAsia"/>
          <w:b/>
          <w:color w:val="000000"/>
          <w:kern w:val="0"/>
          <w:sz w:val="36"/>
          <w:szCs w:val="36"/>
        </w:rPr>
        <w:t>部门整体支出绩效评价指标表</w:t>
      </w:r>
    </w:p>
    <w:tbl>
      <w:tblPr>
        <w:tblW w:w="9756" w:type="dxa"/>
        <w:tblCellMar>
          <w:left w:w="0" w:type="dxa"/>
          <w:right w:w="0" w:type="dxa"/>
        </w:tblCellMar>
        <w:tblLook w:val="04A0"/>
      </w:tblPr>
      <w:tblGrid>
        <w:gridCol w:w="585"/>
        <w:gridCol w:w="510"/>
        <w:gridCol w:w="480"/>
        <w:gridCol w:w="495"/>
        <w:gridCol w:w="1080"/>
        <w:gridCol w:w="480"/>
        <w:gridCol w:w="2339"/>
        <w:gridCol w:w="3322"/>
        <w:gridCol w:w="465"/>
      </w:tblGrid>
      <w:tr w:rsidR="006E5784" w:rsidRPr="005C76AC">
        <w:trPr>
          <w:trHeight w:val="285"/>
        </w:trPr>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一级指标</w:t>
            </w:r>
          </w:p>
        </w:tc>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分值</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二级指标</w:t>
            </w: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分值</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三级</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分值</w:t>
            </w:r>
          </w:p>
        </w:tc>
        <w:tc>
          <w:tcPr>
            <w:tcW w:w="23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评价标准</w:t>
            </w:r>
          </w:p>
        </w:tc>
        <w:tc>
          <w:tcPr>
            <w:tcW w:w="33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指标说明③相关管理制度合法、合规、完整，2分；④相关管理制度得到有效执行，2分。</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得分</w:t>
            </w:r>
          </w:p>
        </w:tc>
      </w:tr>
      <w:tr w:rsidR="006E5784" w:rsidRPr="005C76AC">
        <w:trPr>
          <w:trHeight w:val="63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指标</w:t>
            </w: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1260"/>
        </w:trPr>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投入</w:t>
            </w:r>
          </w:p>
        </w:tc>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13</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预算配置</w:t>
            </w: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13</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在职人员控制率</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c>
          <w:tcPr>
            <w:tcW w:w="233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以100%为标准。在职人员控制率</w:t>
            </w:r>
            <w:r w:rsidRPr="005C76AC">
              <w:rPr>
                <w:rFonts w:ascii="仿宋" w:eastAsia="仿宋" w:hAnsi="仿宋" w:cs="仿宋"/>
                <w:kern w:val="0"/>
                <w:sz w:val="24"/>
              </w:rPr>
              <w:t>≦100%，计5分；每超过一个百分点扣0.5分，扣完为止。</w:t>
            </w:r>
          </w:p>
        </w:tc>
        <w:tc>
          <w:tcPr>
            <w:tcW w:w="33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在职人员控制率=（在职人员数/编制数）×100%，在职人员数：部门（单位）实际在职人数，以财政确定的部门决算编制口径为准。</w:t>
            </w:r>
          </w:p>
        </w:tc>
        <w:tc>
          <w:tcPr>
            <w:tcW w:w="46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r>
      <w:tr w:rsidR="006E5784" w:rsidRPr="005C76AC">
        <w:trPr>
          <w:trHeight w:val="421"/>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112/130=86%</w:t>
            </w:r>
          </w:p>
        </w:tc>
        <w:tc>
          <w:tcPr>
            <w:tcW w:w="4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142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“三公经费”变动率</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“三公经费”变动率</w:t>
            </w:r>
            <w:r w:rsidRPr="005C76AC">
              <w:rPr>
                <w:rFonts w:ascii="仿宋" w:eastAsia="仿宋" w:hAnsi="仿宋" w:cs="仿宋"/>
                <w:kern w:val="0"/>
                <w:sz w:val="24"/>
              </w:rPr>
              <w:t>≦0,计8分；“三公经费”＞0，每超过一个百分点扣0.8分，扣完为止。</w:t>
            </w:r>
          </w:p>
        </w:tc>
        <w:tc>
          <w:tcPr>
            <w:tcW w:w="332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“三公经费”变动率=[（本年度“三公经费”预算数7万元-上年度“三公经费”预算数30万元）/上年度“三公经费”预算数30万元]×100%=-76.7%</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r>
      <w:tr w:rsidR="006E5784" w:rsidRPr="005C76AC">
        <w:trPr>
          <w:trHeight w:val="1460"/>
        </w:trPr>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过                                                                                                                                       程</w:t>
            </w:r>
          </w:p>
        </w:tc>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61</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预算执行</w:t>
            </w: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20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预算完成率</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100%计满分，每低于5%扣2分，扣完为止。</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预算完成率=（上年结转0万元+年初预算1426.37万元+本年追加预算0万元-年末结余0）/（上年结转0万元+年初预算1426.37万元+本年追加预算0万元）×100%=100%</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r>
      <w:tr w:rsidR="006E5784" w:rsidRPr="005C76AC">
        <w:trPr>
          <w:trHeight w:val="135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预算控制率</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预算控制率=0，计5分；0-10%（含），计4分；10-20%（含），计3分；20-30%（含），计2分；大于30%不得分。</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预算控制率=（本年追加预算0万元/年初预算1426.37万元）×100%=0</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r>
      <w:tr w:rsidR="006E5784" w:rsidRPr="005C76AC">
        <w:trPr>
          <w:trHeight w:val="64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新建楼堂馆所面积控制率</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c>
          <w:tcPr>
            <w:tcW w:w="23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100%以下（含）计满分，每超出5%扣2分，扣完为止。没有楼堂馆所项目的部门按满分计算。</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楼堂馆所面积控制率=实际建设面积/批准建设面积×100% 。</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r>
      <w:tr w:rsidR="006E5784" w:rsidRPr="005C76AC">
        <w:trPr>
          <w:trHeight w:val="49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该指标以2020年完工的新建楼堂馆所为评价内容。</w:t>
            </w: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61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新建楼堂馆所投资概算控制</w:t>
            </w:r>
            <w:r w:rsidRPr="005C76AC">
              <w:rPr>
                <w:rFonts w:ascii="仿宋" w:eastAsia="仿宋" w:hAnsi="仿宋" w:cs="仿宋" w:hint="eastAsia"/>
                <w:color w:val="000000"/>
                <w:kern w:val="0"/>
                <w:sz w:val="24"/>
              </w:rPr>
              <w:lastRenderedPageBreak/>
              <w:t>率</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lastRenderedPageBreak/>
              <w:t>5</w:t>
            </w:r>
          </w:p>
        </w:tc>
        <w:tc>
          <w:tcPr>
            <w:tcW w:w="2339"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100%以下（含）计满分，每超出5%扣2分，扣完为止。</w:t>
            </w:r>
          </w:p>
        </w:tc>
        <w:tc>
          <w:tcPr>
            <w:tcW w:w="33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楼堂馆所投资预算控制率=实际投资金额/批准投资金额×100% 。</w:t>
            </w:r>
          </w:p>
        </w:tc>
        <w:tc>
          <w:tcPr>
            <w:tcW w:w="46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r>
      <w:tr w:rsidR="006E5784" w:rsidRPr="005C76AC">
        <w:trPr>
          <w:trHeight w:val="55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该指标以2020年完工的新建楼堂馆所为评价内容。</w:t>
            </w:r>
          </w:p>
        </w:tc>
        <w:tc>
          <w:tcPr>
            <w:tcW w:w="46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112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预算管理</w:t>
            </w: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41</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公用经费控制率</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100%以下（含）计满分，每超出1%扣1分，扣完为止。</w:t>
            </w:r>
          </w:p>
        </w:tc>
        <w:tc>
          <w:tcPr>
            <w:tcW w:w="332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公用经费控制率=（实际支出公用经费总额1992.54万元/预算安排公用经费总额1426.37万元）×100%=139%</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r>
      <w:tr w:rsidR="006E5784" w:rsidRPr="005C76AC">
        <w:trPr>
          <w:trHeight w:val="96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“三公经费”控制率</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100%以下（含）计满分，每超出1%扣1分，扣完为止。</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“三公经费”控制率-（“三公经费”实际支出数11.5万元户/“三公经费”预算安排数7万元）×100%=164%</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r>
      <w:tr w:rsidR="006E5784" w:rsidRPr="005C76AC">
        <w:trPr>
          <w:trHeight w:val="84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政府采购执行率</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100%计满分，每超过（降低）5%扣2分。扣完为止。</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政府采购执行率=（实际政府采购金额817.21万元/政府采购预算数817.21万元）×100%=100%</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r>
      <w:tr w:rsidR="006E5784" w:rsidRPr="005C76AC">
        <w:trPr>
          <w:trHeight w:val="780"/>
        </w:trPr>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过                                                                                                                                       程</w:t>
            </w:r>
          </w:p>
        </w:tc>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61</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预算管理</w:t>
            </w: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管理制度健全性</w:t>
            </w:r>
          </w:p>
        </w:tc>
        <w:tc>
          <w:tcPr>
            <w:tcW w:w="480"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c>
          <w:tcPr>
            <w:tcW w:w="233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①有内部财务管理制度、会计核算制度等管理制度，2分；</w:t>
            </w:r>
          </w:p>
        </w:tc>
        <w:tc>
          <w:tcPr>
            <w:tcW w:w="33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①有内部财务管理制度、会计核算制度等管理制度；②有本部门厉行节约制度,；③相关管理制度合法、合规、完整；④相关管理制度得到有效执行。</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r>
      <w:tr w:rsidR="006E5784" w:rsidRPr="005C76AC">
        <w:trPr>
          <w:trHeight w:val="58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nil"/>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②有本部门厉行节约制度,2分；</w:t>
            </w:r>
          </w:p>
        </w:tc>
        <w:tc>
          <w:tcPr>
            <w:tcW w:w="33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100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③相关管理制度合法、合规、完整，2分；④相关管理制度得到有效执行，2分。</w:t>
            </w:r>
          </w:p>
        </w:tc>
        <w:tc>
          <w:tcPr>
            <w:tcW w:w="33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250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资金使用合规性</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c>
          <w:tcPr>
            <w:tcW w:w="233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3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r>
      <w:tr w:rsidR="006E5784" w:rsidRPr="005C76AC">
        <w:trPr>
          <w:trHeight w:val="81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以上情况每出现一例不符合要求的扣1分，扣完为止。</w:t>
            </w:r>
          </w:p>
        </w:tc>
        <w:tc>
          <w:tcPr>
            <w:tcW w:w="3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220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预决算信息公开性</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预决算信息是指与部门预算、执行、决算、监督、绩效等管理相关的信息。</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5</w:t>
            </w:r>
          </w:p>
        </w:tc>
      </w:tr>
      <w:tr w:rsidR="006E5784" w:rsidRPr="005C76AC">
        <w:trPr>
          <w:trHeight w:val="1170"/>
        </w:trPr>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产出及效率</w:t>
            </w:r>
          </w:p>
        </w:tc>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26</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职责履行</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重点工作实际完成率</w:t>
            </w:r>
          </w:p>
        </w:tc>
        <w:tc>
          <w:tcPr>
            <w:tcW w:w="48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根据绩效办2020年对各部门重点民生实事和部门重点工程与重点工作考核分数折算。</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w:t>
            </w:r>
          </w:p>
        </w:tc>
      </w:tr>
      <w:tr w:rsidR="006E5784" w:rsidRPr="005C76AC">
        <w:trPr>
          <w:trHeight w:val="75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履职 效益</w:t>
            </w: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经济效益</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c>
          <w:tcPr>
            <w:tcW w:w="23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此两项指标为设置部门整体支出绩效评价指标时必须考虑的共性要素，可根据部门实际情况有选择的进行设置，并将其细化为相应的个性化指标。</w:t>
            </w:r>
          </w:p>
        </w:tc>
        <w:tc>
          <w:tcPr>
            <w:tcW w:w="332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r>
      <w:tr w:rsidR="006E5784" w:rsidRPr="005C76AC">
        <w:trPr>
          <w:trHeight w:val="79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社会效益</w:t>
            </w: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156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12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行政效能</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c>
          <w:tcPr>
            <w:tcW w:w="233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促进部门改进文风会风，加强经费及资产管理，推动网上办事，提高行政效率，降低行政成本效果较好的计6分；一般3分；无效果或者效果不明显0分。</w:t>
            </w:r>
          </w:p>
        </w:tc>
        <w:tc>
          <w:tcPr>
            <w:tcW w:w="3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根据部门自评材料评定(上级主管部门没有要求我们网上办事，此项记基本分)</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r>
      <w:tr w:rsidR="006E5784" w:rsidRPr="005C76AC">
        <w:trPr>
          <w:trHeight w:val="49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社会公众或服务对象满意度</w:t>
            </w:r>
          </w:p>
        </w:tc>
        <w:tc>
          <w:tcPr>
            <w:tcW w:w="480"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c>
          <w:tcPr>
            <w:tcW w:w="233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90%（含）以上计6分；</w:t>
            </w:r>
          </w:p>
        </w:tc>
        <w:tc>
          <w:tcPr>
            <w:tcW w:w="33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社会公众或服务对象是指部门（单位）履行职责而影响到的部门、群体或个人，一般采取社会调查的方式。</w:t>
            </w:r>
          </w:p>
        </w:tc>
        <w:tc>
          <w:tcPr>
            <w:tcW w:w="4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6</w:t>
            </w:r>
          </w:p>
        </w:tc>
      </w:tr>
      <w:tr w:rsidR="006E5784" w:rsidRPr="005C76AC">
        <w:trPr>
          <w:trHeight w:val="43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nil"/>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80%（含）-90%，计4分；</w:t>
            </w:r>
          </w:p>
        </w:tc>
        <w:tc>
          <w:tcPr>
            <w:tcW w:w="33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480"/>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nil"/>
              <w:left w:val="single" w:sz="4" w:space="0" w:color="000000"/>
              <w:bottom w:val="nil"/>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70%（含）-80%，计2分；</w:t>
            </w:r>
          </w:p>
        </w:tc>
        <w:tc>
          <w:tcPr>
            <w:tcW w:w="33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285"/>
        </w:trPr>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低于70%计0分。</w:t>
            </w:r>
          </w:p>
        </w:tc>
        <w:tc>
          <w:tcPr>
            <w:tcW w:w="332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r w:rsidR="006E5784" w:rsidRPr="005C76AC">
        <w:trPr>
          <w:trHeight w:val="3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得分</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E5784" w:rsidRPr="005C76AC" w:rsidRDefault="003C0A15">
            <w:pPr>
              <w:widowControl/>
              <w:jc w:val="center"/>
              <w:textAlignment w:val="center"/>
              <w:rPr>
                <w:rFonts w:ascii="仿宋" w:eastAsia="仿宋" w:hAnsi="仿宋" w:cs="仿宋"/>
                <w:color w:val="000000"/>
                <w:kern w:val="0"/>
                <w:sz w:val="24"/>
              </w:rPr>
            </w:pPr>
            <w:r w:rsidRPr="005C76AC">
              <w:rPr>
                <w:rFonts w:ascii="仿宋" w:eastAsia="仿宋" w:hAnsi="仿宋" w:cs="仿宋" w:hint="eastAsia"/>
                <w:color w:val="000000"/>
                <w:kern w:val="0"/>
                <w:sz w:val="24"/>
              </w:rPr>
              <w:t>98</w:t>
            </w:r>
          </w:p>
        </w:tc>
      </w:tr>
      <w:tr w:rsidR="006E5784" w:rsidRPr="005C76AC">
        <w:trPr>
          <w:trHeight w:val="285"/>
        </w:trPr>
        <w:tc>
          <w:tcPr>
            <w:tcW w:w="0" w:type="auto"/>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1080" w:type="dxa"/>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480" w:type="dxa"/>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2339" w:type="dxa"/>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3322" w:type="dxa"/>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c>
          <w:tcPr>
            <w:tcW w:w="0" w:type="auto"/>
            <w:tcBorders>
              <w:top w:val="nil"/>
              <w:left w:val="nil"/>
              <w:bottom w:val="nil"/>
              <w:right w:val="nil"/>
            </w:tcBorders>
            <w:noWrap/>
            <w:tcMar>
              <w:top w:w="15" w:type="dxa"/>
              <w:left w:w="15" w:type="dxa"/>
              <w:right w:w="15" w:type="dxa"/>
            </w:tcMar>
            <w:vAlign w:val="center"/>
          </w:tcPr>
          <w:p w:rsidR="006E5784" w:rsidRPr="005C76AC" w:rsidRDefault="006E5784" w:rsidP="005C76AC">
            <w:pPr>
              <w:widowControl/>
              <w:jc w:val="center"/>
              <w:textAlignment w:val="center"/>
              <w:rPr>
                <w:rFonts w:ascii="仿宋" w:eastAsia="仿宋" w:hAnsi="仿宋" w:cs="仿宋"/>
                <w:color w:val="000000"/>
                <w:kern w:val="0"/>
                <w:sz w:val="24"/>
              </w:rPr>
            </w:pPr>
          </w:p>
        </w:tc>
      </w:tr>
    </w:tbl>
    <w:p w:rsidR="006E5784" w:rsidRPr="005C76AC" w:rsidRDefault="006E5784" w:rsidP="005C76AC">
      <w:pPr>
        <w:widowControl/>
        <w:jc w:val="center"/>
        <w:textAlignment w:val="center"/>
        <w:rPr>
          <w:rFonts w:ascii="仿宋" w:eastAsia="仿宋" w:hAnsi="仿宋" w:cs="仿宋"/>
          <w:color w:val="000000"/>
          <w:kern w:val="0"/>
          <w:sz w:val="24"/>
        </w:rPr>
      </w:pPr>
    </w:p>
    <w:p w:rsidR="006E5784" w:rsidRPr="005C76AC" w:rsidRDefault="003C0A15" w:rsidP="005C76AC">
      <w:pPr>
        <w:widowControl/>
        <w:jc w:val="center"/>
        <w:textAlignment w:val="center"/>
        <w:rPr>
          <w:rFonts w:ascii="仿宋" w:eastAsia="仿宋" w:hAnsi="仿宋" w:cs="仿宋"/>
          <w:color w:val="000000"/>
          <w:kern w:val="0"/>
          <w:sz w:val="24"/>
        </w:rPr>
      </w:pPr>
      <w:r w:rsidRPr="005C76AC">
        <w:rPr>
          <w:rFonts w:ascii="仿宋" w:eastAsia="仿宋" w:hAnsi="仿宋" w:cs="仿宋"/>
          <w:color w:val="000000"/>
          <w:kern w:val="0"/>
          <w:sz w:val="24"/>
        </w:rPr>
        <w:br w:type="column"/>
      </w:r>
    </w:p>
    <w:p w:rsidR="006E5784" w:rsidRDefault="003C0A15">
      <w:pPr>
        <w:tabs>
          <w:tab w:val="left" w:pos="3559"/>
          <w:tab w:val="left" w:pos="4760"/>
          <w:tab w:val="left" w:pos="5544"/>
          <w:tab w:val="left" w:pos="6624"/>
          <w:tab w:val="left" w:pos="7554"/>
          <w:tab w:val="left" w:pos="8634"/>
        </w:tabs>
        <w:jc w:val="left"/>
        <w:rPr>
          <w:rFonts w:ascii="仿宋" w:eastAsia="仿宋" w:hAnsi="仿宋" w:cs="仿宋"/>
          <w:color w:val="000000"/>
          <w:sz w:val="24"/>
        </w:rPr>
      </w:pPr>
      <w:r>
        <w:rPr>
          <w:rFonts w:ascii="仿宋" w:eastAsia="仿宋" w:hAnsi="仿宋" w:cs="仿宋"/>
          <w:color w:val="000000"/>
          <w:kern w:val="0"/>
          <w:sz w:val="24"/>
        </w:rPr>
        <w:t>附件3</w:t>
      </w:r>
    </w:p>
    <w:p w:rsidR="006E5784" w:rsidRDefault="003C0A15">
      <w:pPr>
        <w:widowControl/>
        <w:jc w:val="center"/>
        <w:textAlignment w:val="center"/>
        <w:rPr>
          <w:rFonts w:ascii="方正大标宋简体" w:eastAsia="方正大标宋简体" w:hAnsi="仿宋" w:cs="仿宋"/>
          <w:b/>
          <w:color w:val="000000"/>
          <w:sz w:val="36"/>
          <w:szCs w:val="36"/>
        </w:rPr>
      </w:pPr>
      <w:r>
        <w:rPr>
          <w:rFonts w:ascii="方正大标宋简体" w:eastAsia="方正大标宋简体" w:hAnsi="仿宋" w:cs="仿宋" w:hint="eastAsia"/>
          <w:b/>
          <w:color w:val="000000"/>
          <w:kern w:val="0"/>
          <w:sz w:val="36"/>
          <w:szCs w:val="36"/>
        </w:rPr>
        <w:t>部门整体支出绩效评价基础数据表</w:t>
      </w:r>
    </w:p>
    <w:p w:rsidR="006E5784" w:rsidRDefault="003C0A15">
      <w:pPr>
        <w:tabs>
          <w:tab w:val="left" w:pos="3559"/>
          <w:tab w:val="left" w:pos="4760"/>
          <w:tab w:val="left" w:pos="5544"/>
          <w:tab w:val="left" w:pos="6624"/>
          <w:tab w:val="left" w:pos="7554"/>
          <w:tab w:val="left" w:pos="8634"/>
        </w:tabs>
        <w:jc w:val="left"/>
        <w:rPr>
          <w:rFonts w:ascii="仿宋" w:eastAsia="仿宋" w:hAnsi="仿宋" w:cs="仿宋"/>
          <w:color w:val="000000"/>
          <w:sz w:val="24"/>
        </w:rPr>
      </w:pPr>
      <w:r>
        <w:rPr>
          <w:rFonts w:ascii="仿宋" w:eastAsia="仿宋" w:hAnsi="仿宋" w:cs="仿宋"/>
          <w:color w:val="000000"/>
          <w:kern w:val="0"/>
          <w:sz w:val="24"/>
        </w:rPr>
        <w:t>填报单位：芷江侗族自治县林业局</w:t>
      </w:r>
    </w:p>
    <w:tbl>
      <w:tblPr>
        <w:tblW w:w="9513" w:type="dxa"/>
        <w:tblLayout w:type="fixed"/>
        <w:tblCellMar>
          <w:left w:w="0" w:type="dxa"/>
          <w:right w:w="0" w:type="dxa"/>
        </w:tblCellMar>
        <w:tblLook w:val="04A0"/>
      </w:tblPr>
      <w:tblGrid>
        <w:gridCol w:w="3417"/>
        <w:gridCol w:w="1343"/>
        <w:gridCol w:w="642"/>
        <w:gridCol w:w="1222"/>
        <w:gridCol w:w="930"/>
        <w:gridCol w:w="1080"/>
        <w:gridCol w:w="879"/>
      </w:tblGrid>
      <w:tr w:rsidR="006E5784">
        <w:trPr>
          <w:trHeight w:val="585"/>
        </w:trPr>
        <w:tc>
          <w:tcPr>
            <w:tcW w:w="3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财政供养人员情况</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2"/>
                <w:szCs w:val="22"/>
              </w:rPr>
            </w:pPr>
            <w:r>
              <w:rPr>
                <w:rFonts w:ascii="仿宋" w:eastAsia="仿宋" w:hAnsi="仿宋" w:cs="仿宋"/>
                <w:b/>
                <w:color w:val="000000"/>
                <w:kern w:val="0"/>
                <w:sz w:val="22"/>
                <w:szCs w:val="22"/>
              </w:rPr>
              <w:t>编制数</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2"/>
                <w:szCs w:val="22"/>
              </w:rPr>
            </w:pPr>
            <w:r>
              <w:rPr>
                <w:rFonts w:ascii="仿宋" w:eastAsia="仿宋" w:hAnsi="仿宋" w:cs="仿宋"/>
                <w:b/>
                <w:color w:val="000000"/>
                <w:kern w:val="0"/>
                <w:sz w:val="22"/>
                <w:szCs w:val="22"/>
              </w:rPr>
              <w:t>20</w:t>
            </w:r>
            <w:r>
              <w:rPr>
                <w:rFonts w:ascii="仿宋" w:eastAsia="仿宋" w:hAnsi="仿宋" w:cs="仿宋" w:hint="eastAsia"/>
                <w:b/>
                <w:color w:val="000000"/>
                <w:kern w:val="0"/>
                <w:sz w:val="22"/>
                <w:szCs w:val="22"/>
              </w:rPr>
              <w:t>20</w:t>
            </w:r>
            <w:r>
              <w:rPr>
                <w:rFonts w:ascii="仿宋" w:eastAsia="仿宋" w:hAnsi="仿宋" w:cs="仿宋"/>
                <w:b/>
                <w:color w:val="000000"/>
                <w:kern w:val="0"/>
                <w:sz w:val="22"/>
                <w:szCs w:val="22"/>
              </w:rPr>
              <w:t>年实际在职人数</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2"/>
                <w:szCs w:val="22"/>
              </w:rPr>
            </w:pPr>
            <w:r>
              <w:rPr>
                <w:rFonts w:ascii="仿宋" w:eastAsia="仿宋" w:hAnsi="仿宋" w:cs="仿宋"/>
                <w:b/>
                <w:color w:val="000000"/>
                <w:kern w:val="0"/>
                <w:sz w:val="22"/>
                <w:szCs w:val="22"/>
              </w:rPr>
              <w:t>控制率</w:t>
            </w:r>
          </w:p>
        </w:tc>
      </w:tr>
      <w:tr w:rsidR="006E5784">
        <w:trPr>
          <w:trHeight w:val="465"/>
        </w:trPr>
        <w:tc>
          <w:tcPr>
            <w:tcW w:w="3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rPr>
              <w:t>130</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rPr>
              <w:t>1</w:t>
            </w:r>
            <w:r>
              <w:rPr>
                <w:rFonts w:ascii="仿宋" w:eastAsia="仿宋" w:hAnsi="仿宋" w:cs="仿宋" w:hint="eastAsia"/>
                <w:color w:val="000000"/>
                <w:kern w:val="0"/>
                <w:sz w:val="22"/>
                <w:szCs w:val="22"/>
              </w:rPr>
              <w:t>12</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rPr>
              <w:t>8</w:t>
            </w:r>
            <w:r>
              <w:rPr>
                <w:rFonts w:ascii="仿宋" w:eastAsia="仿宋" w:hAnsi="仿宋" w:cs="仿宋" w:hint="eastAsia"/>
                <w:color w:val="000000"/>
                <w:kern w:val="0"/>
                <w:sz w:val="22"/>
                <w:szCs w:val="22"/>
              </w:rPr>
              <w:t>6</w:t>
            </w:r>
            <w:r>
              <w:rPr>
                <w:rFonts w:ascii="仿宋" w:eastAsia="仿宋" w:hAnsi="仿宋" w:cs="仿宋"/>
                <w:color w:val="000000"/>
                <w:kern w:val="0"/>
                <w:sz w:val="22"/>
                <w:szCs w:val="22"/>
              </w:rPr>
              <w:t>.00%</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经费控制情况</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2"/>
                <w:szCs w:val="22"/>
              </w:rPr>
            </w:pPr>
            <w:r>
              <w:rPr>
                <w:rFonts w:ascii="仿宋" w:eastAsia="仿宋" w:hAnsi="仿宋" w:cs="仿宋"/>
                <w:b/>
                <w:color w:val="000000"/>
                <w:kern w:val="0"/>
                <w:sz w:val="22"/>
                <w:szCs w:val="22"/>
              </w:rPr>
              <w:t>20</w:t>
            </w:r>
            <w:r>
              <w:rPr>
                <w:rFonts w:ascii="仿宋" w:eastAsia="仿宋" w:hAnsi="仿宋" w:cs="仿宋" w:hint="eastAsia"/>
                <w:b/>
                <w:color w:val="000000"/>
                <w:kern w:val="0"/>
                <w:sz w:val="22"/>
                <w:szCs w:val="22"/>
              </w:rPr>
              <w:t>19</w:t>
            </w:r>
            <w:r>
              <w:rPr>
                <w:rFonts w:ascii="仿宋" w:eastAsia="仿宋" w:hAnsi="仿宋" w:cs="仿宋"/>
                <w:b/>
                <w:color w:val="000000"/>
                <w:kern w:val="0"/>
                <w:sz w:val="22"/>
                <w:szCs w:val="22"/>
              </w:rPr>
              <w:t>年决算数</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2"/>
                <w:szCs w:val="22"/>
              </w:rPr>
            </w:pPr>
            <w:r>
              <w:rPr>
                <w:rFonts w:ascii="仿宋" w:eastAsia="仿宋" w:hAnsi="仿宋" w:cs="仿宋"/>
                <w:b/>
                <w:color w:val="000000"/>
                <w:kern w:val="0"/>
                <w:sz w:val="22"/>
                <w:szCs w:val="22"/>
              </w:rPr>
              <w:t>20</w:t>
            </w:r>
            <w:r>
              <w:rPr>
                <w:rFonts w:ascii="仿宋" w:eastAsia="仿宋" w:hAnsi="仿宋" w:cs="仿宋" w:hint="eastAsia"/>
                <w:b/>
                <w:color w:val="000000"/>
                <w:kern w:val="0"/>
                <w:sz w:val="22"/>
                <w:szCs w:val="22"/>
              </w:rPr>
              <w:t>20</w:t>
            </w:r>
            <w:r>
              <w:rPr>
                <w:rFonts w:ascii="仿宋" w:eastAsia="仿宋" w:hAnsi="仿宋" w:cs="仿宋"/>
                <w:b/>
                <w:color w:val="000000"/>
                <w:kern w:val="0"/>
                <w:sz w:val="22"/>
                <w:szCs w:val="22"/>
              </w:rPr>
              <w:t>年预算数</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2"/>
                <w:szCs w:val="22"/>
              </w:rPr>
            </w:pPr>
            <w:r>
              <w:rPr>
                <w:rFonts w:ascii="仿宋" w:eastAsia="仿宋" w:hAnsi="仿宋" w:cs="仿宋"/>
                <w:b/>
                <w:color w:val="000000"/>
                <w:kern w:val="0"/>
                <w:sz w:val="22"/>
                <w:szCs w:val="22"/>
              </w:rPr>
              <w:t>20</w:t>
            </w:r>
            <w:r>
              <w:rPr>
                <w:rFonts w:ascii="仿宋" w:eastAsia="仿宋" w:hAnsi="仿宋" w:cs="仿宋" w:hint="eastAsia"/>
                <w:b/>
                <w:color w:val="000000"/>
                <w:kern w:val="0"/>
                <w:sz w:val="22"/>
                <w:szCs w:val="22"/>
              </w:rPr>
              <w:t>20</w:t>
            </w:r>
            <w:r>
              <w:rPr>
                <w:rFonts w:ascii="仿宋" w:eastAsia="仿宋" w:hAnsi="仿宋" w:cs="仿宋"/>
                <w:b/>
                <w:color w:val="000000"/>
                <w:kern w:val="0"/>
                <w:sz w:val="22"/>
                <w:szCs w:val="22"/>
              </w:rPr>
              <w:t>年决算数</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三公经费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22.46</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11.5</w:t>
            </w:r>
          </w:p>
        </w:tc>
      </w:tr>
      <w:tr w:rsidR="006E5784">
        <w:trPr>
          <w:trHeight w:val="61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1、公务用车购置和维护经费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10.96</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其中：公车购置</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r>
      <w:tr w:rsidR="006E5784">
        <w:trPr>
          <w:trHeight w:val="66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公车运行维护</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10.96</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2、出国经费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3、公务接待</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11.5</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7.6</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项目支出：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1990.363</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3806.07</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1、科学技术支出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sz w:val="24"/>
              </w:rPr>
            </w:pPr>
          </w:p>
        </w:tc>
      </w:tr>
      <w:tr w:rsidR="006E5784">
        <w:trPr>
          <w:trHeight w:val="52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2、节能环保支出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643.839</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450.91</w:t>
            </w:r>
          </w:p>
        </w:tc>
      </w:tr>
      <w:tr w:rsidR="006E5784">
        <w:trPr>
          <w:trHeight w:val="66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3、城乡社区支出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sz w:val="24"/>
              </w:rPr>
            </w:pP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299.93</w:t>
            </w:r>
          </w:p>
        </w:tc>
      </w:tr>
      <w:tr w:rsidR="006E5784">
        <w:trPr>
          <w:trHeight w:val="114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4、农林水支出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1333.114</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70</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3044.19</w:t>
            </w:r>
          </w:p>
        </w:tc>
      </w:tr>
      <w:tr w:rsidR="006E5784">
        <w:trPr>
          <w:trHeight w:val="114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5、交通运输支出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kern w:val="0"/>
                <w:sz w:val="24"/>
              </w:rPr>
            </w:pPr>
            <w:r>
              <w:rPr>
                <w:rFonts w:ascii="仿宋" w:eastAsia="仿宋" w:hAnsi="仿宋" w:cs="仿宋"/>
                <w:color w:val="000000"/>
                <w:kern w:val="0"/>
                <w:sz w:val="24"/>
              </w:rPr>
              <w:t>8.41</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kern w:val="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kern w:val="0"/>
                <w:sz w:val="24"/>
              </w:rPr>
            </w:pPr>
          </w:p>
        </w:tc>
      </w:tr>
      <w:tr w:rsidR="006E5784">
        <w:trPr>
          <w:trHeight w:val="114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6、抗疫特别国债安排的支出</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kern w:val="0"/>
                <w:sz w:val="24"/>
              </w:rPr>
            </w:pP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kern w:val="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11.03</w:t>
            </w:r>
          </w:p>
        </w:tc>
      </w:tr>
      <w:tr w:rsidR="006E5784">
        <w:trPr>
          <w:trHeight w:val="114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lastRenderedPageBreak/>
              <w:t>公用经费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2067.523(人员经费1680.937万元,日常公用经费386.586万元)</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1426.37万元(人员经费1326.69万元,日常公用经费99.68万元)</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1992.54</w:t>
            </w:r>
            <w:r>
              <w:rPr>
                <w:rFonts w:ascii="仿宋" w:eastAsia="仿宋" w:hAnsi="仿宋" w:cs="仿宋"/>
                <w:color w:val="000000"/>
                <w:kern w:val="0"/>
                <w:sz w:val="24"/>
              </w:rPr>
              <w:t>万元(人员经费1686.94万元,日常公用经费305.6万元)</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其中：办公经费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31</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77.55</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214.26</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水费、电费、差旅费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132.55</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101.54</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          会议费、培训费</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4.1</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12.13</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2.93</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政府采购金额</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widowControl/>
              <w:jc w:val="center"/>
              <w:textAlignment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jc w:val="center"/>
              <w:rPr>
                <w:rFonts w:ascii="仿宋" w:eastAsia="仿宋" w:hAnsi="仿宋" w:cs="仿宋"/>
                <w:color w:val="000000"/>
                <w:sz w:val="24"/>
              </w:rPr>
            </w:pPr>
            <w:r>
              <w:rPr>
                <w:rFonts w:ascii="仿宋" w:eastAsia="仿宋" w:hAnsi="仿宋" w:cs="仿宋" w:hint="eastAsia"/>
                <w:color w:val="000000"/>
                <w:sz w:val="24"/>
              </w:rPr>
              <w:t>817.21</w:t>
            </w:r>
          </w:p>
        </w:tc>
      </w:tr>
      <w:tr w:rsidR="006E5784">
        <w:trPr>
          <w:trHeight w:val="465"/>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left"/>
              <w:textAlignment w:val="center"/>
              <w:rPr>
                <w:rFonts w:ascii="仿宋" w:eastAsia="仿宋" w:hAnsi="仿宋" w:cs="仿宋"/>
                <w:color w:val="000000"/>
                <w:sz w:val="24"/>
              </w:rPr>
            </w:pPr>
            <w:r>
              <w:rPr>
                <w:rFonts w:ascii="仿宋" w:eastAsia="仿宋" w:hAnsi="仿宋" w:cs="仿宋"/>
                <w:color w:val="000000"/>
                <w:kern w:val="0"/>
                <w:sz w:val="24"/>
              </w:rPr>
              <w:t xml:space="preserve">部门整体支出预算调整 </w:t>
            </w:r>
          </w:p>
        </w:tc>
        <w:tc>
          <w:tcPr>
            <w:tcW w:w="1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w:t>
            </w:r>
          </w:p>
        </w:tc>
        <w:tc>
          <w:tcPr>
            <w:tcW w:w="21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r>
      <w:tr w:rsidR="006E5784">
        <w:trPr>
          <w:trHeight w:val="735"/>
        </w:trPr>
        <w:tc>
          <w:tcPr>
            <w:tcW w:w="3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楼堂馆所控制情况      （2018年完工项目）</w:t>
            </w:r>
          </w:p>
        </w:tc>
        <w:tc>
          <w:tcPr>
            <w:tcW w:w="134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4"/>
              </w:rPr>
            </w:pPr>
            <w:r>
              <w:rPr>
                <w:rFonts w:ascii="仿宋" w:eastAsia="仿宋" w:hAnsi="仿宋" w:cs="仿宋"/>
                <w:b/>
                <w:color w:val="000000"/>
                <w:kern w:val="0"/>
                <w:sz w:val="24"/>
              </w:rPr>
              <w:t>批复规模（㎡）</w:t>
            </w:r>
          </w:p>
        </w:tc>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4"/>
              </w:rPr>
            </w:pPr>
            <w:r>
              <w:rPr>
                <w:rFonts w:ascii="仿宋" w:eastAsia="仿宋" w:hAnsi="仿宋" w:cs="仿宋"/>
                <w:b/>
                <w:color w:val="000000"/>
                <w:kern w:val="0"/>
                <w:sz w:val="24"/>
              </w:rPr>
              <w:t>实际规模（㎡）</w:t>
            </w:r>
          </w:p>
        </w:tc>
        <w:tc>
          <w:tcPr>
            <w:tcW w:w="12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4"/>
              </w:rPr>
            </w:pPr>
            <w:r>
              <w:rPr>
                <w:rFonts w:ascii="仿宋" w:eastAsia="仿宋" w:hAnsi="仿宋" w:cs="仿宋"/>
                <w:b/>
                <w:color w:val="000000"/>
                <w:kern w:val="0"/>
                <w:sz w:val="24"/>
              </w:rPr>
              <w:t>规模控制率</w:t>
            </w:r>
          </w:p>
        </w:tc>
        <w:tc>
          <w:tcPr>
            <w:tcW w:w="9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4"/>
              </w:rPr>
            </w:pPr>
            <w:r>
              <w:rPr>
                <w:rFonts w:ascii="仿宋" w:eastAsia="仿宋" w:hAnsi="仿宋" w:cs="仿宋"/>
                <w:b/>
                <w:color w:val="000000"/>
                <w:kern w:val="0"/>
                <w:sz w:val="24"/>
              </w:rPr>
              <w:t>预算投资（万元）</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4"/>
              </w:rPr>
            </w:pPr>
            <w:r>
              <w:rPr>
                <w:rFonts w:ascii="仿宋" w:eastAsia="仿宋" w:hAnsi="仿宋" w:cs="仿宋"/>
                <w:b/>
                <w:color w:val="000000"/>
                <w:kern w:val="0"/>
                <w:sz w:val="24"/>
              </w:rPr>
              <w:t>实际投资（万元）</w:t>
            </w:r>
          </w:p>
        </w:tc>
        <w:tc>
          <w:tcPr>
            <w:tcW w:w="8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b/>
                <w:color w:val="000000"/>
                <w:sz w:val="24"/>
              </w:rPr>
            </w:pPr>
            <w:r>
              <w:rPr>
                <w:rFonts w:ascii="仿宋" w:eastAsia="仿宋" w:hAnsi="仿宋" w:cs="仿宋"/>
                <w:b/>
                <w:color w:val="000000"/>
                <w:kern w:val="0"/>
                <w:sz w:val="24"/>
              </w:rPr>
              <w:t>投资概算控制率</w:t>
            </w:r>
          </w:p>
        </w:tc>
      </w:tr>
      <w:tr w:rsidR="006E5784">
        <w:trPr>
          <w:trHeight w:val="570"/>
        </w:trPr>
        <w:tc>
          <w:tcPr>
            <w:tcW w:w="3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34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b/>
                <w:color w:val="000000"/>
                <w:sz w:val="24"/>
              </w:rPr>
            </w:pP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b/>
                <w:color w:val="000000"/>
                <w:sz w:val="24"/>
              </w:rPr>
            </w:pPr>
          </w:p>
        </w:tc>
        <w:tc>
          <w:tcPr>
            <w:tcW w:w="12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b/>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b/>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b/>
                <w:color w:val="000000"/>
                <w:sz w:val="24"/>
              </w:rPr>
            </w:pPr>
          </w:p>
        </w:tc>
        <w:tc>
          <w:tcPr>
            <w:tcW w:w="8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b/>
                <w:color w:val="000000"/>
                <w:sz w:val="24"/>
              </w:rPr>
            </w:pPr>
          </w:p>
        </w:tc>
      </w:tr>
      <w:tr w:rsidR="006E5784">
        <w:trPr>
          <w:trHeight w:val="450"/>
        </w:trPr>
        <w:tc>
          <w:tcPr>
            <w:tcW w:w="3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left"/>
              <w:rPr>
                <w:rFonts w:ascii="仿宋" w:eastAsia="仿宋" w:hAnsi="仿宋" w:cs="仿宋"/>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left"/>
              <w:rPr>
                <w:rFonts w:ascii="仿宋" w:eastAsia="仿宋" w:hAnsi="仿宋" w:cs="仿宋"/>
                <w:color w:val="000000"/>
                <w:sz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left"/>
              <w:rPr>
                <w:rFonts w:ascii="仿宋" w:eastAsia="仿宋" w:hAnsi="仿宋" w:cs="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left"/>
              <w:rPr>
                <w:rFonts w:ascii="仿宋" w:eastAsia="仿宋" w:hAnsi="仿宋" w:cs="仿宋"/>
                <w:color w:val="000000"/>
                <w:sz w:val="24"/>
              </w:rPr>
            </w:pP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left"/>
              <w:rPr>
                <w:rFonts w:ascii="仿宋" w:eastAsia="仿宋" w:hAnsi="仿宋" w:cs="仿宋"/>
                <w:color w:val="000000"/>
                <w:sz w:val="24"/>
              </w:rPr>
            </w:pPr>
          </w:p>
        </w:tc>
      </w:tr>
      <w:tr w:rsidR="006E5784">
        <w:trPr>
          <w:trHeight w:val="660"/>
        </w:trPr>
        <w:tc>
          <w:tcPr>
            <w:tcW w:w="3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3C0A15">
            <w:pPr>
              <w:widowControl/>
              <w:jc w:val="center"/>
              <w:textAlignment w:val="center"/>
              <w:rPr>
                <w:rFonts w:ascii="仿宋" w:eastAsia="仿宋" w:hAnsi="仿宋" w:cs="仿宋"/>
                <w:color w:val="000000"/>
                <w:sz w:val="24"/>
              </w:rPr>
            </w:pPr>
            <w:r>
              <w:rPr>
                <w:rFonts w:ascii="仿宋" w:eastAsia="仿宋" w:hAnsi="仿宋" w:cs="仿宋"/>
                <w:color w:val="000000"/>
                <w:kern w:val="0"/>
                <w:sz w:val="24"/>
              </w:rPr>
              <w:t>厉行节约保障措施</w:t>
            </w:r>
          </w:p>
        </w:tc>
        <w:tc>
          <w:tcPr>
            <w:tcW w:w="6096"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E5784" w:rsidRDefault="006E5784">
            <w:pPr>
              <w:jc w:val="center"/>
              <w:rPr>
                <w:rFonts w:ascii="仿宋" w:eastAsia="仿宋" w:hAnsi="仿宋" w:cs="仿宋"/>
                <w:color w:val="000000"/>
                <w:sz w:val="24"/>
              </w:rPr>
            </w:pPr>
          </w:p>
        </w:tc>
      </w:tr>
    </w:tbl>
    <w:p w:rsidR="006E5784" w:rsidRDefault="006E5784">
      <w:pPr>
        <w:spacing w:line="560" w:lineRule="exact"/>
        <w:rPr>
          <w:rFonts w:ascii="仿宋_GB2312" w:eastAsia="仿宋_GB2312" w:hAnsi="仿宋_GB2312" w:cs="仿宋_GB2312"/>
          <w:color w:val="000000"/>
          <w:sz w:val="28"/>
          <w:szCs w:val="28"/>
        </w:rPr>
      </w:pPr>
    </w:p>
    <w:p w:rsidR="006E5784" w:rsidRDefault="006E5784">
      <w:pPr>
        <w:jc w:val="center"/>
        <w:rPr>
          <w:rFonts w:ascii="仿宋_GB2312" w:eastAsia="仿宋_GB2312" w:hAnsi="宋体"/>
          <w:sz w:val="32"/>
          <w:szCs w:val="32"/>
        </w:rPr>
      </w:pPr>
    </w:p>
    <w:sectPr w:rsidR="006E5784" w:rsidSect="006E5784">
      <w:pgSz w:w="11906" w:h="16838"/>
      <w:pgMar w:top="2098" w:right="1361" w:bottom="1985" w:left="136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BA" w:rsidRDefault="00312EBA" w:rsidP="00467E8B">
      <w:r>
        <w:separator/>
      </w:r>
    </w:p>
  </w:endnote>
  <w:endnote w:type="continuationSeparator" w:id="1">
    <w:p w:rsidR="00312EBA" w:rsidRDefault="00312EBA" w:rsidP="00467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BA" w:rsidRDefault="00312EBA" w:rsidP="00467E8B">
      <w:r>
        <w:separator/>
      </w:r>
    </w:p>
  </w:footnote>
  <w:footnote w:type="continuationSeparator" w:id="1">
    <w:p w:rsidR="00312EBA" w:rsidRDefault="00312EBA" w:rsidP="00467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0A12"/>
    <w:rsid w:val="001224EE"/>
    <w:rsid w:val="00137A14"/>
    <w:rsid w:val="001A28D4"/>
    <w:rsid w:val="001C798B"/>
    <w:rsid w:val="001D0DFA"/>
    <w:rsid w:val="00226044"/>
    <w:rsid w:val="0023327F"/>
    <w:rsid w:val="002A6007"/>
    <w:rsid w:val="00312721"/>
    <w:rsid w:val="00312EBA"/>
    <w:rsid w:val="00315F43"/>
    <w:rsid w:val="003C0A15"/>
    <w:rsid w:val="00467E8B"/>
    <w:rsid w:val="004B6B42"/>
    <w:rsid w:val="00506583"/>
    <w:rsid w:val="005B4247"/>
    <w:rsid w:val="005C76AC"/>
    <w:rsid w:val="006B010A"/>
    <w:rsid w:val="006B0A98"/>
    <w:rsid w:val="006B3CA3"/>
    <w:rsid w:val="006E23E6"/>
    <w:rsid w:val="006E5784"/>
    <w:rsid w:val="00710A12"/>
    <w:rsid w:val="00765061"/>
    <w:rsid w:val="007D2339"/>
    <w:rsid w:val="008336C2"/>
    <w:rsid w:val="008E2626"/>
    <w:rsid w:val="009410F8"/>
    <w:rsid w:val="009A5296"/>
    <w:rsid w:val="009B4DA4"/>
    <w:rsid w:val="00B06A08"/>
    <w:rsid w:val="00B73B72"/>
    <w:rsid w:val="00CA27C8"/>
    <w:rsid w:val="00CC1F68"/>
    <w:rsid w:val="00D63EE4"/>
    <w:rsid w:val="00E43E0C"/>
    <w:rsid w:val="00E537DD"/>
    <w:rsid w:val="00E971B2"/>
    <w:rsid w:val="00F10A18"/>
    <w:rsid w:val="00F4147A"/>
    <w:rsid w:val="00F74547"/>
    <w:rsid w:val="00FD7EDD"/>
    <w:rsid w:val="04A3334F"/>
    <w:rsid w:val="158D3DCA"/>
    <w:rsid w:val="1DB92ED8"/>
    <w:rsid w:val="21195EA2"/>
    <w:rsid w:val="308E1284"/>
    <w:rsid w:val="40CF3654"/>
    <w:rsid w:val="55CB79AD"/>
    <w:rsid w:val="62B1400B"/>
    <w:rsid w:val="697F7612"/>
    <w:rsid w:val="6B1A4C1C"/>
    <w:rsid w:val="78054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78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E5784"/>
    <w:rPr>
      <w:rFonts w:ascii="宋体" w:eastAsia="宋体" w:hAnsi="Times New Roman" w:cs="Courier New"/>
      <w:szCs w:val="21"/>
    </w:rPr>
  </w:style>
  <w:style w:type="paragraph" w:styleId="a4">
    <w:name w:val="Date"/>
    <w:basedOn w:val="a"/>
    <w:next w:val="a"/>
    <w:link w:val="Char0"/>
    <w:qFormat/>
    <w:rsid w:val="006E5784"/>
    <w:pPr>
      <w:ind w:leftChars="2500" w:left="100"/>
    </w:pPr>
  </w:style>
  <w:style w:type="paragraph" w:styleId="a5">
    <w:name w:val="footer"/>
    <w:basedOn w:val="a"/>
    <w:link w:val="Char1"/>
    <w:qFormat/>
    <w:rsid w:val="006E5784"/>
    <w:pPr>
      <w:tabs>
        <w:tab w:val="center" w:pos="4153"/>
        <w:tab w:val="right" w:pos="8306"/>
      </w:tabs>
      <w:snapToGrid w:val="0"/>
      <w:jc w:val="left"/>
    </w:pPr>
    <w:rPr>
      <w:sz w:val="18"/>
      <w:szCs w:val="18"/>
    </w:rPr>
  </w:style>
  <w:style w:type="paragraph" w:styleId="a6">
    <w:name w:val="header"/>
    <w:basedOn w:val="a"/>
    <w:link w:val="Char2"/>
    <w:qFormat/>
    <w:rsid w:val="006E57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6E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NormalCharacter">
    <w:name w:val="NormalCharacter"/>
    <w:semiHidden/>
    <w:qFormat/>
    <w:rsid w:val="006E5784"/>
    <w:rPr>
      <w:kern w:val="2"/>
      <w:sz w:val="21"/>
      <w:szCs w:val="24"/>
      <w:lang w:val="en-US" w:eastAsia="zh-CN" w:bidi="ar-SA"/>
    </w:rPr>
  </w:style>
  <w:style w:type="character" w:customStyle="1" w:styleId="Char2">
    <w:name w:val="页眉 Char"/>
    <w:basedOn w:val="a0"/>
    <w:link w:val="a6"/>
    <w:qFormat/>
    <w:rsid w:val="006E5784"/>
    <w:rPr>
      <w:rFonts w:asciiTheme="minorHAnsi" w:eastAsiaTheme="minorEastAsia" w:hAnsiTheme="minorHAnsi" w:cstheme="minorBidi"/>
      <w:kern w:val="2"/>
      <w:sz w:val="18"/>
      <w:szCs w:val="18"/>
    </w:rPr>
  </w:style>
  <w:style w:type="character" w:customStyle="1" w:styleId="Char1">
    <w:name w:val="页脚 Char"/>
    <w:basedOn w:val="a0"/>
    <w:link w:val="a5"/>
    <w:qFormat/>
    <w:rsid w:val="006E5784"/>
    <w:rPr>
      <w:rFonts w:asciiTheme="minorHAnsi" w:eastAsiaTheme="minorEastAsia" w:hAnsiTheme="minorHAnsi" w:cstheme="minorBidi"/>
      <w:kern w:val="2"/>
      <w:sz w:val="18"/>
      <w:szCs w:val="18"/>
    </w:rPr>
  </w:style>
  <w:style w:type="character" w:customStyle="1" w:styleId="Char">
    <w:name w:val="纯文本 Char"/>
    <w:basedOn w:val="a0"/>
    <w:link w:val="a3"/>
    <w:qFormat/>
    <w:rsid w:val="006E5784"/>
    <w:rPr>
      <w:rFonts w:ascii="宋体" w:eastAsia="宋体" w:cs="Courier New"/>
      <w:kern w:val="2"/>
      <w:sz w:val="21"/>
      <w:szCs w:val="21"/>
    </w:rPr>
  </w:style>
  <w:style w:type="character" w:customStyle="1" w:styleId="font51">
    <w:name w:val="font51"/>
    <w:basedOn w:val="a0"/>
    <w:qFormat/>
    <w:rsid w:val="006E5784"/>
    <w:rPr>
      <w:rFonts w:ascii="宋体" w:eastAsia="宋体" w:hAnsi="宋体" w:cs="宋体" w:hint="eastAsia"/>
      <w:color w:val="000000"/>
      <w:sz w:val="20"/>
      <w:szCs w:val="20"/>
      <w:u w:val="none"/>
    </w:rPr>
  </w:style>
  <w:style w:type="character" w:customStyle="1" w:styleId="font21">
    <w:name w:val="font21"/>
    <w:basedOn w:val="a0"/>
    <w:qFormat/>
    <w:rsid w:val="006E5784"/>
    <w:rPr>
      <w:rFonts w:ascii="仿宋_GB2312" w:eastAsia="仿宋_GB2312" w:cs="仿宋_GB2312" w:hint="eastAsia"/>
      <w:color w:val="000000"/>
      <w:sz w:val="20"/>
      <w:szCs w:val="20"/>
      <w:u w:val="none"/>
    </w:rPr>
  </w:style>
  <w:style w:type="character" w:customStyle="1" w:styleId="HTMLChar">
    <w:name w:val="HTML 预设格式 Char"/>
    <w:basedOn w:val="a0"/>
    <w:link w:val="HTML"/>
    <w:qFormat/>
    <w:rsid w:val="006E5784"/>
    <w:rPr>
      <w:rFonts w:ascii="宋体" w:eastAsia="宋体" w:hAnsi="宋体"/>
      <w:sz w:val="24"/>
      <w:szCs w:val="24"/>
    </w:rPr>
  </w:style>
  <w:style w:type="character" w:customStyle="1" w:styleId="Char0">
    <w:name w:val="日期 Char"/>
    <w:basedOn w:val="a0"/>
    <w:link w:val="a4"/>
    <w:qFormat/>
    <w:rsid w:val="006E5784"/>
    <w:rPr>
      <w:rFonts w:asciiTheme="minorHAnsi" w:eastAsiaTheme="minorEastAsia" w:hAnsiTheme="minorHAnsi" w:cstheme="minorBidi"/>
      <w:kern w:val="2"/>
      <w:sz w:val="21"/>
      <w:szCs w:val="24"/>
    </w:rPr>
  </w:style>
  <w:style w:type="paragraph" w:styleId="a7">
    <w:name w:val="List Paragraph"/>
    <w:basedOn w:val="a"/>
    <w:uiPriority w:val="99"/>
    <w:unhideWhenUsed/>
    <w:qFormat/>
    <w:rsid w:val="006E578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930</Words>
  <Characters>5303</Characters>
  <Application>Microsoft Office Word</Application>
  <DocSecurity>0</DocSecurity>
  <Lines>44</Lines>
  <Paragraphs>12</Paragraphs>
  <ScaleCrop>false</ScaleCrop>
  <Company>微软中国</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2021-06-21T09:17:00Z</cp:lastPrinted>
  <dcterms:created xsi:type="dcterms:W3CDTF">2021-07-09T08:18:00Z</dcterms:created>
  <dcterms:modified xsi:type="dcterms:W3CDTF">2021-08-04T07:52:00Z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