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77B3036">
      <w:pPr>
        <w:spacing w:line="680" w:lineRule="exact"/>
        <w:jc w:val="center"/>
        <w:rPr>
          <w:rFonts w:hint="eastAsia" w:ascii="仿宋_GB2312" w:eastAsia="仿宋_GB2312"/>
          <w:sz w:val="32"/>
          <w:szCs w:val="32"/>
        </w:rPr>
      </w:pPr>
    </w:p>
    <w:p w14:paraId="3BA78854">
      <w:pPr>
        <w:spacing w:line="680" w:lineRule="exact"/>
        <w:ind w:firstLine="640" w:firstLineChars="200"/>
        <w:jc w:val="left"/>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ZJDR-20</w:t>
      </w:r>
      <w:r>
        <w:rPr>
          <w:rFonts w:hint="eastAsia" w:ascii="Times New Roman" w:hAnsi="Times New Roman" w:eastAsia="仿宋_GB2312" w:cs="Times New Roman"/>
          <w:sz w:val="32"/>
          <w:szCs w:val="32"/>
          <w:lang w:val="en-US" w:eastAsia="zh-CN"/>
        </w:rPr>
        <w:t>26</w:t>
      </w:r>
      <w:r>
        <w:rPr>
          <w:rFonts w:hint="default" w:ascii="Times New Roman" w:hAnsi="Times New Roman" w:eastAsia="仿宋_GB2312" w:cs="Times New Roman"/>
          <w:sz w:val="32"/>
          <w:szCs w:val="32"/>
          <w:lang w:val="en-US" w:eastAsia="zh-CN"/>
        </w:rPr>
        <w:t>-1400</w:t>
      </w:r>
      <w:r>
        <w:rPr>
          <w:rFonts w:hint="eastAsia" w:eastAsia="仿宋_GB2312" w:cs="Times New Roman"/>
          <w:sz w:val="32"/>
          <w:szCs w:val="32"/>
          <w:lang w:val="en-US" w:eastAsia="zh-CN"/>
        </w:rPr>
        <w:t>2</w:t>
      </w:r>
    </w:p>
    <w:p w14:paraId="193F199B">
      <w:pPr>
        <w:spacing w:line="680" w:lineRule="exact"/>
        <w:jc w:val="center"/>
        <w:rPr>
          <w:rFonts w:hint="eastAsia" w:ascii="仿宋_GB2312" w:eastAsia="仿宋_GB2312"/>
          <w:sz w:val="32"/>
          <w:szCs w:val="32"/>
        </w:rPr>
      </w:pPr>
    </w:p>
    <w:p w14:paraId="65400F26">
      <w:pPr>
        <w:spacing w:line="680" w:lineRule="exact"/>
        <w:jc w:val="center"/>
        <w:rPr>
          <w:rFonts w:hint="eastAsia" w:ascii="仿宋_GB2312" w:eastAsia="仿宋_GB2312"/>
          <w:sz w:val="32"/>
          <w:szCs w:val="32"/>
        </w:rPr>
      </w:pPr>
    </w:p>
    <w:p w14:paraId="6DC89CC6">
      <w:pPr>
        <w:spacing w:line="680" w:lineRule="exact"/>
        <w:jc w:val="center"/>
        <w:rPr>
          <w:rFonts w:hint="eastAsia" w:ascii="仿宋_GB2312" w:eastAsia="仿宋_GB2312"/>
          <w:sz w:val="32"/>
          <w:szCs w:val="32"/>
        </w:rPr>
      </w:pPr>
    </w:p>
    <w:p w14:paraId="38BC2E12">
      <w:pPr>
        <w:spacing w:line="680" w:lineRule="exact"/>
        <w:jc w:val="center"/>
        <w:rPr>
          <w:rFonts w:hint="eastAsia" w:ascii="仿宋_GB2312" w:eastAsia="仿宋_GB2312"/>
          <w:sz w:val="32"/>
          <w:szCs w:val="32"/>
        </w:rPr>
      </w:pPr>
    </w:p>
    <w:p w14:paraId="169416CD">
      <w:pPr>
        <w:spacing w:line="680" w:lineRule="exact"/>
        <w:jc w:val="center"/>
        <w:rPr>
          <w:rFonts w:hint="eastAsia" w:ascii="仿宋_GB2312" w:eastAsia="仿宋_GB2312"/>
          <w:sz w:val="32"/>
          <w:szCs w:val="32"/>
        </w:rPr>
      </w:pPr>
    </w:p>
    <w:p w14:paraId="4F474B19">
      <w:pPr>
        <w:spacing w:line="680" w:lineRule="exact"/>
        <w:jc w:val="center"/>
        <w:rPr>
          <w:rFonts w:hint="eastAsia" w:ascii="仿宋_GB2312" w:eastAsia="仿宋_GB2312"/>
          <w:b/>
          <w:color w:val="auto"/>
          <w:sz w:val="32"/>
          <w:szCs w:val="32"/>
        </w:rPr>
      </w:pPr>
      <w:r>
        <w:rPr>
          <w:rFonts w:hint="eastAsia" w:ascii="仿宋" w:hAnsi="仿宋" w:eastAsia="仿宋" w:cs="仿宋"/>
          <w:b/>
          <w:color w:val="auto"/>
          <w:sz w:val="32"/>
          <w:szCs w:val="32"/>
        </w:rPr>
        <w:t>芷水</w:t>
      </w:r>
      <w:r>
        <w:rPr>
          <w:rFonts w:hint="eastAsia" w:ascii="仿宋" w:hAnsi="仿宋" w:eastAsia="仿宋" w:cs="仿宋"/>
          <w:b/>
          <w:color w:val="auto"/>
          <w:sz w:val="32"/>
          <w:szCs w:val="32"/>
          <w:lang w:eastAsia="zh-CN"/>
        </w:rPr>
        <w:t>函</w:t>
      </w:r>
      <w:r>
        <w:rPr>
          <w:rFonts w:hint="eastAsia" w:ascii="仿宋" w:hAnsi="仿宋" w:eastAsia="仿宋" w:cs="仿宋"/>
          <w:b/>
          <w:color w:val="auto"/>
          <w:sz w:val="32"/>
          <w:szCs w:val="32"/>
        </w:rPr>
        <w:t>〔202</w:t>
      </w:r>
      <w:r>
        <w:rPr>
          <w:rFonts w:hint="eastAsia" w:ascii="仿宋" w:hAnsi="仿宋" w:eastAsia="仿宋" w:cs="仿宋"/>
          <w:b/>
          <w:color w:val="auto"/>
          <w:sz w:val="32"/>
          <w:szCs w:val="32"/>
          <w:lang w:val="en-US" w:eastAsia="zh-CN"/>
        </w:rPr>
        <w:t>6</w:t>
      </w:r>
      <w:r>
        <w:rPr>
          <w:rFonts w:hint="eastAsia" w:ascii="仿宋" w:hAnsi="仿宋" w:eastAsia="仿宋" w:cs="仿宋"/>
          <w:b/>
          <w:color w:val="auto"/>
          <w:sz w:val="32"/>
          <w:szCs w:val="32"/>
        </w:rPr>
        <w:t>〕</w:t>
      </w:r>
      <w:r>
        <w:rPr>
          <w:rFonts w:hint="eastAsia" w:ascii="仿宋" w:hAnsi="仿宋" w:eastAsia="仿宋" w:cs="仿宋"/>
          <w:b/>
          <w:color w:val="auto"/>
          <w:sz w:val="32"/>
          <w:szCs w:val="32"/>
          <w:lang w:val="en-US" w:eastAsia="zh-CN"/>
        </w:rPr>
        <w:t>4</w:t>
      </w:r>
      <w:r>
        <w:rPr>
          <w:rFonts w:hint="eastAsia" w:ascii="仿宋" w:hAnsi="仿宋" w:eastAsia="仿宋" w:cs="仿宋"/>
          <w:b/>
          <w:color w:val="auto"/>
          <w:sz w:val="32"/>
          <w:szCs w:val="32"/>
        </w:rPr>
        <w:t>号</w:t>
      </w:r>
    </w:p>
    <w:p w14:paraId="6E285EE7">
      <w:pPr>
        <w:spacing w:line="560" w:lineRule="exact"/>
        <w:jc w:val="center"/>
        <w:rPr>
          <w:rFonts w:hint="eastAsia" w:ascii="仿宋_GB2312" w:eastAsia="仿宋_GB2312"/>
          <w:sz w:val="32"/>
          <w:szCs w:val="32"/>
        </w:rPr>
      </w:pPr>
      <w:r>
        <w:rPr>
          <w:rFonts w:hint="eastAsia" w:ascii="仿宋_GB2312" w:eastAsia="仿宋_GB2312"/>
          <w:sz w:val="32"/>
          <w:szCs w:val="32"/>
        </w:rPr>
        <w:t xml:space="preserve"> </w:t>
      </w:r>
    </w:p>
    <w:p w14:paraId="54E0BD4A">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芷江侗族自治县水利局</w:t>
      </w:r>
    </w:p>
    <w:p w14:paraId="4B8915B1">
      <w:pPr>
        <w:keepNext/>
        <w:keepLines/>
        <w:pageBreakBefore w:val="0"/>
        <w:widowControl w:val="0"/>
        <w:numPr>
          <w:ilvl w:val="0"/>
          <w:numId w:val="0"/>
        </w:numPr>
        <w:tabs>
          <w:tab w:val="left" w:pos="0"/>
        </w:tabs>
        <w:kinsoku/>
        <w:wordWrap/>
        <w:overflowPunct/>
        <w:topLinePunct w:val="0"/>
        <w:autoSpaceDE/>
        <w:autoSpaceDN/>
        <w:bidi w:val="0"/>
        <w:adjustRightInd/>
        <w:snapToGrid/>
        <w:spacing w:beforeAutospacing="0" w:afterAutospacing="0" w:line="560" w:lineRule="exact"/>
        <w:ind w:left="850" w:hanging="850" w:firstLineChars="0"/>
        <w:jc w:val="center"/>
        <w:textAlignment w:val="auto"/>
        <w:outlineLvl w:val="0"/>
        <w:rPr>
          <w:rFonts w:hint="eastAsia" w:ascii="方正小标宋_GBK" w:hAnsi="方正小标宋_GBK" w:eastAsia="方正小标宋_GBK" w:cs="方正小标宋_GBK"/>
          <w:b w:val="0"/>
          <w:kern w:val="44"/>
          <w:sz w:val="44"/>
          <w:szCs w:val="44"/>
          <w:lang w:val="en-US" w:eastAsia="zh-CN" w:bidi="ar-SA"/>
        </w:rPr>
      </w:pPr>
      <w:r>
        <w:rPr>
          <w:rFonts w:hint="eastAsia" w:ascii="方正小标宋_GBK" w:hAnsi="方正小标宋_GBK" w:eastAsia="方正小标宋_GBK" w:cs="方正小标宋_GBK"/>
          <w:b w:val="0"/>
          <w:kern w:val="44"/>
          <w:sz w:val="44"/>
          <w:szCs w:val="44"/>
          <w:lang w:val="en-US" w:eastAsia="zh-CN" w:bidi="ar-SA"/>
        </w:rPr>
        <w:t>关于印发《芷江侗族自治县农业用水权回购与</w:t>
      </w:r>
    </w:p>
    <w:p w14:paraId="6DE608AD">
      <w:pPr>
        <w:keepNext/>
        <w:keepLines/>
        <w:pageBreakBefore w:val="0"/>
        <w:widowControl w:val="0"/>
        <w:numPr>
          <w:ilvl w:val="0"/>
          <w:numId w:val="0"/>
        </w:numPr>
        <w:tabs>
          <w:tab w:val="left" w:pos="0"/>
        </w:tabs>
        <w:kinsoku/>
        <w:wordWrap/>
        <w:overflowPunct/>
        <w:topLinePunct w:val="0"/>
        <w:autoSpaceDE/>
        <w:autoSpaceDN/>
        <w:bidi w:val="0"/>
        <w:adjustRightInd/>
        <w:snapToGrid/>
        <w:spacing w:beforeAutospacing="0" w:afterAutospacing="0" w:line="560" w:lineRule="exact"/>
        <w:ind w:left="850" w:hanging="850" w:firstLineChars="0"/>
        <w:jc w:val="center"/>
        <w:textAlignment w:val="auto"/>
        <w:outlineLvl w:val="0"/>
        <w:rPr>
          <w:rFonts w:hint="eastAsia" w:ascii="方正小标宋_GBK" w:hAnsi="方正小标宋_GBK" w:eastAsia="方正小标宋_GBK" w:cs="方正小标宋_GBK"/>
          <w:b w:val="0"/>
          <w:kern w:val="44"/>
          <w:sz w:val="44"/>
          <w:szCs w:val="44"/>
          <w:lang w:val="en-US" w:eastAsia="zh-CN" w:bidi="ar-SA"/>
        </w:rPr>
      </w:pPr>
      <w:r>
        <w:rPr>
          <w:rFonts w:hint="eastAsia" w:ascii="方正小标宋_GBK" w:hAnsi="方正小标宋_GBK" w:eastAsia="方正小标宋_GBK" w:cs="方正小标宋_GBK"/>
          <w:b w:val="0"/>
          <w:kern w:val="44"/>
          <w:sz w:val="44"/>
          <w:szCs w:val="44"/>
          <w:lang w:val="en-US" w:eastAsia="zh-CN" w:bidi="ar-SA"/>
        </w:rPr>
        <w:t>交易管理办法（试行）》的函</w:t>
      </w:r>
    </w:p>
    <w:p w14:paraId="5DA9F6FE">
      <w:pPr>
        <w:pStyle w:val="20"/>
        <w:pageBreakBefore w:val="0"/>
        <w:widowControl w:val="0"/>
        <w:kinsoku/>
        <w:wordWrap/>
        <w:overflowPunct/>
        <w:topLinePunct w:val="0"/>
        <w:autoSpaceDE/>
        <w:autoSpaceDN/>
        <w:bidi w:val="0"/>
        <w:adjustRightInd/>
        <w:snapToGrid/>
        <w:spacing w:after="0" w:line="560" w:lineRule="exact"/>
        <w:ind w:left="0" w:leftChars="0" w:firstLine="0" w:firstLineChars="0"/>
        <w:textAlignment w:val="auto"/>
        <w:rPr>
          <w:rFonts w:hint="default" w:ascii="Times New Roman" w:hAnsi="Times New Roman" w:eastAsia="仿宋" w:cs="Times New Roman"/>
          <w:color w:val="auto"/>
          <w:sz w:val="32"/>
          <w:szCs w:val="32"/>
        </w:rPr>
      </w:pPr>
    </w:p>
    <w:p w14:paraId="429D3A7F">
      <w:pPr>
        <w:pStyle w:val="20"/>
        <w:pageBreakBefore w:val="0"/>
        <w:widowControl w:val="0"/>
        <w:kinsoku/>
        <w:wordWrap/>
        <w:overflowPunct/>
        <w:topLinePunct w:val="0"/>
        <w:autoSpaceDE/>
        <w:autoSpaceDN/>
        <w:bidi w:val="0"/>
        <w:adjustRightInd/>
        <w:snapToGrid/>
        <w:spacing w:after="0" w:line="560" w:lineRule="exact"/>
        <w:ind w:left="0" w:leftChars="0" w:firstLine="0" w:firstLineChars="0"/>
        <w:textAlignment w:val="auto"/>
        <w:rPr>
          <w:rFonts w:hint="eastAsia" w:eastAsia="仿宋" w:cs="Times New Roman"/>
          <w:color w:val="auto"/>
          <w:sz w:val="32"/>
          <w:szCs w:val="32"/>
          <w:lang w:eastAsia="zh-CN"/>
        </w:rPr>
      </w:pPr>
      <w:r>
        <w:rPr>
          <w:rFonts w:hint="eastAsia" w:eastAsia="仿宋" w:cs="Times New Roman"/>
          <w:color w:val="auto"/>
          <w:sz w:val="32"/>
          <w:szCs w:val="32"/>
          <w:lang w:eastAsia="zh-CN"/>
        </w:rPr>
        <w:t>各乡镇人民政府、县直相关部门、各</w:t>
      </w:r>
      <w:r>
        <w:rPr>
          <w:rFonts w:hint="default" w:ascii="Times New Roman" w:hAnsi="Times New Roman" w:eastAsia="仿宋" w:cs="Times New Roman"/>
          <w:color w:val="auto"/>
          <w:sz w:val="32"/>
          <w:szCs w:val="32"/>
        </w:rPr>
        <w:t>灌区管理单位</w:t>
      </w:r>
      <w:r>
        <w:rPr>
          <w:rFonts w:hint="eastAsia" w:eastAsia="仿宋" w:cs="Times New Roman"/>
          <w:color w:val="auto"/>
          <w:sz w:val="32"/>
          <w:szCs w:val="32"/>
          <w:lang w:eastAsia="zh-CN"/>
        </w:rPr>
        <w:t>：</w:t>
      </w:r>
    </w:p>
    <w:p w14:paraId="41E6AA88">
      <w:pPr>
        <w:pStyle w:val="20"/>
        <w:pageBreakBefore w:val="0"/>
        <w:widowControl w:val="0"/>
        <w:kinsoku/>
        <w:wordWrap/>
        <w:overflowPunct/>
        <w:topLinePunct w:val="0"/>
        <w:autoSpaceDE/>
        <w:autoSpaceDN/>
        <w:bidi w:val="0"/>
        <w:adjustRightInd/>
        <w:snapToGrid/>
        <w:spacing w:after="0" w:line="560" w:lineRule="exact"/>
        <w:ind w:left="0" w:leftChars="0" w:firstLine="640" w:firstLineChars="200"/>
        <w:textAlignment w:val="auto"/>
        <w:rPr>
          <w:rFonts w:hint="eastAsia" w:eastAsia="仿宋" w:cs="Times New Roman"/>
          <w:color w:val="auto"/>
          <w:sz w:val="32"/>
          <w:szCs w:val="32"/>
          <w:lang w:val="en-US" w:eastAsia="zh-CN"/>
        </w:rPr>
      </w:pPr>
      <w:r>
        <w:rPr>
          <w:rFonts w:hint="eastAsia" w:ascii="Times New Roman" w:hAnsi="Times New Roman" w:eastAsia="仿宋" w:cs="Times New Roman"/>
          <w:color w:val="auto"/>
          <w:sz w:val="32"/>
          <w:szCs w:val="32"/>
          <w:lang w:val="en-US" w:eastAsia="zh-CN"/>
        </w:rPr>
        <w:t>现将《芷江侗族自治县农业用水权</w:t>
      </w:r>
      <w:r>
        <w:rPr>
          <w:rFonts w:hint="eastAsia" w:eastAsia="仿宋" w:cs="Times New Roman"/>
          <w:color w:val="auto"/>
          <w:sz w:val="32"/>
          <w:szCs w:val="32"/>
          <w:lang w:val="en-US" w:eastAsia="zh-CN"/>
        </w:rPr>
        <w:t>回购与交易管理办法</w:t>
      </w:r>
      <w:r>
        <w:rPr>
          <w:rFonts w:hint="eastAsia" w:ascii="Times New Roman" w:hAnsi="Times New Roman" w:eastAsia="仿宋" w:cs="Times New Roman"/>
          <w:color w:val="auto"/>
          <w:sz w:val="32"/>
          <w:szCs w:val="32"/>
          <w:lang w:val="en-US" w:eastAsia="zh-CN"/>
        </w:rPr>
        <w:t>（试行）》</w:t>
      </w:r>
      <w:r>
        <w:rPr>
          <w:rFonts w:hint="eastAsia" w:eastAsia="仿宋" w:cs="Times New Roman"/>
          <w:color w:val="auto"/>
          <w:sz w:val="32"/>
          <w:szCs w:val="32"/>
          <w:lang w:val="en-US" w:eastAsia="zh-CN"/>
        </w:rPr>
        <w:t>印发给你们，请认真遵照执行。</w:t>
      </w:r>
    </w:p>
    <w:p w14:paraId="24D95C47">
      <w:pPr>
        <w:pStyle w:val="20"/>
        <w:pageBreakBefore w:val="0"/>
        <w:widowControl w:val="0"/>
        <w:kinsoku/>
        <w:wordWrap/>
        <w:overflowPunct/>
        <w:topLinePunct w:val="0"/>
        <w:autoSpaceDE/>
        <w:autoSpaceDN/>
        <w:bidi w:val="0"/>
        <w:adjustRightInd/>
        <w:snapToGrid/>
        <w:spacing w:after="0" w:line="560" w:lineRule="exact"/>
        <w:ind w:left="0" w:leftChars="0" w:firstLine="640" w:firstLineChars="0"/>
        <w:textAlignment w:val="auto"/>
        <w:rPr>
          <w:rFonts w:hint="default" w:eastAsia="仿宋" w:cs="Times New Roman"/>
          <w:color w:val="auto"/>
          <w:sz w:val="32"/>
          <w:szCs w:val="32"/>
          <w:lang w:val="en-US" w:eastAsia="zh-CN"/>
        </w:rPr>
      </w:pPr>
    </w:p>
    <w:p w14:paraId="0650B07D">
      <w:pPr>
        <w:pStyle w:val="20"/>
        <w:pageBreakBefore w:val="0"/>
        <w:widowControl w:val="0"/>
        <w:kinsoku/>
        <w:wordWrap/>
        <w:overflowPunct/>
        <w:topLinePunct w:val="0"/>
        <w:autoSpaceDE/>
        <w:autoSpaceDN/>
        <w:bidi w:val="0"/>
        <w:adjustRightInd/>
        <w:snapToGrid/>
        <w:spacing w:after="0" w:line="560" w:lineRule="exact"/>
        <w:ind w:left="0" w:leftChars="0" w:firstLine="640" w:firstLineChars="0"/>
        <w:textAlignment w:val="auto"/>
        <w:rPr>
          <w:rFonts w:hint="default" w:eastAsia="仿宋" w:cs="Times New Roman"/>
          <w:color w:val="auto"/>
          <w:sz w:val="32"/>
          <w:szCs w:val="32"/>
          <w:lang w:val="en-US" w:eastAsia="zh-CN"/>
        </w:rPr>
      </w:pPr>
    </w:p>
    <w:p w14:paraId="7BB6EF0E">
      <w:pPr>
        <w:keepNext w:val="0"/>
        <w:keepLines w:val="0"/>
        <w:pageBreakBefore w:val="0"/>
        <w:widowControl/>
        <w:kinsoku/>
        <w:wordWrap w:val="0"/>
        <w:overflowPunct/>
        <w:topLinePunct w:val="0"/>
        <w:autoSpaceDE/>
        <w:autoSpaceDN/>
        <w:bidi w:val="0"/>
        <w:adjustRightInd w:val="0"/>
        <w:snapToGrid w:val="0"/>
        <w:spacing w:line="520" w:lineRule="exact"/>
        <w:jc w:val="right"/>
        <w:textAlignment w:val="auto"/>
        <w:rPr>
          <w:rFonts w:hint="default" w:ascii="Times New Roman" w:hAnsi="Times New Roman" w:eastAsia="仿宋" w:cs="Times New Roman"/>
          <w:b w:val="0"/>
          <w:bCs w:val="0"/>
          <w:sz w:val="32"/>
          <w:szCs w:val="32"/>
          <w:lang w:val="en-US" w:eastAsia="zh-CN"/>
        </w:rPr>
      </w:pPr>
      <w:r>
        <w:rPr>
          <w:rFonts w:hint="default" w:ascii="Times New Roman" w:hAnsi="Times New Roman" w:cs="Times New Roman"/>
          <w:sz w:val="28"/>
          <w:szCs w:val="28"/>
          <w:lang w:val="en-US" w:eastAsia="zh-CN"/>
        </w:rPr>
        <w:t xml:space="preserve"> </w:t>
      </w:r>
      <w:r>
        <w:rPr>
          <w:rFonts w:hint="default" w:ascii="Times New Roman" w:hAnsi="Times New Roman" w:eastAsia="仿宋" w:cs="Times New Roman"/>
          <w:b w:val="0"/>
          <w:bCs w:val="0"/>
          <w:sz w:val="32"/>
          <w:szCs w:val="32"/>
          <w:lang w:eastAsia="zh-CN"/>
        </w:rPr>
        <w:t>芷江侗族自治县水利局</w:t>
      </w:r>
      <w:r>
        <w:rPr>
          <w:rFonts w:hint="eastAsia" w:ascii="Times New Roman" w:hAnsi="Times New Roman" w:eastAsia="仿宋" w:cs="Times New Roman"/>
          <w:b w:val="0"/>
          <w:bCs w:val="0"/>
          <w:sz w:val="32"/>
          <w:szCs w:val="32"/>
          <w:lang w:val="en-US" w:eastAsia="zh-CN"/>
        </w:rPr>
        <w:t xml:space="preserve">    </w:t>
      </w:r>
    </w:p>
    <w:p w14:paraId="22A88FCF">
      <w:pPr>
        <w:keepNext w:val="0"/>
        <w:keepLines w:val="0"/>
        <w:pageBreakBefore w:val="0"/>
        <w:kinsoku/>
        <w:wordWrap w:val="0"/>
        <w:overflowPunct/>
        <w:topLinePunct w:val="0"/>
        <w:autoSpaceDE/>
        <w:autoSpaceDN/>
        <w:bidi w:val="0"/>
        <w:spacing w:line="520" w:lineRule="exact"/>
        <w:jc w:val="right"/>
        <w:textAlignment w:val="auto"/>
        <w:rPr>
          <w:rFonts w:hint="eastAsia" w:ascii="Times New Roman" w:hAnsi="Times New Roman" w:eastAsia="仿宋" w:cs="Times New Roman"/>
          <w:b w:val="0"/>
          <w:bCs w:val="0"/>
          <w:sz w:val="32"/>
          <w:szCs w:val="32"/>
          <w:lang w:val="en-US" w:eastAsia="zh-CN"/>
        </w:rPr>
      </w:pPr>
      <w:r>
        <w:rPr>
          <w:rFonts w:hint="default" w:ascii="Times New Roman" w:hAnsi="Times New Roman" w:eastAsia="仿宋" w:cs="Times New Roman"/>
          <w:b w:val="0"/>
          <w:bCs w:val="0"/>
          <w:sz w:val="32"/>
          <w:szCs w:val="32"/>
          <w:lang w:val="en-US" w:eastAsia="zh-CN"/>
        </w:rPr>
        <w:t xml:space="preserve">                           </w:t>
      </w:r>
      <w:r>
        <w:rPr>
          <w:rFonts w:hint="default" w:ascii="Times New Roman" w:hAnsi="Times New Roman" w:eastAsia="仿宋" w:cs="Times New Roman"/>
          <w:b w:val="0"/>
          <w:bCs w:val="0"/>
          <w:sz w:val="32"/>
          <w:szCs w:val="32"/>
          <w:lang w:eastAsia="zh-CN"/>
        </w:rPr>
        <w:t>20</w:t>
      </w:r>
      <w:r>
        <w:rPr>
          <w:rFonts w:hint="default" w:ascii="Times New Roman" w:hAnsi="Times New Roman" w:eastAsia="仿宋" w:cs="Times New Roman"/>
          <w:b w:val="0"/>
          <w:bCs w:val="0"/>
          <w:sz w:val="32"/>
          <w:szCs w:val="32"/>
          <w:lang w:val="en-US" w:eastAsia="zh-CN"/>
        </w:rPr>
        <w:t>2</w:t>
      </w:r>
      <w:r>
        <w:rPr>
          <w:rFonts w:hint="eastAsia" w:ascii="Times New Roman" w:hAnsi="Times New Roman" w:eastAsia="仿宋" w:cs="Times New Roman"/>
          <w:b w:val="0"/>
          <w:bCs w:val="0"/>
          <w:sz w:val="32"/>
          <w:szCs w:val="32"/>
          <w:lang w:val="en-US" w:eastAsia="zh-CN"/>
        </w:rPr>
        <w:t>6</w:t>
      </w:r>
      <w:r>
        <w:rPr>
          <w:rFonts w:hint="default" w:ascii="Times New Roman" w:hAnsi="Times New Roman" w:eastAsia="仿宋" w:cs="Times New Roman"/>
          <w:b w:val="0"/>
          <w:bCs w:val="0"/>
          <w:sz w:val="32"/>
          <w:szCs w:val="32"/>
        </w:rPr>
        <w:t>年</w:t>
      </w:r>
      <w:r>
        <w:rPr>
          <w:rFonts w:hint="eastAsia" w:ascii="Times New Roman" w:hAnsi="Times New Roman" w:eastAsia="仿宋" w:cs="Times New Roman"/>
          <w:b w:val="0"/>
          <w:bCs w:val="0"/>
          <w:sz w:val="32"/>
          <w:szCs w:val="32"/>
          <w:lang w:val="en-US" w:eastAsia="zh-CN"/>
        </w:rPr>
        <w:t>6</w:t>
      </w:r>
      <w:r>
        <w:rPr>
          <w:rFonts w:hint="default" w:ascii="Times New Roman" w:hAnsi="Times New Roman" w:eastAsia="仿宋" w:cs="Times New Roman"/>
          <w:b w:val="0"/>
          <w:bCs w:val="0"/>
          <w:color w:val="auto"/>
          <w:sz w:val="32"/>
          <w:szCs w:val="32"/>
        </w:rPr>
        <w:t>月</w:t>
      </w:r>
      <w:r>
        <w:rPr>
          <w:rFonts w:hint="eastAsia" w:ascii="Times New Roman" w:hAnsi="Times New Roman" w:eastAsia="仿宋" w:cs="Times New Roman"/>
          <w:b w:val="0"/>
          <w:bCs w:val="0"/>
          <w:color w:val="auto"/>
          <w:sz w:val="32"/>
          <w:szCs w:val="32"/>
          <w:lang w:val="en-US" w:eastAsia="zh-CN"/>
        </w:rPr>
        <w:t>2</w:t>
      </w:r>
      <w:r>
        <w:rPr>
          <w:rFonts w:hint="eastAsia" w:eastAsia="仿宋" w:cs="Times New Roman"/>
          <w:b w:val="0"/>
          <w:bCs w:val="0"/>
          <w:color w:val="auto"/>
          <w:sz w:val="32"/>
          <w:szCs w:val="32"/>
          <w:lang w:val="en-US" w:eastAsia="zh-CN"/>
        </w:rPr>
        <w:t>3</w:t>
      </w:r>
      <w:r>
        <w:rPr>
          <w:rFonts w:hint="default" w:ascii="Times New Roman" w:hAnsi="Times New Roman" w:eastAsia="仿宋" w:cs="Times New Roman"/>
          <w:b w:val="0"/>
          <w:bCs w:val="0"/>
          <w:sz w:val="32"/>
          <w:szCs w:val="32"/>
        </w:rPr>
        <w:t>日</w:t>
      </w:r>
      <w:r>
        <w:rPr>
          <w:rFonts w:hint="eastAsia" w:ascii="Times New Roman" w:hAnsi="Times New Roman" w:eastAsia="仿宋" w:cs="Times New Roman"/>
          <w:b w:val="0"/>
          <w:bCs w:val="0"/>
          <w:sz w:val="32"/>
          <w:szCs w:val="32"/>
          <w:lang w:val="en-US" w:eastAsia="zh-CN"/>
        </w:rPr>
        <w:t xml:space="preserve">      </w:t>
      </w:r>
    </w:p>
    <w:p w14:paraId="353498B7">
      <w:pPr>
        <w:pStyle w:val="20"/>
        <w:wordWrap/>
        <w:rPr>
          <w:rFonts w:hint="eastAsia" w:ascii="Times New Roman" w:hAnsi="Times New Roman" w:eastAsia="仿宋" w:cs="Times New Roman"/>
          <w:b w:val="0"/>
          <w:bCs w:val="0"/>
          <w:sz w:val="32"/>
          <w:szCs w:val="32"/>
          <w:lang w:val="en-US" w:eastAsia="zh-CN"/>
        </w:rPr>
      </w:pPr>
    </w:p>
    <w:p w14:paraId="0A2AFFED">
      <w:pPr>
        <w:keepNext w:val="0"/>
        <w:keepLines w:val="0"/>
        <w:pageBreakBefore w:val="0"/>
        <w:kinsoku/>
        <w:overflowPunct/>
        <w:topLinePunct w:val="0"/>
        <w:autoSpaceDE/>
        <w:autoSpaceDN/>
        <w:bidi w:val="0"/>
        <w:spacing w:line="520" w:lineRule="exact"/>
        <w:textAlignment w:val="auto"/>
        <w:rPr>
          <w:rFonts w:ascii="Times New Roman" w:hAnsi="Times New Roman" w:eastAsia="黑体"/>
          <w:bCs/>
          <w:sz w:val="32"/>
          <w:szCs w:val="32"/>
          <w:u w:val="thick"/>
        </w:rPr>
      </w:pPr>
      <w:r>
        <w:rPr>
          <w:rFonts w:ascii="Times New Roman" w:hAnsi="Times New Roman" w:eastAsia="黑体"/>
          <w:bCs/>
          <w:sz w:val="32"/>
          <w:szCs w:val="32"/>
          <w:u w:val="thick"/>
        </w:rPr>
        <w:t xml:space="preserve">                    </w:t>
      </w:r>
      <w:r>
        <w:rPr>
          <w:rFonts w:hint="eastAsia" w:ascii="Times New Roman" w:hAnsi="Times New Roman" w:eastAsia="黑体"/>
          <w:bCs/>
          <w:sz w:val="32"/>
          <w:szCs w:val="32"/>
          <w:u w:val="thick"/>
          <w:lang w:val="en-US" w:eastAsia="zh-CN"/>
        </w:rPr>
        <w:t xml:space="preserve"> </w:t>
      </w:r>
      <w:r>
        <w:rPr>
          <w:rFonts w:ascii="Times New Roman" w:hAnsi="Times New Roman" w:eastAsia="黑体"/>
          <w:bCs/>
          <w:sz w:val="32"/>
          <w:szCs w:val="32"/>
          <w:u w:val="thick"/>
        </w:rPr>
        <w:t xml:space="preserve">         </w:t>
      </w:r>
      <w:r>
        <w:rPr>
          <w:rFonts w:hint="eastAsia" w:ascii="Times New Roman" w:hAnsi="Times New Roman" w:eastAsia="黑体"/>
          <w:bCs/>
          <w:sz w:val="32"/>
          <w:szCs w:val="32"/>
          <w:u w:val="thick"/>
        </w:rPr>
        <w:t xml:space="preserve"> </w:t>
      </w:r>
      <w:r>
        <w:rPr>
          <w:rFonts w:ascii="Times New Roman" w:hAnsi="Times New Roman" w:eastAsia="黑体"/>
          <w:bCs/>
          <w:sz w:val="32"/>
          <w:szCs w:val="32"/>
          <w:u w:val="thick"/>
        </w:rPr>
        <w:t xml:space="preserve">                          </w:t>
      </w:r>
    </w:p>
    <w:p w14:paraId="2409BABE">
      <w:pPr>
        <w:pStyle w:val="2"/>
        <w:rPr>
          <w:rFonts w:hint="eastAsia" w:ascii="Times New Roman" w:hAnsi="Times New Roman" w:eastAsia="仿宋_GB2312"/>
          <w:sz w:val="32"/>
          <w:szCs w:val="32"/>
          <w:u w:val="single"/>
          <w:lang w:eastAsia="zh-CN"/>
        </w:rPr>
      </w:pPr>
      <w:r>
        <w:rPr>
          <w:rFonts w:ascii="Times New Roman" w:hAnsi="Times New Roman" w:eastAsia="仿宋_GB2312"/>
          <w:sz w:val="32"/>
          <w:szCs w:val="32"/>
          <w:u w:val="single"/>
        </w:rPr>
        <w:t>芷江侗族自治县水利局办公室            20</w:t>
      </w:r>
      <w:r>
        <w:rPr>
          <w:rFonts w:hint="eastAsia" w:ascii="Times New Roman" w:hAnsi="Times New Roman" w:eastAsia="仿宋_GB2312"/>
          <w:sz w:val="32"/>
          <w:szCs w:val="32"/>
          <w:u w:val="single"/>
        </w:rPr>
        <w:t>2</w:t>
      </w:r>
      <w:r>
        <w:rPr>
          <w:rFonts w:hint="eastAsia" w:ascii="Times New Roman" w:hAnsi="Times New Roman" w:eastAsia="仿宋_GB2312"/>
          <w:sz w:val="32"/>
          <w:szCs w:val="32"/>
          <w:u w:val="single"/>
          <w:lang w:val="en-US" w:eastAsia="zh-CN"/>
        </w:rPr>
        <w:t>6</w:t>
      </w:r>
      <w:r>
        <w:rPr>
          <w:rFonts w:ascii="Times New Roman" w:hAnsi="Times New Roman" w:eastAsia="仿宋_GB2312"/>
          <w:sz w:val="32"/>
          <w:szCs w:val="32"/>
          <w:u w:val="single"/>
        </w:rPr>
        <w:t>年</w:t>
      </w:r>
      <w:r>
        <w:rPr>
          <w:rFonts w:hint="eastAsia" w:ascii="Times New Roman" w:hAnsi="Times New Roman" w:eastAsia="仿宋_GB2312"/>
          <w:sz w:val="32"/>
          <w:szCs w:val="32"/>
          <w:u w:val="single"/>
          <w:lang w:val="en-US" w:eastAsia="zh-CN"/>
        </w:rPr>
        <w:t>6</w:t>
      </w:r>
      <w:r>
        <w:rPr>
          <w:rFonts w:ascii="Times New Roman" w:hAnsi="Times New Roman" w:eastAsia="仿宋_GB2312"/>
          <w:sz w:val="32"/>
          <w:szCs w:val="32"/>
          <w:u w:val="single"/>
        </w:rPr>
        <w:t>月</w:t>
      </w:r>
      <w:r>
        <w:rPr>
          <w:rFonts w:hint="eastAsia" w:ascii="Times New Roman" w:hAnsi="Times New Roman" w:eastAsia="仿宋_GB2312"/>
          <w:sz w:val="32"/>
          <w:szCs w:val="32"/>
          <w:u w:val="single"/>
          <w:lang w:val="en-US" w:eastAsia="zh-CN"/>
        </w:rPr>
        <w:t>2</w:t>
      </w:r>
      <w:r>
        <w:rPr>
          <w:rFonts w:hint="eastAsia" w:eastAsia="仿宋_GB2312"/>
          <w:sz w:val="32"/>
          <w:szCs w:val="32"/>
          <w:u w:val="single"/>
          <w:lang w:val="en-US" w:eastAsia="zh-CN"/>
        </w:rPr>
        <w:t>3</w:t>
      </w:r>
      <w:bookmarkStart w:id="0" w:name="_GoBack"/>
      <w:bookmarkEnd w:id="0"/>
      <w:r>
        <w:rPr>
          <w:rFonts w:ascii="Times New Roman" w:hAnsi="Times New Roman" w:eastAsia="仿宋_GB2312"/>
          <w:sz w:val="32"/>
          <w:szCs w:val="32"/>
          <w:u w:val="single"/>
        </w:rPr>
        <w:t>日印</w:t>
      </w:r>
      <w:r>
        <w:rPr>
          <w:rFonts w:hint="eastAsia" w:ascii="Times New Roman" w:hAnsi="Times New Roman" w:eastAsia="仿宋_GB2312"/>
          <w:sz w:val="32"/>
          <w:szCs w:val="32"/>
          <w:u w:val="single"/>
          <w:lang w:eastAsia="zh-CN"/>
        </w:rPr>
        <w:t>发</w:t>
      </w:r>
      <w:r>
        <w:rPr>
          <w:rFonts w:hint="eastAsia" w:ascii="Times New Roman" w:hAnsi="Times New Roman" w:eastAsia="仿宋_GB2312"/>
          <w:sz w:val="32"/>
          <w:szCs w:val="32"/>
          <w:u w:val="single"/>
          <w:lang w:eastAsia="zh-CN"/>
        </w:rPr>
        <w:br w:type="page"/>
      </w:r>
    </w:p>
    <w:p w14:paraId="6AAA5F37">
      <w:pPr>
        <w:keepNext/>
        <w:keepLines/>
        <w:pageBreakBefore w:val="0"/>
        <w:widowControl w:val="0"/>
        <w:numPr>
          <w:ilvl w:val="0"/>
          <w:numId w:val="0"/>
        </w:numPr>
        <w:tabs>
          <w:tab w:val="left" w:pos="0"/>
        </w:tabs>
        <w:kinsoku/>
        <w:wordWrap/>
        <w:overflowPunct/>
        <w:topLinePunct w:val="0"/>
        <w:autoSpaceDE/>
        <w:autoSpaceDN/>
        <w:bidi w:val="0"/>
        <w:adjustRightInd/>
        <w:snapToGrid/>
        <w:spacing w:beforeAutospacing="0" w:afterAutospacing="0" w:line="560" w:lineRule="exact"/>
        <w:ind w:left="850" w:hanging="850" w:firstLineChars="0"/>
        <w:jc w:val="center"/>
        <w:textAlignment w:val="auto"/>
        <w:outlineLvl w:val="0"/>
        <w:rPr>
          <w:rFonts w:hint="eastAsia" w:ascii="方正小标宋_GBK" w:hAnsi="方正小标宋_GBK" w:eastAsia="方正小标宋_GBK" w:cs="方正小标宋_GBK"/>
          <w:b w:val="0"/>
          <w:kern w:val="44"/>
          <w:sz w:val="44"/>
          <w:szCs w:val="44"/>
          <w:lang w:val="en-US" w:eastAsia="zh-CN" w:bidi="ar-SA"/>
        </w:rPr>
      </w:pPr>
      <w:r>
        <w:rPr>
          <w:rFonts w:hint="eastAsia" w:ascii="方正小标宋_GBK" w:hAnsi="方正小标宋_GBK" w:eastAsia="方正小标宋_GBK" w:cs="方正小标宋_GBK"/>
          <w:b w:val="0"/>
          <w:kern w:val="44"/>
          <w:sz w:val="44"/>
          <w:szCs w:val="44"/>
          <w:lang w:val="en-US" w:eastAsia="zh-CN" w:bidi="ar-SA"/>
        </w:rPr>
        <w:t>芷江侗族自治县农业用水权回购与</w:t>
      </w:r>
    </w:p>
    <w:p w14:paraId="603C167E">
      <w:pPr>
        <w:pStyle w:val="3"/>
        <w:pageBreakBefore w:val="0"/>
        <w:widowControl w:val="0"/>
        <w:kinsoku/>
        <w:wordWrap/>
        <w:overflowPunct/>
        <w:topLinePunct w:val="0"/>
        <w:autoSpaceDE/>
        <w:autoSpaceDN/>
        <w:bidi w:val="0"/>
        <w:adjustRightInd/>
        <w:snapToGrid/>
        <w:spacing w:line="560" w:lineRule="exact"/>
        <w:ind w:left="0" w:leftChars="0" w:firstLine="0" w:firstLineChars="0"/>
        <w:jc w:val="center"/>
        <w:textAlignment w:val="auto"/>
        <w:rPr>
          <w:rFonts w:hint="eastAsia" w:ascii="方正小标宋_GBK" w:hAnsi="方正小标宋_GBK" w:eastAsia="方正小标宋_GBK" w:cs="方正小标宋_GBK"/>
          <w:b w:val="0"/>
          <w:kern w:val="44"/>
          <w:sz w:val="44"/>
          <w:szCs w:val="44"/>
          <w:lang w:val="en-US" w:eastAsia="zh-CN" w:bidi="ar-SA"/>
        </w:rPr>
      </w:pPr>
      <w:r>
        <w:rPr>
          <w:rFonts w:hint="eastAsia" w:ascii="方正小标宋_GBK" w:hAnsi="方正小标宋_GBK" w:eastAsia="方正小标宋_GBK" w:cs="方正小标宋_GBK"/>
          <w:b w:val="0"/>
          <w:kern w:val="44"/>
          <w:sz w:val="44"/>
          <w:szCs w:val="44"/>
          <w:lang w:val="en-US" w:eastAsia="zh-CN" w:bidi="ar-SA"/>
        </w:rPr>
        <w:t>交易管理办法（试行）</w:t>
      </w:r>
    </w:p>
    <w:p w14:paraId="3CE7EDAF">
      <w:pPr>
        <w:rPr>
          <w:rFonts w:hint="eastAsia"/>
          <w:sz w:val="32"/>
          <w:szCs w:val="32"/>
          <w:lang w:val="en-US" w:eastAsia="zh-CN"/>
        </w:rPr>
      </w:pPr>
    </w:p>
    <w:p w14:paraId="1ADB6C7D">
      <w:pPr>
        <w:keepNext/>
        <w:keepLines/>
        <w:pageBreakBefore w:val="0"/>
        <w:widowControl w:val="0"/>
        <w:numPr>
          <w:ilvl w:val="1"/>
          <w:numId w:val="3"/>
        </w:numPr>
        <w:kinsoku/>
        <w:wordWrap/>
        <w:overflowPunct/>
        <w:topLinePunct w:val="0"/>
        <w:autoSpaceDE/>
        <w:autoSpaceDN/>
        <w:bidi w:val="0"/>
        <w:adjustRightInd/>
        <w:snapToGrid/>
        <w:spacing w:beforeAutospacing="0" w:afterAutospacing="0" w:line="560" w:lineRule="exact"/>
        <w:ind w:left="0" w:firstLine="0" w:firstLineChars="0"/>
        <w:jc w:val="center"/>
        <w:textAlignment w:val="auto"/>
        <w:outlineLvl w:val="1"/>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总则</w:t>
      </w:r>
    </w:p>
    <w:p w14:paraId="2AEB99D3">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 w:hAnsi="仿宋" w:eastAsia="仿宋" w:cs="仿宋"/>
          <w:sz w:val="32"/>
          <w:szCs w:val="32"/>
          <w:lang w:val="en-US" w:eastAsia="zh-CN"/>
        </w:rPr>
      </w:pPr>
      <w:r>
        <w:rPr>
          <w:rFonts w:hint="eastAsia" w:ascii="仿宋" w:hAnsi="仿宋" w:eastAsia="仿宋" w:cs="仿宋"/>
          <w:b/>
          <w:bCs/>
          <w:sz w:val="32"/>
          <w:szCs w:val="32"/>
          <w:lang w:val="en-US" w:eastAsia="zh-CN"/>
        </w:rPr>
        <w:t>第一条</w:t>
      </w:r>
      <w:r>
        <w:rPr>
          <w:rFonts w:hint="eastAsia" w:ascii="仿宋" w:hAnsi="仿宋" w:eastAsia="仿宋" w:cs="仿宋"/>
          <w:sz w:val="32"/>
          <w:szCs w:val="32"/>
          <w:lang w:val="en-US" w:eastAsia="zh-CN"/>
        </w:rPr>
        <w:t xml:space="preserve"> 为规范芷江侗族自治县农业用水权交易行为，维护农业用水权交易各参与方的合法权益，根据《中华人民共和国水法》《水权交易管理暂行办法》（水政法〔2016〕156号）、《用水权交易管理规则（试行）》（水财务〔2024〕9号）以及《湖南省水利厅 湖南省发展和改革委员会 湖南省财政厅关于推进用水权改革工作的实施意见》（水资管〔2022〕333号）等有关法律法规和政策文件，结合芷江侗族自治县实际，制定本办法。</w:t>
      </w:r>
    </w:p>
    <w:p w14:paraId="31F818FA">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 w:hAnsi="仿宋" w:eastAsia="仿宋" w:cs="仿宋"/>
          <w:sz w:val="32"/>
          <w:szCs w:val="32"/>
          <w:lang w:val="en-US" w:eastAsia="zh-CN"/>
        </w:rPr>
      </w:pPr>
      <w:r>
        <w:rPr>
          <w:rFonts w:hint="eastAsia" w:ascii="仿宋" w:hAnsi="仿宋" w:eastAsia="仿宋" w:cs="仿宋"/>
          <w:b/>
          <w:bCs/>
          <w:sz w:val="32"/>
          <w:szCs w:val="32"/>
          <w:lang w:val="en-US" w:eastAsia="zh-CN"/>
        </w:rPr>
        <w:t>第二条</w:t>
      </w:r>
      <w:r>
        <w:rPr>
          <w:rFonts w:hint="eastAsia" w:ascii="仿宋" w:hAnsi="仿宋" w:eastAsia="仿宋" w:cs="仿宋"/>
          <w:sz w:val="32"/>
          <w:szCs w:val="32"/>
          <w:lang w:val="en-US" w:eastAsia="zh-CN"/>
        </w:rPr>
        <w:t xml:space="preserve"> 本办法适用于芷江侗族自治县行政区域内的农业用水权回购与交易的管理。</w:t>
      </w:r>
    </w:p>
    <w:p w14:paraId="53B88EAA">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 w:hAnsi="仿宋" w:eastAsia="仿宋" w:cs="仿宋"/>
          <w:sz w:val="32"/>
          <w:szCs w:val="32"/>
          <w:lang w:val="en-US" w:eastAsia="zh-CN"/>
        </w:rPr>
      </w:pPr>
      <w:r>
        <w:rPr>
          <w:rFonts w:hint="eastAsia" w:ascii="仿宋" w:hAnsi="仿宋" w:eastAsia="仿宋" w:cs="仿宋"/>
          <w:b/>
          <w:bCs/>
          <w:sz w:val="32"/>
          <w:szCs w:val="32"/>
          <w:lang w:val="en-US" w:eastAsia="zh-CN"/>
        </w:rPr>
        <w:t xml:space="preserve">第三条 </w:t>
      </w:r>
      <w:r>
        <w:rPr>
          <w:rFonts w:hint="eastAsia" w:ascii="仿宋" w:hAnsi="仿宋" w:eastAsia="仿宋" w:cs="仿宋"/>
          <w:sz w:val="32"/>
          <w:szCs w:val="32"/>
          <w:lang w:val="en-US" w:eastAsia="zh-CN"/>
        </w:rPr>
        <w:t>本办法所称农业用水权回购是指回购主体在年度内以一定单价买入灌溉用水户结余农业用水权的交易。本办法所称农业用水权交易，是指交易主体通过市场机制进行农业用水权流转的行为。</w:t>
      </w:r>
    </w:p>
    <w:p w14:paraId="2EF67B45">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 w:hAnsi="仿宋" w:eastAsia="仿宋" w:cs="仿宋"/>
          <w:sz w:val="32"/>
          <w:szCs w:val="32"/>
          <w:lang w:val="en-US" w:eastAsia="zh-CN"/>
        </w:rPr>
      </w:pPr>
      <w:r>
        <w:rPr>
          <w:rFonts w:hint="eastAsia" w:ascii="仿宋" w:hAnsi="仿宋" w:eastAsia="仿宋" w:cs="仿宋"/>
          <w:b/>
          <w:bCs/>
          <w:sz w:val="32"/>
          <w:szCs w:val="32"/>
          <w:lang w:val="en-US" w:eastAsia="zh-CN"/>
        </w:rPr>
        <w:t>第四条</w:t>
      </w:r>
      <w:r>
        <w:rPr>
          <w:rFonts w:hint="eastAsia" w:ascii="仿宋" w:hAnsi="仿宋" w:eastAsia="仿宋" w:cs="仿宋"/>
          <w:sz w:val="32"/>
          <w:szCs w:val="32"/>
          <w:lang w:val="en-US" w:eastAsia="zh-CN"/>
        </w:rPr>
        <w:t xml:space="preserve"> 农业用水权回购主体为县水行政主管部门或其授权的灌区管理单位及农业用水户协会。农业用水权交易主体为已明确用水权益的灌溉用水户或者用水组织，通过交易转让水权的一方称转让方，取得水权的一方称受让方。</w:t>
      </w:r>
    </w:p>
    <w:p w14:paraId="16A31EB9">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 w:hAnsi="仿宋" w:eastAsia="仿宋" w:cs="仿宋"/>
          <w:sz w:val="32"/>
          <w:szCs w:val="32"/>
          <w:lang w:val="en-US" w:eastAsia="zh-CN"/>
        </w:rPr>
      </w:pPr>
      <w:r>
        <w:rPr>
          <w:rFonts w:hint="eastAsia" w:ascii="仿宋" w:hAnsi="仿宋" w:eastAsia="仿宋" w:cs="仿宋"/>
          <w:b/>
          <w:bCs/>
          <w:sz w:val="32"/>
          <w:szCs w:val="32"/>
          <w:lang w:val="en-US" w:eastAsia="zh-CN"/>
        </w:rPr>
        <w:t>第五条</w:t>
      </w:r>
      <w:r>
        <w:rPr>
          <w:rFonts w:hint="eastAsia" w:ascii="仿宋" w:hAnsi="仿宋" w:eastAsia="仿宋" w:cs="仿宋"/>
          <w:sz w:val="32"/>
          <w:szCs w:val="32"/>
          <w:lang w:val="en-US" w:eastAsia="zh-CN"/>
        </w:rPr>
        <w:t xml:space="preserve"> 农业用水权回购与交易应当有利于水资源高效利用与节约保护，坚持积极稳妥、因地制宜、公正有序的原则，实行政府调控和市场调节相结合，促进农业用水权规范有序流转。</w:t>
      </w:r>
    </w:p>
    <w:p w14:paraId="2FBCAF99">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 w:hAnsi="仿宋" w:eastAsia="仿宋" w:cs="仿宋"/>
          <w:sz w:val="32"/>
          <w:szCs w:val="32"/>
          <w:lang w:val="en-US" w:eastAsia="zh-CN"/>
        </w:rPr>
      </w:pPr>
      <w:r>
        <w:rPr>
          <w:rFonts w:hint="eastAsia" w:ascii="仿宋" w:hAnsi="仿宋" w:eastAsia="仿宋" w:cs="仿宋"/>
          <w:b/>
          <w:bCs/>
          <w:sz w:val="32"/>
          <w:szCs w:val="32"/>
          <w:lang w:val="en-US" w:eastAsia="zh-CN"/>
        </w:rPr>
        <w:t>第六条</w:t>
      </w:r>
      <w:r>
        <w:rPr>
          <w:rFonts w:hint="eastAsia" w:ascii="仿宋" w:hAnsi="仿宋" w:eastAsia="仿宋" w:cs="仿宋"/>
          <w:sz w:val="32"/>
          <w:szCs w:val="32"/>
          <w:lang w:val="en-US" w:eastAsia="zh-CN"/>
        </w:rPr>
        <w:t xml:space="preserve"> 农业用水权回购与交易应通过全国水权交易系统芷江侗族自治县水权交易大厅进行。</w:t>
      </w:r>
    </w:p>
    <w:p w14:paraId="7881B255">
      <w:pPr>
        <w:keepNext/>
        <w:keepLines/>
        <w:pageBreakBefore w:val="0"/>
        <w:widowControl w:val="0"/>
        <w:numPr>
          <w:ilvl w:val="1"/>
          <w:numId w:val="3"/>
        </w:numPr>
        <w:kinsoku/>
        <w:wordWrap/>
        <w:overflowPunct/>
        <w:topLinePunct w:val="0"/>
        <w:autoSpaceDE/>
        <w:autoSpaceDN/>
        <w:bidi w:val="0"/>
        <w:adjustRightInd/>
        <w:snapToGrid/>
        <w:spacing w:beforeAutospacing="0" w:afterAutospacing="0" w:line="560" w:lineRule="exact"/>
        <w:ind w:left="0" w:firstLine="0" w:firstLineChars="0"/>
        <w:jc w:val="center"/>
        <w:textAlignment w:val="auto"/>
        <w:outlineLvl w:val="1"/>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用水权回购</w:t>
      </w:r>
    </w:p>
    <w:p w14:paraId="7837781D">
      <w:pPr>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 w:hAnsi="仿宋" w:eastAsia="仿宋" w:cs="仿宋"/>
          <w:b w:val="0"/>
          <w:bCs w:val="0"/>
          <w:sz w:val="32"/>
          <w:szCs w:val="32"/>
          <w:lang w:val="en-US" w:eastAsia="zh-CN"/>
        </w:rPr>
      </w:pPr>
      <w:r>
        <w:rPr>
          <w:rFonts w:hint="eastAsia" w:ascii="仿宋" w:hAnsi="仿宋" w:eastAsia="仿宋" w:cs="仿宋"/>
          <w:b/>
          <w:bCs/>
          <w:sz w:val="32"/>
          <w:szCs w:val="32"/>
          <w:lang w:val="en-US" w:eastAsia="zh-CN"/>
        </w:rPr>
        <w:t xml:space="preserve">第七条 </w:t>
      </w:r>
      <w:r>
        <w:rPr>
          <w:rFonts w:hint="eastAsia" w:ascii="仿宋" w:hAnsi="仿宋" w:eastAsia="仿宋" w:cs="仿宋"/>
          <w:b w:val="0"/>
          <w:bCs w:val="0"/>
          <w:sz w:val="32"/>
          <w:szCs w:val="32"/>
          <w:lang w:val="en-US" w:eastAsia="zh-CN"/>
        </w:rPr>
        <w:t>回购水权应在保障粮食安全的基础上，充分考虑来水条件、水资源年际动态变化、节水水平等因素综合确定，可回购全部结余水量，也可回购部分结余水量，为鼓励节水，回购部分结余水量的，应优先回购节水效果显著的灌溉用水户。</w:t>
      </w:r>
    </w:p>
    <w:p w14:paraId="195C9B16">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在灌溉期间回购水权的，应根据实际灌溉用水情况、水权交易情况等推算结余水权，回购水权不得超过推算的结余水权。</w:t>
      </w:r>
    </w:p>
    <w:p w14:paraId="342696ED">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b w:val="0"/>
          <w:bCs w:val="0"/>
          <w:sz w:val="32"/>
          <w:szCs w:val="32"/>
          <w:lang w:val="en-US" w:eastAsia="zh-CN"/>
        </w:rPr>
        <w:t>在灌溉期结束后回购水权的，回购水权不得超过转让方的农业用水权结余。</w:t>
      </w:r>
    </w:p>
    <w:p w14:paraId="6A8FB252">
      <w:pPr>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 w:hAnsi="仿宋" w:eastAsia="仿宋" w:cs="仿宋"/>
          <w:sz w:val="32"/>
          <w:szCs w:val="32"/>
          <w:lang w:val="en-US" w:eastAsia="zh-CN"/>
        </w:rPr>
      </w:pPr>
      <w:r>
        <w:rPr>
          <w:rFonts w:hint="eastAsia" w:ascii="仿宋" w:hAnsi="仿宋" w:eastAsia="仿宋" w:cs="仿宋"/>
          <w:b/>
          <w:bCs/>
          <w:sz w:val="32"/>
          <w:szCs w:val="32"/>
          <w:lang w:val="en-US" w:eastAsia="zh-CN"/>
        </w:rPr>
        <w:t>第八条</w:t>
      </w:r>
      <w:r>
        <w:rPr>
          <w:rFonts w:hint="eastAsia" w:ascii="仿宋" w:hAnsi="仿宋" w:eastAsia="仿宋" w:cs="仿宋"/>
          <w:sz w:val="32"/>
          <w:szCs w:val="32"/>
          <w:lang w:val="en-US" w:eastAsia="zh-CN"/>
        </w:rPr>
        <w:t xml:space="preserve"> 回购期限不得超出农业用水权证载明的有效期。回购的水权用于灌区重新配置或水权交易的，其配置或交易期限不得超出回购期限。</w:t>
      </w:r>
    </w:p>
    <w:p w14:paraId="03FB4AD5">
      <w:pPr>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 w:hAnsi="仿宋" w:eastAsia="仿宋" w:cs="仿宋"/>
          <w:sz w:val="32"/>
          <w:szCs w:val="32"/>
          <w:lang w:val="en-US" w:eastAsia="zh-CN"/>
        </w:rPr>
      </w:pPr>
      <w:r>
        <w:rPr>
          <w:rFonts w:hint="eastAsia" w:ascii="仿宋" w:hAnsi="仿宋" w:eastAsia="仿宋" w:cs="仿宋"/>
          <w:b/>
          <w:bCs/>
          <w:sz w:val="32"/>
          <w:szCs w:val="32"/>
          <w:lang w:val="en-US" w:eastAsia="zh-CN"/>
        </w:rPr>
        <w:t>第九条</w:t>
      </w:r>
      <w:r>
        <w:rPr>
          <w:rFonts w:hint="eastAsia" w:ascii="仿宋" w:hAnsi="仿宋" w:eastAsia="仿宋" w:cs="仿宋"/>
          <w:sz w:val="32"/>
          <w:szCs w:val="32"/>
          <w:lang w:val="en-US" w:eastAsia="zh-CN"/>
        </w:rPr>
        <w:t xml:space="preserve"> 回购价格一般由回购主体根据回购资金规模、回购水权总量、水权交易市场价格等综合确定。回购以“元/立方米”为计价单位。回购水量的最小变动计量为1立方米，回购价格的最小变动计量为0.001元人民币。</w:t>
      </w:r>
    </w:p>
    <w:p w14:paraId="12B59E44">
      <w:pPr>
        <w:keepNext/>
        <w:keepLines/>
        <w:pageBreakBefore w:val="0"/>
        <w:widowControl w:val="0"/>
        <w:numPr>
          <w:ilvl w:val="1"/>
          <w:numId w:val="3"/>
        </w:numPr>
        <w:kinsoku/>
        <w:wordWrap/>
        <w:overflowPunct/>
        <w:topLinePunct w:val="0"/>
        <w:autoSpaceDE/>
        <w:autoSpaceDN/>
        <w:bidi w:val="0"/>
        <w:adjustRightInd/>
        <w:snapToGrid/>
        <w:spacing w:beforeAutospacing="0" w:afterAutospacing="0" w:line="560" w:lineRule="exact"/>
        <w:ind w:left="0" w:firstLine="0" w:firstLineChars="0"/>
        <w:jc w:val="center"/>
        <w:textAlignment w:val="auto"/>
        <w:outlineLvl w:val="1"/>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用水权交易</w:t>
      </w:r>
    </w:p>
    <w:p w14:paraId="5073FD9B">
      <w:pPr>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 w:hAnsi="仿宋" w:eastAsia="仿宋" w:cs="仿宋"/>
          <w:sz w:val="32"/>
          <w:szCs w:val="32"/>
          <w:lang w:val="en-US" w:eastAsia="zh-CN"/>
        </w:rPr>
      </w:pPr>
      <w:r>
        <w:rPr>
          <w:rFonts w:hint="eastAsia" w:ascii="仿宋" w:hAnsi="仿宋" w:eastAsia="仿宋" w:cs="仿宋"/>
          <w:b/>
          <w:bCs/>
          <w:sz w:val="32"/>
          <w:szCs w:val="32"/>
          <w:lang w:val="en-US" w:eastAsia="zh-CN"/>
        </w:rPr>
        <w:t>第十条</w:t>
      </w:r>
      <w:r>
        <w:rPr>
          <w:rFonts w:hint="eastAsia" w:ascii="仿宋" w:hAnsi="仿宋" w:eastAsia="仿宋" w:cs="仿宋"/>
          <w:sz w:val="32"/>
          <w:szCs w:val="32"/>
          <w:lang w:val="en-US" w:eastAsia="zh-CN"/>
        </w:rPr>
        <w:t xml:space="preserve"> 农业用水权交易主要采取灌溉用水户间用水权交易、跨行业交易等形式开展。</w:t>
      </w:r>
    </w:p>
    <w:p w14:paraId="1897015A">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（一）灌溉用水户间用水权交易。在灌溉用水户之间进行，按照相关规定约定交易水量、交易期限、交易价格、资金结算、违约责任等。</w:t>
      </w:r>
    </w:p>
    <w:p w14:paraId="5E55D58F">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（二）跨行业交易。在保障区域内农业合理用水需求的前提下，农业用水权回购指标可以通过市场化交易向生活、工业、生态等行业转让；或者作为储备用水权。</w:t>
      </w:r>
    </w:p>
    <w:p w14:paraId="55129674">
      <w:pPr>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 w:hAnsi="仿宋" w:eastAsia="仿宋" w:cs="仿宋"/>
          <w:sz w:val="32"/>
          <w:szCs w:val="32"/>
          <w:lang w:val="en-US" w:eastAsia="zh-CN"/>
        </w:rPr>
      </w:pPr>
      <w:r>
        <w:rPr>
          <w:rFonts w:hint="eastAsia" w:ascii="仿宋" w:hAnsi="仿宋" w:eastAsia="仿宋" w:cs="仿宋"/>
          <w:b/>
          <w:bCs/>
          <w:sz w:val="32"/>
          <w:szCs w:val="32"/>
          <w:lang w:val="en-US" w:eastAsia="zh-CN"/>
        </w:rPr>
        <w:t>第十一条</w:t>
      </w:r>
      <w:r>
        <w:rPr>
          <w:rFonts w:hint="eastAsia" w:ascii="仿宋" w:hAnsi="仿宋" w:eastAsia="仿宋" w:cs="仿宋"/>
          <w:sz w:val="32"/>
          <w:szCs w:val="32"/>
          <w:lang w:val="en-US" w:eastAsia="zh-CN"/>
        </w:rPr>
        <w:t xml:space="preserve"> 有以下情形的农业用水权可进行交易：</w:t>
      </w:r>
    </w:p>
    <w:p w14:paraId="3113F7C2">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（一）回购的农业用水权。</w:t>
      </w:r>
    </w:p>
    <w:p w14:paraId="33A1631C">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（二）灌区管理单位实施节水改造后节约的取水权，或在取水许可有效期和限额内尚未使用的取水权。</w:t>
      </w:r>
    </w:p>
    <w:p w14:paraId="3AFFD57A">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（三）已获得农业用水权证的灌溉用水户农业用水权。</w:t>
      </w:r>
    </w:p>
    <w:p w14:paraId="3E690B47">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（四）法律、法规和规章等规定的其他情形。</w:t>
      </w:r>
    </w:p>
    <w:p w14:paraId="0240F737">
      <w:pPr>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 w:hAnsi="仿宋" w:eastAsia="仿宋" w:cs="仿宋"/>
          <w:sz w:val="32"/>
          <w:szCs w:val="32"/>
          <w:lang w:val="en-US" w:eastAsia="zh-CN"/>
        </w:rPr>
      </w:pPr>
      <w:r>
        <w:rPr>
          <w:rFonts w:hint="eastAsia" w:ascii="仿宋" w:hAnsi="仿宋" w:eastAsia="仿宋" w:cs="仿宋"/>
          <w:b/>
          <w:bCs/>
          <w:sz w:val="32"/>
          <w:szCs w:val="32"/>
          <w:lang w:val="en-US" w:eastAsia="zh-CN"/>
        </w:rPr>
        <w:t>第十二条</w:t>
      </w:r>
      <w:r>
        <w:rPr>
          <w:rFonts w:hint="eastAsia" w:ascii="仿宋" w:hAnsi="仿宋" w:eastAsia="仿宋" w:cs="仿宋"/>
          <w:sz w:val="32"/>
          <w:szCs w:val="32"/>
          <w:lang w:val="en-US" w:eastAsia="zh-CN"/>
        </w:rPr>
        <w:t xml:space="preserve"> 转让方具有以下情形之一的，禁止转让水权：</w:t>
      </w:r>
    </w:p>
    <w:p w14:paraId="2A06253E">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（一）不利于水资源可持续利用的；</w:t>
      </w:r>
    </w:p>
    <w:p w14:paraId="6C580E10">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（二）对他人重大利益可能造成不利影响，没有合理补偿方案或者补救措施不可行，且利害关系人未明确表示同意的；</w:t>
      </w:r>
    </w:p>
    <w:p w14:paraId="339029C4">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（三）撂荒土地等非节约用水的农业用水权；</w:t>
      </w:r>
    </w:p>
    <w:p w14:paraId="46F48148">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（四）法律法规规定的其他禁止转让的情形。</w:t>
      </w:r>
    </w:p>
    <w:p w14:paraId="0EC5683A">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受让方具有以下情形之一的，禁止受让水权：</w:t>
      </w:r>
    </w:p>
    <w:p w14:paraId="18AA332A">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（一）不符合国家产业政策或者列入国家产业结构调整指导目录中淘汰类的建设项目新增取水。</w:t>
      </w:r>
    </w:p>
    <w:p w14:paraId="7033A300">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（二）不符合节水有关规定要求的。</w:t>
      </w:r>
    </w:p>
    <w:p w14:paraId="1BD7AF16">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（三）未安装取水计量监测设施的。</w:t>
      </w:r>
    </w:p>
    <w:p w14:paraId="38567422">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（四）法律法规规定的其他情形。</w:t>
      </w:r>
    </w:p>
    <w:p w14:paraId="6C014D24">
      <w:pPr>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 w:hAnsi="仿宋" w:eastAsia="仿宋" w:cs="仿宋"/>
          <w:sz w:val="32"/>
          <w:szCs w:val="32"/>
          <w:lang w:val="en-US" w:eastAsia="zh-CN"/>
        </w:rPr>
      </w:pPr>
      <w:r>
        <w:rPr>
          <w:rFonts w:hint="eastAsia" w:ascii="仿宋" w:hAnsi="仿宋" w:eastAsia="仿宋" w:cs="仿宋"/>
          <w:b/>
          <w:bCs/>
          <w:sz w:val="32"/>
          <w:szCs w:val="32"/>
          <w:lang w:val="en-US" w:eastAsia="zh-CN"/>
        </w:rPr>
        <w:t>第十三条</w:t>
      </w:r>
      <w:r>
        <w:rPr>
          <w:rFonts w:hint="eastAsia" w:ascii="仿宋" w:hAnsi="仿宋" w:eastAsia="仿宋" w:cs="仿宋"/>
          <w:sz w:val="32"/>
          <w:szCs w:val="32"/>
          <w:lang w:val="en-US" w:eastAsia="zh-CN"/>
        </w:rPr>
        <w:t xml:space="preserve"> 农业用水权交易价格由水资源稀缺程度、成本费用、合理收益等因素确定。</w:t>
      </w:r>
    </w:p>
    <w:p w14:paraId="27C0CEEF">
      <w:pPr>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 w:hAnsi="仿宋" w:eastAsia="仿宋" w:cs="仿宋"/>
          <w:sz w:val="32"/>
          <w:szCs w:val="32"/>
          <w:lang w:val="en-US" w:eastAsia="zh-CN"/>
        </w:rPr>
      </w:pPr>
      <w:r>
        <w:rPr>
          <w:rFonts w:hint="eastAsia" w:ascii="仿宋" w:hAnsi="仿宋" w:eastAsia="仿宋" w:cs="仿宋"/>
          <w:b/>
          <w:bCs/>
          <w:sz w:val="32"/>
          <w:szCs w:val="32"/>
          <w:lang w:val="en-US" w:eastAsia="zh-CN"/>
        </w:rPr>
        <w:t>第十四条</w:t>
      </w:r>
      <w:r>
        <w:rPr>
          <w:rFonts w:hint="eastAsia" w:ascii="仿宋" w:hAnsi="仿宋" w:eastAsia="仿宋" w:cs="仿宋"/>
          <w:sz w:val="32"/>
          <w:szCs w:val="32"/>
          <w:lang w:val="en-US" w:eastAsia="zh-CN"/>
        </w:rPr>
        <w:t xml:space="preserve"> 交易主体通过协议转让、单向竞价等方式达成一致意见并签署交易协议。交易完成后，由交易双方申请权属变更，县水行政主管部门根据交易结果调整权属凭证。</w:t>
      </w:r>
    </w:p>
    <w:p w14:paraId="3FDDC97F">
      <w:pPr>
        <w:keepNext/>
        <w:keepLines/>
        <w:pageBreakBefore w:val="0"/>
        <w:widowControl w:val="0"/>
        <w:numPr>
          <w:ilvl w:val="1"/>
          <w:numId w:val="3"/>
        </w:numPr>
        <w:kinsoku/>
        <w:wordWrap/>
        <w:overflowPunct/>
        <w:topLinePunct w:val="0"/>
        <w:autoSpaceDE/>
        <w:autoSpaceDN/>
        <w:bidi w:val="0"/>
        <w:adjustRightInd/>
        <w:snapToGrid/>
        <w:spacing w:beforeAutospacing="0" w:afterAutospacing="0" w:line="560" w:lineRule="exact"/>
        <w:ind w:left="0" w:firstLine="0" w:firstLineChars="0"/>
        <w:jc w:val="center"/>
        <w:textAlignment w:val="auto"/>
        <w:outlineLvl w:val="1"/>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回购与交易资金管理</w:t>
      </w:r>
    </w:p>
    <w:p w14:paraId="78FC775E">
      <w:pPr>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 w:hAnsi="仿宋" w:eastAsia="仿宋" w:cs="仿宋"/>
          <w:sz w:val="32"/>
          <w:szCs w:val="32"/>
          <w:lang w:val="en-US" w:eastAsia="zh-CN"/>
        </w:rPr>
      </w:pPr>
      <w:r>
        <w:rPr>
          <w:rFonts w:hint="eastAsia" w:ascii="仿宋" w:hAnsi="仿宋" w:eastAsia="仿宋" w:cs="仿宋"/>
          <w:b/>
          <w:bCs/>
          <w:sz w:val="32"/>
          <w:szCs w:val="32"/>
          <w:lang w:val="en-US" w:eastAsia="zh-CN"/>
        </w:rPr>
        <w:t>第十五条</w:t>
      </w:r>
      <w:r>
        <w:rPr>
          <w:rFonts w:hint="eastAsia" w:ascii="仿宋" w:hAnsi="仿宋" w:eastAsia="仿宋" w:cs="仿宋"/>
          <w:sz w:val="32"/>
          <w:szCs w:val="32"/>
          <w:lang w:val="en-US" w:eastAsia="zh-CN"/>
        </w:rPr>
        <w:t xml:space="preserve"> 农业用水权回购资金来源为财政专项资金、用水权回购后再交易形成的收益及其他合规资金。农业用水权回购资金严格遵照财政财务管理有关规定执行，实行专款专用、专项核算、专项管理，确保资金使用规范、安全、高效。灌区管理单位或农业用水户协会使用财政资金回购时，应向县水行政主管部门发起申请，经批复后拨付使用。</w:t>
      </w:r>
    </w:p>
    <w:p w14:paraId="16637843">
      <w:pPr>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 w:hAnsi="仿宋" w:eastAsia="仿宋" w:cs="仿宋"/>
          <w:sz w:val="32"/>
          <w:szCs w:val="32"/>
          <w:lang w:val="en-US" w:eastAsia="zh-CN"/>
        </w:rPr>
      </w:pPr>
      <w:r>
        <w:rPr>
          <w:rFonts w:hint="eastAsia" w:ascii="仿宋" w:hAnsi="仿宋" w:eastAsia="仿宋" w:cs="仿宋"/>
          <w:b/>
          <w:bCs/>
          <w:sz w:val="32"/>
          <w:szCs w:val="32"/>
          <w:lang w:val="en-US" w:eastAsia="zh-CN"/>
        </w:rPr>
        <w:t>第十六条</w:t>
      </w:r>
      <w:r>
        <w:rPr>
          <w:rFonts w:hint="eastAsia" w:ascii="仿宋" w:hAnsi="仿宋" w:eastAsia="仿宋" w:cs="仿宋"/>
          <w:sz w:val="32"/>
          <w:szCs w:val="32"/>
          <w:lang w:val="en-US" w:eastAsia="zh-CN"/>
        </w:rPr>
        <w:t xml:space="preserve"> 农业用水权回购后再交易产生的收益，由回购主体统筹调配、规范使用。其中，专项用于骨于渠系等农业灌溉工程设施改造维修、农业灌溉节水激励奖补、用水计量监测设施建设及运维等涉农水利支出的比例一般不低于30%。</w:t>
      </w:r>
    </w:p>
    <w:p w14:paraId="6C5DDB3E">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灌溉用水户通过回购和用水权交易产生的收益，全部归灌溉用水户所有，鼓励优先用于支渠及末端渠系农业灌溉设施改造维护、计量设施建设与完善等。</w:t>
      </w:r>
    </w:p>
    <w:p w14:paraId="0E0C3D27">
      <w:pPr>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 w:hAnsi="仿宋" w:eastAsia="仿宋" w:cs="仿宋"/>
          <w:sz w:val="32"/>
          <w:szCs w:val="32"/>
          <w:lang w:val="en-US" w:eastAsia="zh-CN"/>
        </w:rPr>
      </w:pPr>
      <w:r>
        <w:rPr>
          <w:rFonts w:hint="eastAsia" w:ascii="仿宋" w:hAnsi="仿宋" w:eastAsia="仿宋" w:cs="仿宋"/>
          <w:b/>
          <w:bCs/>
          <w:sz w:val="32"/>
          <w:szCs w:val="32"/>
          <w:lang w:val="en-US" w:eastAsia="zh-CN"/>
        </w:rPr>
        <w:t>第十七条</w:t>
      </w:r>
      <w:r>
        <w:rPr>
          <w:rFonts w:hint="eastAsia" w:ascii="仿宋" w:hAnsi="仿宋" w:eastAsia="仿宋" w:cs="仿宋"/>
          <w:sz w:val="32"/>
          <w:szCs w:val="32"/>
          <w:lang w:val="en-US" w:eastAsia="zh-CN"/>
        </w:rPr>
        <w:t xml:space="preserve"> 农业用水权回购及交易资金的筹集、管理和使用，主动接受社会群众监督，同时接受各级人民政府财政、水利、审计等相关主管部门的监督检查。对存在虚报冒领、截留挤占、违规挪用等违法违规使用资金行为的，严格依法依规依规追究相关单位及责任人责任。</w:t>
      </w:r>
    </w:p>
    <w:p w14:paraId="6DFA2DA6">
      <w:pPr>
        <w:keepNext/>
        <w:keepLines/>
        <w:pageBreakBefore w:val="0"/>
        <w:widowControl w:val="0"/>
        <w:numPr>
          <w:ilvl w:val="1"/>
          <w:numId w:val="3"/>
        </w:numPr>
        <w:kinsoku/>
        <w:wordWrap/>
        <w:overflowPunct/>
        <w:topLinePunct w:val="0"/>
        <w:autoSpaceDE/>
        <w:autoSpaceDN/>
        <w:bidi w:val="0"/>
        <w:adjustRightInd/>
        <w:snapToGrid/>
        <w:spacing w:beforeAutospacing="0" w:afterAutospacing="0" w:line="560" w:lineRule="exact"/>
        <w:ind w:left="0" w:firstLine="0" w:firstLineChars="0"/>
        <w:jc w:val="center"/>
        <w:textAlignment w:val="auto"/>
        <w:outlineLvl w:val="1"/>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附则</w:t>
      </w:r>
    </w:p>
    <w:p w14:paraId="6E1ADCD2">
      <w:pPr>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 w:hAnsi="仿宋" w:eastAsia="仿宋" w:cs="仿宋"/>
          <w:sz w:val="32"/>
          <w:szCs w:val="32"/>
          <w:lang w:val="en-US" w:eastAsia="zh-CN"/>
        </w:rPr>
      </w:pPr>
      <w:r>
        <w:rPr>
          <w:rFonts w:hint="eastAsia" w:ascii="仿宋" w:hAnsi="仿宋" w:eastAsia="仿宋" w:cs="仿宋"/>
          <w:b/>
          <w:bCs/>
          <w:sz w:val="32"/>
          <w:szCs w:val="32"/>
          <w:lang w:val="en-US" w:eastAsia="zh-CN"/>
        </w:rPr>
        <w:t>第十八条</w:t>
      </w:r>
      <w:r>
        <w:rPr>
          <w:rFonts w:hint="eastAsia" w:ascii="仿宋" w:hAnsi="仿宋" w:eastAsia="仿宋" w:cs="仿宋"/>
          <w:sz w:val="32"/>
          <w:szCs w:val="32"/>
          <w:lang w:val="en-US" w:eastAsia="zh-CN"/>
        </w:rPr>
        <w:t xml:space="preserve"> 本办法自公布之日起试行，有效期二年。</w:t>
      </w:r>
    </w:p>
    <w:p w14:paraId="51E52BC8">
      <w:pPr>
        <w:keepNext w:val="0"/>
        <w:keepLines w:val="0"/>
        <w:pageBreakBefore w:val="0"/>
        <w:widowControl w:val="0"/>
        <w:kinsoku/>
        <w:wordWrap w:val="0"/>
        <w:overflowPunct/>
        <w:topLinePunct w:val="0"/>
        <w:autoSpaceDE/>
        <w:autoSpaceDN/>
        <w:bidi w:val="0"/>
        <w:adjustRightInd/>
        <w:spacing w:line="540" w:lineRule="exact"/>
        <w:ind w:firstLine="640" w:firstLineChars="200"/>
        <w:jc w:val="right"/>
        <w:textAlignment w:val="auto"/>
        <w:rPr>
          <w:rFonts w:hint="eastAsia" w:ascii="仿宋" w:hAnsi="仿宋" w:eastAsia="仿宋" w:cs="仿宋"/>
          <w:sz w:val="32"/>
          <w:szCs w:val="32"/>
          <w:lang w:val="en-US" w:eastAsia="zh-CN"/>
        </w:rPr>
      </w:pPr>
    </w:p>
    <w:sectPr>
      <w:pgSz w:w="11906" w:h="16838"/>
      <w:pgMar w:top="1417" w:right="1417" w:bottom="1417" w:left="141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0AFF" w:usb1="00007843" w:usb2="00000001" w:usb3="00000000" w:csb0="400001BF" w:csb1="DFF70000"/>
  </w:font>
  <w:font w:name="宋体">
    <w:panose1 w:val="02010600030101010101"/>
    <w:charset w:val="88"/>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C8B19108-D50A-414E-84CA-4849B2A6FEE6}"/>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A00002EF" w:usb1="4000207B" w:usb2="00000000" w:usb3="00000000" w:csb0="2000009F" w:csb1="00000000"/>
  </w:font>
  <w:font w:name="楷体_GB2312">
    <w:altName w:val="楷体"/>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embedRegular r:id="rId2" w:fontKey="{71F47F43-7255-4102-97C2-89D68CA50928}"/>
  </w:font>
  <w:font w:name="仿宋">
    <w:panose1 w:val="02010609060101010101"/>
    <w:charset w:val="86"/>
    <w:family w:val="modern"/>
    <w:pitch w:val="default"/>
    <w:sig w:usb0="800002BF" w:usb1="38CF7CFA" w:usb2="00000016" w:usb3="00000000" w:csb0="00040001" w:csb1="00000000"/>
    <w:embedRegular r:id="rId3" w:fontKey="{78B199F5-3A4B-4B2B-B2F5-0F190E1871AD}"/>
  </w:font>
  <w:font w:name="方正小标宋简体">
    <w:panose1 w:val="03000509000000000000"/>
    <w:charset w:val="86"/>
    <w:family w:val="auto"/>
    <w:pitch w:val="default"/>
    <w:sig w:usb0="00000001" w:usb1="080E0000" w:usb2="00000000" w:usb3="00000000" w:csb0="00040000" w:csb1="00000000"/>
    <w:embedRegular r:id="rId4" w:fontKey="{88F55117-AC37-4BA4-B23A-EEBD107AA2C8}"/>
  </w:font>
  <w:font w:name="方正小标宋_GBK">
    <w:panose1 w:val="02000000000000000000"/>
    <w:charset w:val="86"/>
    <w:family w:val="auto"/>
    <w:pitch w:val="default"/>
    <w:sig w:usb0="A00002BF" w:usb1="38CF7CFA" w:usb2="00082016" w:usb3="00000000" w:csb0="00040001" w:csb1="00000000"/>
    <w:embedRegular r:id="rId5" w:fontKey="{8D364FD0-6D8F-4FE1-9AD8-0454D4ADE852}"/>
  </w:font>
  <w:font w:name="WPSEMBED2">
    <w:panose1 w:val="02010609030101010101"/>
    <w:charset w:val="86"/>
    <w:family w:val="auto"/>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1FFA8D4"/>
    <w:multiLevelType w:val="multilevel"/>
    <w:tmpl w:val="31FFA8D4"/>
    <w:lvl w:ilvl="0" w:tentative="0">
      <w:start w:val="1"/>
      <w:numFmt w:val="decimal"/>
      <w:pStyle w:val="4"/>
      <w:isLgl/>
      <w:suff w:val="space"/>
      <w:lvlText w:val="%1"/>
      <w:lvlJc w:val="left"/>
      <w:pPr>
        <w:tabs>
          <w:tab w:val="left" w:pos="0"/>
        </w:tabs>
        <w:ind w:left="432" w:hanging="432"/>
      </w:pPr>
      <w:rPr>
        <w:rFonts w:hint="default" w:ascii="Times New Roman" w:hAnsi="Times New Roman" w:eastAsia="黑体"/>
        <w:b/>
        <w:bCs w:val="0"/>
        <w:sz w:val="32"/>
        <w:szCs w:val="32"/>
      </w:rPr>
    </w:lvl>
    <w:lvl w:ilvl="1" w:tentative="0">
      <w:start w:val="1"/>
      <w:numFmt w:val="decimal"/>
      <w:pStyle w:val="5"/>
      <w:isLgl/>
      <w:suff w:val="space"/>
      <w:lvlText w:val="%1.%2"/>
      <w:lvlJc w:val="left"/>
      <w:pPr>
        <w:tabs>
          <w:tab w:val="left" w:pos="0"/>
        </w:tabs>
        <w:ind w:left="576" w:hanging="576"/>
      </w:pPr>
      <w:rPr>
        <w:rFonts w:hint="default" w:ascii="Times New Roman" w:hAnsi="Times New Roman" w:eastAsia="楷体_GB2312"/>
        <w:b/>
        <w:bCs/>
        <w:sz w:val="30"/>
        <w:szCs w:val="30"/>
      </w:rPr>
    </w:lvl>
    <w:lvl w:ilvl="2" w:tentative="0">
      <w:start w:val="1"/>
      <w:numFmt w:val="decimal"/>
      <w:pStyle w:val="6"/>
      <w:isLgl/>
      <w:suff w:val="space"/>
      <w:lvlText w:val="%1.%2.%3"/>
      <w:lvlJc w:val="left"/>
      <w:pPr>
        <w:tabs>
          <w:tab w:val="left" w:pos="0"/>
        </w:tabs>
        <w:ind w:left="720" w:hanging="720"/>
      </w:pPr>
      <w:rPr>
        <w:rFonts w:hint="default" w:ascii="Times New Roman" w:hAnsi="Times New Roman" w:eastAsia="楷体_GB2312"/>
        <w:sz w:val="30"/>
        <w:szCs w:val="30"/>
      </w:rPr>
    </w:lvl>
    <w:lvl w:ilvl="3" w:tentative="0">
      <w:start w:val="1"/>
      <w:numFmt w:val="decimal"/>
      <w:pStyle w:val="7"/>
      <w:isLgl/>
      <w:suff w:val="space"/>
      <w:lvlText w:val="%1.%2.%3.%4"/>
      <w:lvlJc w:val="left"/>
      <w:pPr>
        <w:tabs>
          <w:tab w:val="left" w:pos="0"/>
        </w:tabs>
        <w:ind w:left="864" w:hanging="864"/>
      </w:pPr>
      <w:rPr>
        <w:rFonts w:hint="default" w:eastAsia="楷体_GB2312"/>
        <w:sz w:val="30"/>
        <w:szCs w:val="30"/>
      </w:rPr>
    </w:lvl>
    <w:lvl w:ilvl="4" w:tentative="0">
      <w:start w:val="1"/>
      <w:numFmt w:val="decimal"/>
      <w:lvlText w:val="%1.%2.%3.%4.%5"/>
      <w:lvlJc w:val="left"/>
      <w:pPr>
        <w:ind w:left="1008" w:hanging="1008"/>
      </w:pPr>
    </w:lvl>
    <w:lvl w:ilvl="5" w:tentative="0">
      <w:start w:val="1"/>
      <w:numFmt w:val="decimal"/>
      <w:pStyle w:val="8"/>
      <w:lvlText w:val="%1.%2.%3.%4.%5.%6"/>
      <w:lvlJc w:val="left"/>
      <w:pPr>
        <w:ind w:left="1152" w:hanging="1152"/>
      </w:pPr>
    </w:lvl>
    <w:lvl w:ilvl="6" w:tentative="0">
      <w:start w:val="1"/>
      <w:numFmt w:val="decimal"/>
      <w:pStyle w:val="9"/>
      <w:lvlText w:val="%1.%2.%3.%4.%5.%6.%7"/>
      <w:lvlJc w:val="left"/>
      <w:pPr>
        <w:ind w:left="1296" w:hanging="1296"/>
      </w:pPr>
    </w:lvl>
    <w:lvl w:ilvl="7" w:tentative="0">
      <w:start w:val="1"/>
      <w:numFmt w:val="decimal"/>
      <w:pStyle w:val="10"/>
      <w:lvlText w:val="%1.%2.%3.%4.%5.%6.%7.%8"/>
      <w:lvlJc w:val="left"/>
      <w:pPr>
        <w:ind w:left="1440" w:hanging="1440"/>
      </w:pPr>
    </w:lvl>
    <w:lvl w:ilvl="8" w:tentative="0">
      <w:start w:val="1"/>
      <w:numFmt w:val="decimal"/>
      <w:pStyle w:val="11"/>
      <w:lvlText w:val="%1.%2.%3.%4.%5.%6.%7.%8.%9"/>
      <w:lvlJc w:val="left"/>
      <w:pPr>
        <w:ind w:left="1584" w:hanging="1584"/>
      </w:pPr>
    </w:lvl>
  </w:abstractNum>
  <w:abstractNum w:abstractNumId="1">
    <w:nsid w:val="3FF14868"/>
    <w:multiLevelType w:val="multilevel"/>
    <w:tmpl w:val="3FF14868"/>
    <w:lvl w:ilvl="0" w:tentative="0">
      <w:start w:val="1"/>
      <w:numFmt w:val="chineseCounting"/>
      <w:suff w:val="space"/>
      <w:lvlText w:val="第%1章"/>
      <w:lvlJc w:val="left"/>
      <w:pPr>
        <w:tabs>
          <w:tab w:val="left" w:pos="0"/>
        </w:tabs>
        <w:ind w:left="850" w:leftChars="0" w:hanging="850" w:firstLineChars="0"/>
      </w:pPr>
      <w:rPr>
        <w:rFonts w:hint="eastAsia" w:ascii="Times New Roman" w:hAnsi="Times New Roman" w:eastAsia="黑体" w:cs="Arial"/>
        <w:sz w:val="30"/>
      </w:rPr>
    </w:lvl>
    <w:lvl w:ilvl="1" w:tentative="0">
      <w:start w:val="1"/>
      <w:numFmt w:val="chineseCounting"/>
      <w:lvlRestart w:val="0"/>
      <w:suff w:val="space"/>
      <w:lvlText w:val="第%2章"/>
      <w:lvlJc w:val="left"/>
      <w:pPr>
        <w:tabs>
          <w:tab w:val="left" w:pos="0"/>
        </w:tabs>
        <w:ind w:left="576" w:hanging="576"/>
      </w:pPr>
      <w:rPr>
        <w:rFonts w:hint="eastAsia" w:ascii="Times New Roman" w:hAnsi="Times New Roman" w:eastAsia="仿宋_GB2312" w:cs="Times New Roman"/>
        <w:b w:val="0"/>
        <w:sz w:val="32"/>
        <w:szCs w:val="32"/>
      </w:rPr>
    </w:lvl>
    <w:lvl w:ilvl="2" w:tentative="0">
      <w:start w:val="1"/>
      <w:numFmt w:val="decimal"/>
      <w:isLgl/>
      <w:suff w:val="space"/>
      <w:lvlText w:val="%1.%2.%3"/>
      <w:lvlJc w:val="left"/>
      <w:pPr>
        <w:tabs>
          <w:tab w:val="left" w:pos="0"/>
        </w:tabs>
        <w:ind w:left="720" w:hanging="720"/>
      </w:pPr>
      <w:rPr>
        <w:rFonts w:hint="eastAsia" w:ascii="Times New Roman" w:hAnsi="Times New Roman" w:eastAsia="黑体" w:cs="宋体"/>
        <w:b w:val="0"/>
        <w:sz w:val="24"/>
      </w:rPr>
    </w:lvl>
    <w:lvl w:ilvl="3" w:tentative="0">
      <w:start w:val="1"/>
      <w:numFmt w:val="decimal"/>
      <w:suff w:val="space"/>
      <w:lvlText w:val="%1.%2.%3.%4"/>
      <w:lvlJc w:val="left"/>
      <w:pPr>
        <w:ind w:left="864" w:hanging="864"/>
      </w:pPr>
      <w:rPr>
        <w:rFonts w:hint="eastAsia" w:ascii="Arial" w:hAnsi="Arial" w:cs="Arial"/>
      </w:rPr>
    </w:lvl>
    <w:lvl w:ilvl="4" w:tentative="0">
      <w:start w:val="1"/>
      <w:numFmt w:val="decimal"/>
      <w:lvlText w:val="%1.%2.%3.%4.%5"/>
      <w:lvlJc w:val="left"/>
      <w:pPr>
        <w:tabs>
          <w:tab w:val="left" w:pos="1008"/>
        </w:tabs>
        <w:ind w:left="1008" w:hanging="1008"/>
      </w:pPr>
      <w:rPr>
        <w:rFonts w:hint="eastAsia"/>
      </w:rPr>
    </w:lvl>
    <w:lvl w:ilvl="5" w:tentative="0">
      <w:start w:val="1"/>
      <w:numFmt w:val="decimal"/>
      <w:lvlText w:val="%1.%2.%3.%4.%5.%6"/>
      <w:lvlJc w:val="left"/>
      <w:pPr>
        <w:tabs>
          <w:tab w:val="left" w:pos="1152"/>
        </w:tabs>
        <w:ind w:left="1152" w:hanging="1152"/>
      </w:pPr>
      <w:rPr>
        <w:rFonts w:hint="eastAsia"/>
      </w:rPr>
    </w:lvl>
    <w:lvl w:ilvl="6" w:tentative="0">
      <w:start w:val="1"/>
      <w:numFmt w:val="decimal"/>
      <w:lvlText w:val="%1.%2.%3.%4.%5.%6.%7"/>
      <w:lvlJc w:val="left"/>
      <w:pPr>
        <w:tabs>
          <w:tab w:val="left" w:pos="1296"/>
        </w:tabs>
        <w:ind w:left="1296" w:hanging="1296"/>
      </w:pPr>
      <w:rPr>
        <w:rFonts w:hint="eastAsia"/>
      </w:rPr>
    </w:lvl>
    <w:lvl w:ilvl="7" w:tentative="0">
      <w:start w:val="1"/>
      <w:numFmt w:val="decimal"/>
      <w:lvlText w:val="%1.%2.%3.%4.%5.%6.%7.%8"/>
      <w:lvlJc w:val="left"/>
      <w:pPr>
        <w:tabs>
          <w:tab w:val="left" w:pos="1440"/>
        </w:tabs>
        <w:ind w:left="1440" w:hanging="1440"/>
      </w:pPr>
      <w:rPr>
        <w:rFonts w:hint="eastAsia"/>
      </w:rPr>
    </w:lvl>
    <w:lvl w:ilvl="8" w:tentative="0">
      <w:start w:val="1"/>
      <w:numFmt w:val="decimal"/>
      <w:lvlText w:val="%1.%2.%3.%4.%5.%6.%7.%8.%9"/>
      <w:lvlJc w:val="left"/>
      <w:pPr>
        <w:tabs>
          <w:tab w:val="left" w:pos="1584"/>
        </w:tabs>
        <w:ind w:left="1584" w:hanging="1584"/>
      </w:pPr>
      <w:rPr>
        <w:rFonts w:hint="eastAsia"/>
      </w:rPr>
    </w:lvl>
  </w:abstractNum>
  <w:abstractNum w:abstractNumId="2">
    <w:nsid w:val="40A78A08"/>
    <w:multiLevelType w:val="singleLevel"/>
    <w:tmpl w:val="40A78A08"/>
    <w:lvl w:ilvl="0" w:tentative="0">
      <w:start w:val="1"/>
      <w:numFmt w:val="chineseCounting"/>
      <w:pStyle w:val="30"/>
      <w:suff w:val="nothing"/>
      <w:lvlText w:val="%1、"/>
      <w:lvlJc w:val="left"/>
      <w:pPr>
        <w:ind w:left="0" w:firstLine="420"/>
      </w:pPr>
      <w:rPr>
        <w:rFonts w:hint="eastAsia"/>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5"/>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906786"/>
    <w:rsid w:val="022117B2"/>
    <w:rsid w:val="0357333B"/>
    <w:rsid w:val="04506958"/>
    <w:rsid w:val="04F53C4F"/>
    <w:rsid w:val="05551545"/>
    <w:rsid w:val="0640789F"/>
    <w:rsid w:val="06891E5F"/>
    <w:rsid w:val="07A24CE2"/>
    <w:rsid w:val="09DD212B"/>
    <w:rsid w:val="0A2C20E1"/>
    <w:rsid w:val="0A526B36"/>
    <w:rsid w:val="10643F0B"/>
    <w:rsid w:val="115D4462"/>
    <w:rsid w:val="11987B90"/>
    <w:rsid w:val="11BD2A02"/>
    <w:rsid w:val="12072620"/>
    <w:rsid w:val="13217712"/>
    <w:rsid w:val="13D12EE6"/>
    <w:rsid w:val="13F3743B"/>
    <w:rsid w:val="16E2566A"/>
    <w:rsid w:val="194B2CF6"/>
    <w:rsid w:val="1A3F102F"/>
    <w:rsid w:val="1C246759"/>
    <w:rsid w:val="1E8E0E95"/>
    <w:rsid w:val="1EC77343"/>
    <w:rsid w:val="1FB36B2E"/>
    <w:rsid w:val="1FC55F8E"/>
    <w:rsid w:val="1FDB296A"/>
    <w:rsid w:val="20410142"/>
    <w:rsid w:val="20E7363D"/>
    <w:rsid w:val="21BC3685"/>
    <w:rsid w:val="224D57AE"/>
    <w:rsid w:val="255963E7"/>
    <w:rsid w:val="2590230B"/>
    <w:rsid w:val="25973F8F"/>
    <w:rsid w:val="278411F1"/>
    <w:rsid w:val="2834568E"/>
    <w:rsid w:val="28C450F0"/>
    <w:rsid w:val="290C7824"/>
    <w:rsid w:val="292A511A"/>
    <w:rsid w:val="2ABF7AE4"/>
    <w:rsid w:val="2ACF773C"/>
    <w:rsid w:val="2BFF215A"/>
    <w:rsid w:val="2DEF2105"/>
    <w:rsid w:val="30C17AAE"/>
    <w:rsid w:val="321A6141"/>
    <w:rsid w:val="32254574"/>
    <w:rsid w:val="37054AD1"/>
    <w:rsid w:val="3A543D1D"/>
    <w:rsid w:val="3EDC25BB"/>
    <w:rsid w:val="40602CC7"/>
    <w:rsid w:val="408556CD"/>
    <w:rsid w:val="415A25F3"/>
    <w:rsid w:val="41B75A2B"/>
    <w:rsid w:val="42442951"/>
    <w:rsid w:val="42AF5D6E"/>
    <w:rsid w:val="42F578E5"/>
    <w:rsid w:val="46767799"/>
    <w:rsid w:val="476F5AA4"/>
    <w:rsid w:val="4800357B"/>
    <w:rsid w:val="4A8652AA"/>
    <w:rsid w:val="4B6047A3"/>
    <w:rsid w:val="4B8D7117"/>
    <w:rsid w:val="4BB732D5"/>
    <w:rsid w:val="4BC226CA"/>
    <w:rsid w:val="4CD34FFD"/>
    <w:rsid w:val="4D436113"/>
    <w:rsid w:val="4ED70565"/>
    <w:rsid w:val="5044321E"/>
    <w:rsid w:val="50B15D3B"/>
    <w:rsid w:val="50F32112"/>
    <w:rsid w:val="51532C25"/>
    <w:rsid w:val="522D51B0"/>
    <w:rsid w:val="53A72037"/>
    <w:rsid w:val="5612303A"/>
    <w:rsid w:val="57634C64"/>
    <w:rsid w:val="579813E5"/>
    <w:rsid w:val="58524556"/>
    <w:rsid w:val="590B02B3"/>
    <w:rsid w:val="59A541C5"/>
    <w:rsid w:val="59D70DF6"/>
    <w:rsid w:val="5AA20753"/>
    <w:rsid w:val="5C157045"/>
    <w:rsid w:val="5DA72632"/>
    <w:rsid w:val="5DFB0858"/>
    <w:rsid w:val="5F7B2BA2"/>
    <w:rsid w:val="60601D56"/>
    <w:rsid w:val="61E61D0C"/>
    <w:rsid w:val="64C4789D"/>
    <w:rsid w:val="64D83891"/>
    <w:rsid w:val="668E6D17"/>
    <w:rsid w:val="67EA6EDA"/>
    <w:rsid w:val="687D6827"/>
    <w:rsid w:val="69733998"/>
    <w:rsid w:val="698A4010"/>
    <w:rsid w:val="6C264F8F"/>
    <w:rsid w:val="6CFC5A53"/>
    <w:rsid w:val="6DFB66C9"/>
    <w:rsid w:val="700D260A"/>
    <w:rsid w:val="702F23B9"/>
    <w:rsid w:val="72D20228"/>
    <w:rsid w:val="72F01BB6"/>
    <w:rsid w:val="75502296"/>
    <w:rsid w:val="78C23FF4"/>
    <w:rsid w:val="79D80E8A"/>
    <w:rsid w:val="7BC66158"/>
    <w:rsid w:val="7C0655E3"/>
    <w:rsid w:val="7C792C1C"/>
    <w:rsid w:val="7D502CB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qFormat="1"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2"/>
      <w:lang w:val="en-US" w:eastAsia="zh-CN" w:bidi="ar-SA"/>
    </w:rPr>
  </w:style>
  <w:style w:type="paragraph" w:styleId="4">
    <w:name w:val="heading 1"/>
    <w:basedOn w:val="1"/>
    <w:next w:val="1"/>
    <w:link w:val="25"/>
    <w:qFormat/>
    <w:uiPriority w:val="0"/>
    <w:pPr>
      <w:keepNext w:val="0"/>
      <w:keepLines w:val="0"/>
      <w:numPr>
        <w:ilvl w:val="0"/>
        <w:numId w:val="1"/>
      </w:numPr>
      <w:tabs>
        <w:tab w:val="clear" w:pos="0"/>
      </w:tabs>
      <w:wordWrap w:val="0"/>
      <w:topLinePunct/>
      <w:autoSpaceDE/>
      <w:autoSpaceDN/>
      <w:adjustRightInd w:val="0"/>
      <w:snapToGrid w:val="0"/>
      <w:spacing w:beforeLines="0" w:beforeAutospacing="0" w:afterLines="0" w:afterAutospacing="0" w:line="600" w:lineRule="exact"/>
      <w:ind w:left="432" w:hanging="432" w:firstLineChars="0"/>
      <w:jc w:val="left"/>
      <w:outlineLvl w:val="0"/>
    </w:pPr>
    <w:rPr>
      <w:rFonts w:ascii="Times New Roman" w:hAnsi="Times New Roman" w:eastAsia="黑体" w:cs="Times New Roman"/>
      <w:kern w:val="44"/>
      <w:sz w:val="32"/>
      <w:szCs w:val="32"/>
    </w:rPr>
  </w:style>
  <w:style w:type="paragraph" w:styleId="5">
    <w:name w:val="heading 2"/>
    <w:basedOn w:val="1"/>
    <w:next w:val="1"/>
    <w:link w:val="26"/>
    <w:semiHidden/>
    <w:unhideWhenUsed/>
    <w:qFormat/>
    <w:uiPriority w:val="0"/>
    <w:pPr>
      <w:numPr>
        <w:ilvl w:val="1"/>
        <w:numId w:val="1"/>
      </w:numPr>
      <w:adjustRightInd w:val="0"/>
      <w:snapToGrid w:val="0"/>
      <w:spacing w:before="0" w:beforeAutospacing="0" w:after="0" w:afterAutospacing="0" w:line="560" w:lineRule="exact"/>
      <w:ind w:left="0" w:firstLine="0" w:firstLineChars="0"/>
      <w:jc w:val="left"/>
      <w:outlineLvl w:val="1"/>
    </w:pPr>
    <w:rPr>
      <w:rFonts w:hint="eastAsia" w:ascii="Times New Roman" w:hAnsi="Times New Roman" w:eastAsia="楷体_GB2312"/>
      <w:b/>
      <w:bCs/>
      <w:kern w:val="0"/>
      <w:lang w:bidi="ar"/>
    </w:rPr>
  </w:style>
  <w:style w:type="paragraph" w:styleId="6">
    <w:name w:val="heading 3"/>
    <w:basedOn w:val="5"/>
    <w:next w:val="1"/>
    <w:link w:val="24"/>
    <w:semiHidden/>
    <w:unhideWhenUsed/>
    <w:qFormat/>
    <w:uiPriority w:val="0"/>
    <w:pPr>
      <w:keepNext/>
      <w:keepLines/>
      <w:widowControl w:val="0"/>
      <w:numPr>
        <w:ilvl w:val="2"/>
      </w:numPr>
      <w:adjustRightInd w:val="0"/>
      <w:snapToGrid w:val="0"/>
      <w:spacing w:line="600" w:lineRule="exact"/>
      <w:ind w:left="720" w:hanging="720" w:firstLineChars="0"/>
      <w:jc w:val="left"/>
      <w:outlineLvl w:val="2"/>
    </w:pPr>
    <w:rPr>
      <w:sz w:val="30"/>
    </w:rPr>
  </w:style>
  <w:style w:type="paragraph" w:styleId="7">
    <w:name w:val="heading 4"/>
    <w:basedOn w:val="1"/>
    <w:next w:val="1"/>
    <w:semiHidden/>
    <w:unhideWhenUsed/>
    <w:qFormat/>
    <w:uiPriority w:val="0"/>
    <w:pPr>
      <w:keepNext/>
      <w:keepLines/>
      <w:numPr>
        <w:ilvl w:val="3"/>
        <w:numId w:val="1"/>
      </w:numPr>
      <w:tabs>
        <w:tab w:val="left" w:pos="420"/>
        <w:tab w:val="clear" w:pos="0"/>
      </w:tabs>
      <w:spacing w:beforeLines="0" w:beforeAutospacing="0" w:afterLines="0" w:afterAutospacing="0" w:line="600" w:lineRule="exact"/>
      <w:ind w:left="864" w:hanging="864" w:firstLineChars="0"/>
      <w:outlineLvl w:val="3"/>
    </w:pPr>
    <w:rPr>
      <w:rFonts w:ascii="Times New Roman" w:hAnsi="Times New Roman" w:eastAsia="楷体_GB2312"/>
      <w:sz w:val="30"/>
    </w:rPr>
  </w:style>
  <w:style w:type="paragraph" w:styleId="8">
    <w:name w:val="heading 6"/>
    <w:basedOn w:val="1"/>
    <w:next w:val="1"/>
    <w:semiHidden/>
    <w:unhideWhenUsed/>
    <w:qFormat/>
    <w:uiPriority w:val="0"/>
    <w:pPr>
      <w:keepNext/>
      <w:keepLines/>
      <w:numPr>
        <w:ilvl w:val="5"/>
        <w:numId w:val="1"/>
      </w:numPr>
      <w:spacing w:before="240" w:beforeLines="0" w:beforeAutospacing="0" w:after="64" w:afterLines="0" w:afterAutospacing="0" w:line="317" w:lineRule="auto"/>
      <w:ind w:left="1152" w:hanging="1152" w:firstLineChars="0"/>
      <w:outlineLvl w:val="5"/>
    </w:pPr>
    <w:rPr>
      <w:rFonts w:ascii="Arial" w:hAnsi="Arial" w:eastAsia="黑体"/>
      <w:b/>
      <w:sz w:val="24"/>
    </w:rPr>
  </w:style>
  <w:style w:type="paragraph" w:styleId="9">
    <w:name w:val="heading 7"/>
    <w:basedOn w:val="1"/>
    <w:next w:val="1"/>
    <w:semiHidden/>
    <w:unhideWhenUsed/>
    <w:qFormat/>
    <w:uiPriority w:val="0"/>
    <w:pPr>
      <w:keepNext/>
      <w:keepLines/>
      <w:numPr>
        <w:ilvl w:val="6"/>
        <w:numId w:val="1"/>
      </w:numPr>
      <w:spacing w:before="240" w:beforeLines="0" w:beforeAutospacing="0" w:after="64" w:afterLines="0" w:afterAutospacing="0" w:line="317" w:lineRule="auto"/>
      <w:ind w:left="1296" w:hanging="1296" w:firstLineChars="0"/>
      <w:outlineLvl w:val="6"/>
    </w:pPr>
    <w:rPr>
      <w:b/>
      <w:sz w:val="24"/>
    </w:rPr>
  </w:style>
  <w:style w:type="paragraph" w:styleId="10">
    <w:name w:val="heading 8"/>
    <w:basedOn w:val="1"/>
    <w:next w:val="1"/>
    <w:semiHidden/>
    <w:unhideWhenUsed/>
    <w:qFormat/>
    <w:uiPriority w:val="0"/>
    <w:pPr>
      <w:keepNext/>
      <w:keepLines/>
      <w:numPr>
        <w:ilvl w:val="7"/>
        <w:numId w:val="1"/>
      </w:numPr>
      <w:spacing w:before="240" w:beforeLines="0" w:beforeAutospacing="0" w:after="64" w:afterLines="0" w:afterAutospacing="0" w:line="317" w:lineRule="auto"/>
      <w:ind w:left="1440" w:hanging="1440" w:firstLineChars="0"/>
      <w:outlineLvl w:val="7"/>
    </w:pPr>
    <w:rPr>
      <w:rFonts w:ascii="Arial" w:hAnsi="Arial" w:eastAsia="黑体"/>
      <w:sz w:val="24"/>
    </w:rPr>
  </w:style>
  <w:style w:type="paragraph" w:styleId="11">
    <w:name w:val="heading 9"/>
    <w:basedOn w:val="1"/>
    <w:next w:val="1"/>
    <w:semiHidden/>
    <w:unhideWhenUsed/>
    <w:qFormat/>
    <w:uiPriority w:val="0"/>
    <w:pPr>
      <w:keepNext/>
      <w:keepLines/>
      <w:numPr>
        <w:ilvl w:val="8"/>
        <w:numId w:val="1"/>
      </w:numPr>
      <w:spacing w:before="240" w:beforeLines="0" w:beforeAutospacing="0" w:after="64" w:afterLines="0" w:afterAutospacing="0" w:line="317" w:lineRule="auto"/>
      <w:ind w:left="1584" w:hanging="1584" w:firstLineChars="0"/>
      <w:outlineLvl w:val="8"/>
    </w:pPr>
    <w:rPr>
      <w:rFonts w:ascii="Arial" w:hAnsi="Arial" w:eastAsia="黑体"/>
      <w:sz w:val="21"/>
    </w:rPr>
  </w:style>
  <w:style w:type="character" w:default="1" w:styleId="22">
    <w:name w:val="Default Paragraph Font"/>
    <w:semiHidden/>
    <w:qFormat/>
    <w:uiPriority w:val="0"/>
  </w:style>
  <w:style w:type="table" w:default="1" w:styleId="21">
    <w:name w:val="Normal Table"/>
    <w:semiHidden/>
    <w:qFormat/>
    <w:uiPriority w:val="0"/>
    <w:tblPr>
      <w:tblCellMar>
        <w:top w:w="0" w:type="dxa"/>
        <w:left w:w="108" w:type="dxa"/>
        <w:bottom w:w="0" w:type="dxa"/>
        <w:right w:w="108" w:type="dxa"/>
      </w:tblCellMar>
    </w:tblPr>
  </w:style>
  <w:style w:type="paragraph" w:styleId="2">
    <w:name w:val="footer"/>
    <w:basedOn w:val="1"/>
    <w:next w:val="3"/>
    <w:unhideWhenUsed/>
    <w:qFormat/>
    <w:uiPriority w:val="99"/>
    <w:pPr>
      <w:tabs>
        <w:tab w:val="center" w:pos="4153"/>
        <w:tab w:val="right" w:pos="8306"/>
      </w:tabs>
      <w:snapToGrid w:val="0"/>
      <w:jc w:val="left"/>
    </w:pPr>
    <w:rPr>
      <w:sz w:val="18"/>
      <w:szCs w:val="18"/>
    </w:rPr>
  </w:style>
  <w:style w:type="paragraph" w:styleId="3">
    <w:name w:val="index 5"/>
    <w:basedOn w:val="1"/>
    <w:next w:val="1"/>
    <w:qFormat/>
    <w:uiPriority w:val="0"/>
    <w:pPr>
      <w:ind w:left="1680"/>
    </w:pPr>
  </w:style>
  <w:style w:type="paragraph" w:styleId="12">
    <w:name w:val="Normal Indent"/>
    <w:basedOn w:val="1"/>
    <w:next w:val="1"/>
    <w:qFormat/>
    <w:uiPriority w:val="0"/>
    <w:pPr>
      <w:ind w:firstLine="200" w:firstLineChars="200"/>
    </w:pPr>
    <w:rPr>
      <w:rFonts w:ascii="Times New Roman" w:hAnsi="Times New Roman"/>
    </w:rPr>
  </w:style>
  <w:style w:type="paragraph" w:styleId="13">
    <w:name w:val="Body Text"/>
    <w:basedOn w:val="1"/>
    <w:qFormat/>
    <w:uiPriority w:val="0"/>
    <w:pPr>
      <w:spacing w:after="120" w:afterLines="0" w:afterAutospacing="0"/>
    </w:pPr>
  </w:style>
  <w:style w:type="paragraph" w:styleId="14">
    <w:name w:val="Body Text Indent"/>
    <w:basedOn w:val="1"/>
    <w:qFormat/>
    <w:uiPriority w:val="99"/>
    <w:pPr>
      <w:spacing w:after="120"/>
      <w:ind w:left="420" w:leftChars="200"/>
    </w:pPr>
  </w:style>
  <w:style w:type="paragraph" w:styleId="15">
    <w:name w:val="toc 3"/>
    <w:basedOn w:val="1"/>
    <w:next w:val="1"/>
    <w:qFormat/>
    <w:uiPriority w:val="0"/>
    <w:pPr>
      <w:ind w:left="840" w:leftChars="400"/>
    </w:pPr>
    <w:rPr>
      <w:rFonts w:ascii="Times New Roman" w:hAnsi="Times New Roman" w:eastAsia="宋体"/>
    </w:rPr>
  </w:style>
  <w:style w:type="paragraph" w:styleId="16">
    <w:name w:val="toc 1"/>
    <w:basedOn w:val="1"/>
    <w:next w:val="1"/>
    <w:qFormat/>
    <w:uiPriority w:val="0"/>
    <w:pPr>
      <w:spacing w:line="440" w:lineRule="exact"/>
      <w:jc w:val="both"/>
    </w:pPr>
    <w:rPr>
      <w:rFonts w:ascii="Arial" w:hAnsi="Arial" w:eastAsia="黑体"/>
      <w:b/>
    </w:rPr>
  </w:style>
  <w:style w:type="paragraph" w:styleId="17">
    <w:name w:val="toc 2"/>
    <w:basedOn w:val="1"/>
    <w:next w:val="1"/>
    <w:qFormat/>
    <w:uiPriority w:val="0"/>
    <w:pPr>
      <w:tabs>
        <w:tab w:val="right" w:leader="dot" w:pos="9184"/>
      </w:tabs>
      <w:spacing w:line="440" w:lineRule="exact"/>
      <w:ind w:left="420" w:leftChars="200" w:firstLine="0" w:firstLineChars="0"/>
      <w:jc w:val="both"/>
    </w:pPr>
    <w:rPr>
      <w:rFonts w:ascii="Arial" w:hAnsi="Arial" w:eastAsia="宋体"/>
      <w:spacing w:val="-23"/>
    </w:rPr>
  </w:style>
  <w:style w:type="paragraph" w:styleId="18">
    <w:name w:val="Title"/>
    <w:basedOn w:val="1"/>
    <w:qFormat/>
    <w:uiPriority w:val="0"/>
    <w:pPr>
      <w:spacing w:before="240" w:beforeLines="0" w:beforeAutospacing="0" w:after="60" w:afterLines="0" w:afterAutospacing="0"/>
      <w:jc w:val="center"/>
      <w:outlineLvl w:val="0"/>
    </w:pPr>
    <w:rPr>
      <w:rFonts w:ascii="Arial" w:hAnsi="Arial"/>
      <w:b/>
      <w:sz w:val="32"/>
    </w:rPr>
  </w:style>
  <w:style w:type="paragraph" w:styleId="19">
    <w:name w:val="Body Text First Indent"/>
    <w:basedOn w:val="13"/>
    <w:qFormat/>
    <w:uiPriority w:val="0"/>
    <w:pPr>
      <w:ind w:firstLine="420" w:firstLineChars="100"/>
    </w:pPr>
  </w:style>
  <w:style w:type="paragraph" w:styleId="20">
    <w:name w:val="Body Text First Indent 2"/>
    <w:basedOn w:val="14"/>
    <w:qFormat/>
    <w:uiPriority w:val="99"/>
    <w:pPr>
      <w:ind w:firstLine="420" w:firstLineChars="200"/>
    </w:pPr>
  </w:style>
  <w:style w:type="paragraph" w:customStyle="1" w:styleId="23">
    <w:name w:val="正文首行缩进1"/>
    <w:basedOn w:val="1"/>
    <w:qFormat/>
    <w:uiPriority w:val="0"/>
    <w:pPr>
      <w:spacing w:after="120"/>
      <w:ind w:firstLine="100" w:firstLineChars="100"/>
    </w:pPr>
    <w:rPr>
      <w:rFonts w:ascii="Times New Roman" w:hAnsi="Times New Roman" w:eastAsia="宋体" w:cs="Times New Roman"/>
    </w:rPr>
  </w:style>
  <w:style w:type="character" w:customStyle="1" w:styleId="24">
    <w:name w:val="标题 3 Char"/>
    <w:link w:val="6"/>
    <w:qFormat/>
    <w:uiPriority w:val="0"/>
    <w:rPr>
      <w:rFonts w:ascii="Times New Roman" w:hAnsi="Times New Roman" w:eastAsia="楷体_GB2312" w:cs="Times New Roman"/>
      <w:kern w:val="2"/>
      <w:sz w:val="30"/>
      <w:lang w:val="en-US" w:eastAsia="zh-CN" w:bidi="ar-SA"/>
    </w:rPr>
  </w:style>
  <w:style w:type="character" w:customStyle="1" w:styleId="25">
    <w:name w:val="标题 1 Char"/>
    <w:link w:val="4"/>
    <w:qFormat/>
    <w:uiPriority w:val="0"/>
    <w:rPr>
      <w:rFonts w:ascii="Times New Roman" w:hAnsi="Times New Roman" w:eastAsia="黑体" w:cs="Times New Roman"/>
      <w:kern w:val="44"/>
      <w:sz w:val="32"/>
      <w:szCs w:val="32"/>
    </w:rPr>
  </w:style>
  <w:style w:type="character" w:customStyle="1" w:styleId="26">
    <w:name w:val="标题 2 Char"/>
    <w:link w:val="5"/>
    <w:qFormat/>
    <w:uiPriority w:val="0"/>
    <w:rPr>
      <w:rFonts w:ascii="Times New Roman" w:hAnsi="Times New Roman" w:eastAsia="楷体_GB2312" w:cs="Times New Roman"/>
      <w:sz w:val="30"/>
      <w:szCs w:val="30"/>
    </w:rPr>
  </w:style>
  <w:style w:type="paragraph" w:customStyle="1" w:styleId="27">
    <w:name w:val="目录3"/>
    <w:basedOn w:val="1"/>
    <w:link w:val="28"/>
    <w:autoRedefine/>
    <w:qFormat/>
    <w:uiPriority w:val="0"/>
    <w:pPr>
      <w:tabs>
        <w:tab w:val="right" w:leader="dot" w:pos="9184"/>
      </w:tabs>
      <w:ind w:left="420" w:leftChars="200"/>
    </w:pPr>
    <w:rPr>
      <w:rFonts w:hint="eastAsia" w:ascii="黑体" w:hAnsi="黑体" w:eastAsia="宋体"/>
      <w:bCs/>
      <w:sz w:val="24"/>
      <w:szCs w:val="30"/>
    </w:rPr>
  </w:style>
  <w:style w:type="character" w:customStyle="1" w:styleId="28">
    <w:name w:val="目录3 Char"/>
    <w:link w:val="27"/>
    <w:qFormat/>
    <w:uiPriority w:val="0"/>
    <w:rPr>
      <w:rFonts w:hint="eastAsia" w:ascii="黑体" w:hAnsi="黑体" w:eastAsia="宋体"/>
      <w:bCs/>
      <w:sz w:val="24"/>
      <w:szCs w:val="30"/>
    </w:rPr>
  </w:style>
  <w:style w:type="paragraph" w:customStyle="1" w:styleId="29">
    <w:name w:val="综述标题"/>
    <w:basedOn w:val="1"/>
    <w:qFormat/>
    <w:uiPriority w:val="0"/>
    <w:rPr>
      <w:rFonts w:hint="eastAsia" w:ascii="Times New Roman" w:hAnsi="Times New Roman" w:eastAsia="黑体"/>
      <w:b/>
      <w:sz w:val="32"/>
    </w:rPr>
  </w:style>
  <w:style w:type="paragraph" w:customStyle="1" w:styleId="30">
    <w:name w:val="综述标题一"/>
    <w:basedOn w:val="1"/>
    <w:autoRedefine/>
    <w:qFormat/>
    <w:uiPriority w:val="0"/>
    <w:pPr>
      <w:numPr>
        <w:ilvl w:val="0"/>
        <w:numId w:val="2"/>
      </w:numPr>
    </w:pPr>
    <w:rPr>
      <w:rFonts w:hint="eastAsia" w:ascii="Times New Roman" w:hAnsi="Times New Roman" w:eastAsia="黑体"/>
      <w:b/>
      <w:sz w:val="28"/>
    </w:rPr>
  </w:style>
  <w:style w:type="table" w:customStyle="1" w:styleId="31">
    <w:name w:val="Table Normal"/>
    <w:basedOn w:val="21"/>
    <w:qFormat/>
    <w:uiPriority w:val="0"/>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CCE8C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2183</Words>
  <Characters>2227</Characters>
  <Lines>0</Lines>
  <Paragraphs>0</Paragraphs>
  <TotalTime>60</TotalTime>
  <ScaleCrop>false</ScaleCrop>
  <LinksUpToDate>false</LinksUpToDate>
  <CharactersWithSpaces>2355</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2022-05-01T07:52:00Z</dcterms:created>
  <dc:creator>13934293601</dc:creator>
  <cp:lastModifiedBy>WPS_1729521374</cp:lastModifiedBy>
  <cp:lastPrinted>2026-06-25T03:36:01Z</cp:lastPrinted>
  <dcterms:modified xsi:type="dcterms:W3CDTF">2026-06-25T03:37:27Z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0FC56267FD464468B2373045E36E51FB_13</vt:lpwstr>
  </property>
  <property fmtid="{D5CDD505-2E9C-101B-9397-08002B2CF9AE}" pid="4" name="KSOTemplateDocerSaveRecord">
    <vt:lpwstr>eyJoZGlkIjoiNDZhNWE4ZGJhNzNhNzc0Y2I4ZjM3MjYyYWQyYTVlMmMiLCJ1c2VySWQiOiIxNjQ2OTk3MDQzIn0=</vt:lpwstr>
  </property>
</Properties>
</file>