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B3036">
      <w:pPr>
        <w:spacing w:line="680" w:lineRule="exact"/>
        <w:jc w:val="center"/>
        <w:rPr>
          <w:rFonts w:hint="eastAsia" w:ascii="仿宋_GB2312" w:eastAsia="仿宋_GB2312"/>
          <w:sz w:val="32"/>
          <w:szCs w:val="32"/>
        </w:rPr>
      </w:pPr>
    </w:p>
    <w:p w14:paraId="3BA78854">
      <w:pPr>
        <w:spacing w:line="68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ZJDR-20</w:t>
      </w:r>
      <w:r>
        <w:rPr>
          <w:rFonts w:hint="eastAsia"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lang w:val="en-US" w:eastAsia="zh-CN"/>
        </w:rPr>
        <w:t>-1400</w:t>
      </w:r>
      <w:r>
        <w:rPr>
          <w:rFonts w:hint="eastAsia" w:eastAsia="仿宋_GB2312" w:cs="Times New Roman"/>
          <w:sz w:val="32"/>
          <w:szCs w:val="32"/>
          <w:lang w:val="en-US" w:eastAsia="zh-CN"/>
        </w:rPr>
        <w:t>3</w:t>
      </w:r>
    </w:p>
    <w:p w14:paraId="193F199B">
      <w:pPr>
        <w:spacing w:line="680" w:lineRule="exact"/>
        <w:jc w:val="center"/>
        <w:rPr>
          <w:rFonts w:hint="eastAsia" w:ascii="仿宋_GB2312" w:eastAsia="仿宋_GB2312"/>
          <w:sz w:val="32"/>
          <w:szCs w:val="32"/>
        </w:rPr>
      </w:pPr>
    </w:p>
    <w:p w14:paraId="65400F26">
      <w:pPr>
        <w:spacing w:line="680" w:lineRule="exact"/>
        <w:jc w:val="center"/>
        <w:rPr>
          <w:rFonts w:hint="eastAsia" w:ascii="仿宋_GB2312" w:eastAsia="仿宋_GB2312"/>
          <w:sz w:val="32"/>
          <w:szCs w:val="32"/>
        </w:rPr>
      </w:pPr>
    </w:p>
    <w:p w14:paraId="6DC89CC6">
      <w:pPr>
        <w:spacing w:line="680" w:lineRule="exact"/>
        <w:jc w:val="center"/>
        <w:rPr>
          <w:rFonts w:hint="eastAsia" w:ascii="仿宋_GB2312" w:eastAsia="仿宋_GB2312"/>
          <w:sz w:val="32"/>
          <w:szCs w:val="32"/>
        </w:rPr>
      </w:pPr>
    </w:p>
    <w:p w14:paraId="38BC2E12">
      <w:pPr>
        <w:spacing w:line="680" w:lineRule="exact"/>
        <w:jc w:val="center"/>
        <w:rPr>
          <w:rFonts w:hint="eastAsia" w:ascii="仿宋_GB2312" w:eastAsia="仿宋_GB2312"/>
          <w:sz w:val="32"/>
          <w:szCs w:val="32"/>
        </w:rPr>
      </w:pPr>
    </w:p>
    <w:p w14:paraId="169416CD">
      <w:pPr>
        <w:spacing w:line="680" w:lineRule="exact"/>
        <w:jc w:val="center"/>
        <w:rPr>
          <w:rFonts w:hint="eastAsia" w:ascii="仿宋_GB2312" w:eastAsia="仿宋_GB2312"/>
          <w:sz w:val="32"/>
          <w:szCs w:val="32"/>
        </w:rPr>
      </w:pPr>
    </w:p>
    <w:p w14:paraId="4F474B19">
      <w:pPr>
        <w:spacing w:line="680" w:lineRule="exact"/>
        <w:jc w:val="center"/>
        <w:rPr>
          <w:rFonts w:hint="eastAsia" w:ascii="仿宋_GB2312" w:eastAsia="仿宋_GB2312"/>
          <w:b/>
          <w:color w:val="auto"/>
          <w:sz w:val="32"/>
          <w:szCs w:val="32"/>
        </w:rPr>
      </w:pPr>
      <w:r>
        <w:rPr>
          <w:rFonts w:hint="eastAsia" w:ascii="仿宋" w:hAnsi="仿宋" w:eastAsia="仿宋" w:cs="仿宋"/>
          <w:b/>
          <w:color w:val="auto"/>
          <w:sz w:val="32"/>
          <w:szCs w:val="32"/>
        </w:rPr>
        <w:t>芷水</w:t>
      </w:r>
      <w:r>
        <w:rPr>
          <w:rFonts w:hint="eastAsia" w:ascii="仿宋" w:hAnsi="仿宋" w:eastAsia="仿宋" w:cs="仿宋"/>
          <w:b/>
          <w:color w:val="auto"/>
          <w:sz w:val="32"/>
          <w:szCs w:val="32"/>
          <w:lang w:eastAsia="zh-CN"/>
        </w:rPr>
        <w:t>函</w:t>
      </w:r>
      <w:r>
        <w:rPr>
          <w:rFonts w:hint="eastAsia" w:ascii="仿宋" w:hAnsi="仿宋" w:eastAsia="仿宋" w:cs="仿宋"/>
          <w:b/>
          <w:color w:val="auto"/>
          <w:sz w:val="32"/>
          <w:szCs w:val="32"/>
        </w:rPr>
        <w:t>〔202</w:t>
      </w:r>
      <w:r>
        <w:rPr>
          <w:rFonts w:hint="eastAsia" w:ascii="仿宋" w:hAnsi="仿宋" w:eastAsia="仿宋" w:cs="仿宋"/>
          <w:b/>
          <w:color w:val="auto"/>
          <w:sz w:val="32"/>
          <w:szCs w:val="32"/>
          <w:lang w:val="en-US" w:eastAsia="zh-CN"/>
        </w:rPr>
        <w:t>6</w:t>
      </w:r>
      <w:r>
        <w:rPr>
          <w:rFonts w:hint="eastAsia" w:ascii="仿宋" w:hAnsi="仿宋" w:eastAsia="仿宋" w:cs="仿宋"/>
          <w:b/>
          <w:color w:val="auto"/>
          <w:sz w:val="32"/>
          <w:szCs w:val="32"/>
        </w:rPr>
        <w:t>〕</w:t>
      </w:r>
      <w:r>
        <w:rPr>
          <w:rFonts w:hint="eastAsia" w:ascii="仿宋" w:hAnsi="仿宋" w:eastAsia="仿宋" w:cs="仿宋"/>
          <w:b/>
          <w:color w:val="auto"/>
          <w:sz w:val="32"/>
          <w:szCs w:val="32"/>
          <w:lang w:val="en-US" w:eastAsia="zh-CN"/>
        </w:rPr>
        <w:t>5</w:t>
      </w:r>
      <w:r>
        <w:rPr>
          <w:rFonts w:hint="eastAsia" w:ascii="仿宋" w:hAnsi="仿宋" w:eastAsia="仿宋" w:cs="仿宋"/>
          <w:b/>
          <w:color w:val="auto"/>
          <w:sz w:val="32"/>
          <w:szCs w:val="32"/>
        </w:rPr>
        <w:t>号</w:t>
      </w:r>
    </w:p>
    <w:p w14:paraId="6E285EE7">
      <w:pPr>
        <w:spacing w:line="560" w:lineRule="exact"/>
        <w:jc w:val="center"/>
        <w:rPr>
          <w:rFonts w:hint="eastAsia" w:ascii="仿宋_GB2312" w:eastAsia="仿宋_GB2312"/>
          <w:sz w:val="32"/>
          <w:szCs w:val="32"/>
        </w:rPr>
      </w:pPr>
      <w:r>
        <w:rPr>
          <w:rFonts w:hint="eastAsia" w:ascii="仿宋_GB2312" w:eastAsia="仿宋_GB2312"/>
          <w:sz w:val="32"/>
          <w:szCs w:val="32"/>
        </w:rPr>
        <w:t xml:space="preserve"> </w:t>
      </w:r>
    </w:p>
    <w:p w14:paraId="188F467B">
      <w:pPr>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芷江侗族自治县水利局</w:t>
      </w:r>
    </w:p>
    <w:p w14:paraId="32B4CD37">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outlineLvl w:val="0"/>
        <w:rPr>
          <w:rFonts w:hint="eastAsia" w:eastAsia="方正小标宋简体"/>
          <w:bCs/>
          <w:sz w:val="44"/>
          <w:szCs w:val="44"/>
          <w:lang w:val="en-US" w:eastAsia="zh-CN"/>
        </w:rPr>
      </w:pPr>
      <w:r>
        <w:rPr>
          <w:rFonts w:hint="eastAsia" w:ascii="方正小标宋_GBK" w:hAnsi="方正小标宋_GBK" w:eastAsia="方正小标宋_GBK" w:cs="方正小标宋_GBK"/>
          <w:b w:val="0"/>
          <w:kern w:val="44"/>
          <w:sz w:val="44"/>
          <w:szCs w:val="32"/>
          <w:lang w:val="en-US" w:eastAsia="zh-CN" w:bidi="ar-SA"/>
        </w:rPr>
        <w:t>关于印发《芷江侗族自治县用水权交易监督管理细则（试行）</w:t>
      </w:r>
      <w:r>
        <w:rPr>
          <w:rFonts w:hint="eastAsia" w:ascii="方正小标宋_GBK" w:hAnsi="方正小标宋_GBK" w:eastAsia="方正小标宋_GBK" w:cs="方正小标宋_GBK"/>
          <w:sz w:val="44"/>
          <w:szCs w:val="44"/>
          <w:lang w:val="en-US" w:eastAsia="zh-CN"/>
        </w:rPr>
        <w:t>》的函</w:t>
      </w:r>
    </w:p>
    <w:p w14:paraId="007E509D">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ascii="方正小标宋_GBK" w:hAnsi="方正小标宋_GBK" w:eastAsia="方正小标宋_GBK" w:cs="方正小标宋_GBK"/>
          <w:b w:val="0"/>
          <w:kern w:val="44"/>
          <w:sz w:val="44"/>
          <w:szCs w:val="32"/>
          <w:lang w:val="en-US" w:eastAsia="zh-CN" w:bidi="ar-SA"/>
        </w:rPr>
      </w:pPr>
    </w:p>
    <w:p w14:paraId="6FD0B19D">
      <w:pPr>
        <w:pStyle w:val="19"/>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eastAsia="仿宋" w:cs="Times New Roman"/>
          <w:color w:val="auto"/>
          <w:sz w:val="32"/>
          <w:szCs w:val="32"/>
          <w:lang w:eastAsia="zh-CN"/>
        </w:rPr>
      </w:pPr>
      <w:r>
        <w:rPr>
          <w:rFonts w:hint="eastAsia" w:eastAsia="仿宋" w:cs="Times New Roman"/>
          <w:color w:val="auto"/>
          <w:sz w:val="32"/>
          <w:szCs w:val="32"/>
          <w:lang w:eastAsia="zh-CN"/>
        </w:rPr>
        <w:t>各乡镇人民政府、县直相关部门、各</w:t>
      </w:r>
      <w:r>
        <w:rPr>
          <w:rFonts w:hint="default" w:ascii="Times New Roman" w:hAnsi="Times New Roman" w:eastAsia="仿宋" w:cs="Times New Roman"/>
          <w:color w:val="auto"/>
          <w:sz w:val="32"/>
          <w:szCs w:val="32"/>
        </w:rPr>
        <w:t>灌区管理单位</w:t>
      </w:r>
      <w:r>
        <w:rPr>
          <w:rFonts w:hint="eastAsia" w:eastAsia="仿宋" w:cs="Times New Roman"/>
          <w:color w:val="auto"/>
          <w:sz w:val="32"/>
          <w:szCs w:val="32"/>
          <w:lang w:eastAsia="zh-CN"/>
        </w:rPr>
        <w:t>：</w:t>
      </w:r>
    </w:p>
    <w:p w14:paraId="41E6AA88">
      <w:pPr>
        <w:pStyle w:val="19"/>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eastAsia"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现将《芷江侗族自治县用水权</w:t>
      </w:r>
      <w:r>
        <w:rPr>
          <w:rFonts w:hint="eastAsia" w:eastAsia="仿宋" w:cs="Times New Roman"/>
          <w:color w:val="auto"/>
          <w:sz w:val="32"/>
          <w:szCs w:val="32"/>
          <w:lang w:val="en-US" w:eastAsia="zh-CN"/>
        </w:rPr>
        <w:t>交易监督管理细则</w:t>
      </w:r>
      <w:r>
        <w:rPr>
          <w:rFonts w:hint="eastAsia" w:ascii="Times New Roman" w:hAnsi="Times New Roman" w:eastAsia="仿宋" w:cs="Times New Roman"/>
          <w:color w:val="auto"/>
          <w:sz w:val="32"/>
          <w:szCs w:val="32"/>
          <w:lang w:val="en-US" w:eastAsia="zh-CN"/>
        </w:rPr>
        <w:t>（试行）》</w:t>
      </w:r>
      <w:r>
        <w:rPr>
          <w:rFonts w:hint="eastAsia" w:eastAsia="仿宋" w:cs="Times New Roman"/>
          <w:color w:val="auto"/>
          <w:sz w:val="32"/>
          <w:szCs w:val="32"/>
          <w:lang w:val="en-US" w:eastAsia="zh-CN"/>
        </w:rPr>
        <w:t>印发给你们，请认真遵照执行。</w:t>
      </w:r>
    </w:p>
    <w:p w14:paraId="24D95C47">
      <w:pPr>
        <w:pStyle w:val="19"/>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default" w:eastAsia="仿宋" w:cs="Times New Roman"/>
          <w:color w:val="auto"/>
          <w:sz w:val="32"/>
          <w:szCs w:val="32"/>
          <w:lang w:val="en-US" w:eastAsia="zh-CN"/>
        </w:rPr>
      </w:pPr>
    </w:p>
    <w:p w14:paraId="7EE64113">
      <w:pPr>
        <w:pStyle w:val="19"/>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default" w:eastAsia="仿宋" w:cs="Times New Roman"/>
          <w:color w:val="auto"/>
          <w:sz w:val="32"/>
          <w:szCs w:val="32"/>
          <w:lang w:val="en-US" w:eastAsia="zh-CN"/>
        </w:rPr>
      </w:pPr>
    </w:p>
    <w:p w14:paraId="7BB6EF0E">
      <w:pPr>
        <w:keepNext w:val="0"/>
        <w:keepLines w:val="0"/>
        <w:pageBreakBefore w:val="0"/>
        <w:widowControl/>
        <w:kinsoku/>
        <w:wordWrap w:val="0"/>
        <w:overflowPunct/>
        <w:topLinePunct w:val="0"/>
        <w:autoSpaceDE/>
        <w:autoSpaceDN/>
        <w:bidi w:val="0"/>
        <w:adjustRightInd w:val="0"/>
        <w:snapToGrid w:val="0"/>
        <w:spacing w:line="520" w:lineRule="exact"/>
        <w:jc w:val="right"/>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eastAsia="仿宋" w:cs="Times New Roman"/>
          <w:b w:val="0"/>
          <w:bCs w:val="0"/>
          <w:sz w:val="32"/>
          <w:szCs w:val="32"/>
          <w:lang w:eastAsia="zh-CN"/>
        </w:rPr>
        <w:t>芷江侗族自治县水利局</w:t>
      </w:r>
      <w:r>
        <w:rPr>
          <w:rFonts w:hint="eastAsia" w:ascii="Times New Roman" w:hAnsi="Times New Roman" w:eastAsia="仿宋" w:cs="Times New Roman"/>
          <w:b w:val="0"/>
          <w:bCs w:val="0"/>
          <w:sz w:val="32"/>
          <w:szCs w:val="32"/>
          <w:lang w:val="en-US" w:eastAsia="zh-CN"/>
        </w:rPr>
        <w:t xml:space="preserve">    </w:t>
      </w:r>
    </w:p>
    <w:p w14:paraId="22A88FCF">
      <w:pPr>
        <w:keepNext w:val="0"/>
        <w:keepLines w:val="0"/>
        <w:pageBreakBefore w:val="0"/>
        <w:kinsoku/>
        <w:wordWrap w:val="0"/>
        <w:overflowPunct/>
        <w:topLinePunct w:val="0"/>
        <w:autoSpaceDE/>
        <w:autoSpaceDN/>
        <w:bidi w:val="0"/>
        <w:spacing w:line="520" w:lineRule="exact"/>
        <w:jc w:val="right"/>
        <w:textAlignment w:val="auto"/>
        <w:rPr>
          <w:rFonts w:hint="eastAsia"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 xml:space="preserve">                           </w:t>
      </w:r>
      <w:r>
        <w:rPr>
          <w:rFonts w:hint="default" w:ascii="Times New Roman" w:hAnsi="Times New Roman" w:eastAsia="仿宋" w:cs="Times New Roman"/>
          <w:b w:val="0"/>
          <w:bCs w:val="0"/>
          <w:sz w:val="32"/>
          <w:szCs w:val="32"/>
          <w:lang w:eastAsia="zh-CN"/>
        </w:rPr>
        <w:t>20</w:t>
      </w:r>
      <w:r>
        <w:rPr>
          <w:rFonts w:hint="default" w:ascii="Times New Roman" w:hAnsi="Times New Roman" w:eastAsia="仿宋" w:cs="Times New Roman"/>
          <w:b w:val="0"/>
          <w:bCs w:val="0"/>
          <w:sz w:val="32"/>
          <w:szCs w:val="32"/>
          <w:lang w:val="en-US" w:eastAsia="zh-CN"/>
        </w:rPr>
        <w:t>2</w:t>
      </w:r>
      <w:r>
        <w:rPr>
          <w:rFonts w:hint="eastAsia" w:ascii="Times New Roman" w:hAnsi="Times New Roman" w:eastAsia="仿宋" w:cs="Times New Roman"/>
          <w:b w:val="0"/>
          <w:bCs w:val="0"/>
          <w:sz w:val="32"/>
          <w:szCs w:val="32"/>
          <w:lang w:val="en-US" w:eastAsia="zh-CN"/>
        </w:rPr>
        <w:t>6</w:t>
      </w:r>
      <w:r>
        <w:rPr>
          <w:rFonts w:hint="default" w:ascii="Times New Roman" w:hAnsi="Times New Roman" w:eastAsia="仿宋" w:cs="Times New Roman"/>
          <w:b w:val="0"/>
          <w:bCs w:val="0"/>
          <w:sz w:val="32"/>
          <w:szCs w:val="32"/>
        </w:rPr>
        <w:t>年</w:t>
      </w:r>
      <w:r>
        <w:rPr>
          <w:rFonts w:hint="eastAsia" w:ascii="Times New Roman" w:hAnsi="Times New Roman" w:eastAsia="仿宋" w:cs="Times New Roman"/>
          <w:b w:val="0"/>
          <w:bCs w:val="0"/>
          <w:sz w:val="32"/>
          <w:szCs w:val="32"/>
          <w:lang w:val="en-US" w:eastAsia="zh-CN"/>
        </w:rPr>
        <w:t>6</w:t>
      </w:r>
      <w:r>
        <w:rPr>
          <w:rFonts w:hint="default" w:ascii="Times New Roman" w:hAnsi="Times New Roman" w:eastAsia="仿宋" w:cs="Times New Roman"/>
          <w:b w:val="0"/>
          <w:bCs w:val="0"/>
          <w:color w:val="auto"/>
          <w:sz w:val="32"/>
          <w:szCs w:val="32"/>
        </w:rPr>
        <w:t>月</w:t>
      </w:r>
      <w:r>
        <w:rPr>
          <w:rFonts w:hint="eastAsia" w:ascii="Times New Roman" w:hAnsi="Times New Roman" w:eastAsia="仿宋" w:cs="Times New Roman"/>
          <w:b w:val="0"/>
          <w:bCs w:val="0"/>
          <w:color w:val="auto"/>
          <w:sz w:val="32"/>
          <w:szCs w:val="32"/>
          <w:lang w:val="en-US" w:eastAsia="zh-CN"/>
        </w:rPr>
        <w:t>2</w:t>
      </w:r>
      <w:r>
        <w:rPr>
          <w:rFonts w:hint="eastAsia" w:eastAsia="仿宋" w:cs="Times New Roman"/>
          <w:b w:val="0"/>
          <w:bCs w:val="0"/>
          <w:color w:val="auto"/>
          <w:sz w:val="32"/>
          <w:szCs w:val="32"/>
          <w:lang w:val="en-US" w:eastAsia="zh-CN"/>
        </w:rPr>
        <w:t>3</w:t>
      </w:r>
      <w:r>
        <w:rPr>
          <w:rFonts w:hint="default" w:ascii="Times New Roman" w:hAnsi="Times New Roman" w:eastAsia="仿宋" w:cs="Times New Roman"/>
          <w:b w:val="0"/>
          <w:bCs w:val="0"/>
          <w:sz w:val="32"/>
          <w:szCs w:val="32"/>
        </w:rPr>
        <w:t>日</w:t>
      </w:r>
      <w:r>
        <w:rPr>
          <w:rFonts w:hint="eastAsia" w:ascii="Times New Roman" w:hAnsi="Times New Roman" w:eastAsia="仿宋" w:cs="Times New Roman"/>
          <w:b w:val="0"/>
          <w:bCs w:val="0"/>
          <w:sz w:val="32"/>
          <w:szCs w:val="32"/>
          <w:lang w:val="en-US" w:eastAsia="zh-CN"/>
        </w:rPr>
        <w:t xml:space="preserve">      </w:t>
      </w:r>
    </w:p>
    <w:p w14:paraId="353498B7">
      <w:pPr>
        <w:pStyle w:val="19"/>
        <w:wordWrap/>
        <w:rPr>
          <w:rFonts w:hint="eastAsia" w:ascii="Times New Roman" w:hAnsi="Times New Roman" w:eastAsia="仿宋" w:cs="Times New Roman"/>
          <w:b w:val="0"/>
          <w:bCs w:val="0"/>
          <w:sz w:val="32"/>
          <w:szCs w:val="32"/>
          <w:lang w:val="en-US" w:eastAsia="zh-CN"/>
        </w:rPr>
      </w:pPr>
    </w:p>
    <w:p w14:paraId="0A2AFFED">
      <w:pPr>
        <w:keepNext w:val="0"/>
        <w:keepLines w:val="0"/>
        <w:pageBreakBefore w:val="0"/>
        <w:kinsoku/>
        <w:overflowPunct/>
        <w:topLinePunct w:val="0"/>
        <w:autoSpaceDE/>
        <w:autoSpaceDN/>
        <w:bidi w:val="0"/>
        <w:spacing w:line="520" w:lineRule="exact"/>
        <w:textAlignment w:val="auto"/>
        <w:rPr>
          <w:rFonts w:ascii="Times New Roman" w:hAnsi="Times New Roman" w:eastAsia="黑体"/>
          <w:bCs/>
          <w:sz w:val="32"/>
          <w:szCs w:val="32"/>
          <w:u w:val="thick"/>
        </w:rPr>
      </w:pPr>
      <w:r>
        <w:rPr>
          <w:rFonts w:ascii="Times New Roman" w:hAnsi="Times New Roman" w:eastAsia="黑体"/>
          <w:bCs/>
          <w:sz w:val="32"/>
          <w:szCs w:val="32"/>
          <w:u w:val="thick"/>
        </w:rPr>
        <w:t xml:space="preserve">                    </w:t>
      </w:r>
      <w:r>
        <w:rPr>
          <w:rFonts w:hint="eastAsia" w:ascii="Times New Roman" w:hAnsi="Times New Roman" w:eastAsia="黑体"/>
          <w:bCs/>
          <w:sz w:val="32"/>
          <w:szCs w:val="32"/>
          <w:u w:val="thick"/>
          <w:lang w:val="en-US" w:eastAsia="zh-CN"/>
        </w:rPr>
        <w:t xml:space="preserve"> </w:t>
      </w:r>
      <w:r>
        <w:rPr>
          <w:rFonts w:ascii="Times New Roman" w:hAnsi="Times New Roman" w:eastAsia="黑体"/>
          <w:bCs/>
          <w:sz w:val="32"/>
          <w:szCs w:val="32"/>
          <w:u w:val="thick"/>
        </w:rPr>
        <w:t xml:space="preserve">         </w:t>
      </w:r>
      <w:r>
        <w:rPr>
          <w:rFonts w:hint="eastAsia" w:ascii="Times New Roman" w:hAnsi="Times New Roman" w:eastAsia="黑体"/>
          <w:bCs/>
          <w:sz w:val="32"/>
          <w:szCs w:val="32"/>
          <w:u w:val="thick"/>
        </w:rPr>
        <w:t xml:space="preserve"> </w:t>
      </w:r>
      <w:r>
        <w:rPr>
          <w:rFonts w:ascii="Times New Roman" w:hAnsi="Times New Roman" w:eastAsia="黑体"/>
          <w:bCs/>
          <w:sz w:val="32"/>
          <w:szCs w:val="32"/>
          <w:u w:val="thick"/>
        </w:rPr>
        <w:t xml:space="preserve">                          </w:t>
      </w:r>
    </w:p>
    <w:p w14:paraId="3A5C5CB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u w:val="single"/>
        </w:rPr>
        <w:t xml:space="preserve">芷江侗族自治县水利局办公室           </w:t>
      </w:r>
      <w:r>
        <w:rPr>
          <w:rFonts w:hint="default" w:ascii="Times New Roman" w:hAnsi="Times New Roman" w:eastAsia="仿宋" w:cs="Times New Roman"/>
          <w:sz w:val="32"/>
          <w:szCs w:val="32"/>
          <w:u w:val="single"/>
        </w:rPr>
        <w:t xml:space="preserve"> 202</w:t>
      </w:r>
      <w:r>
        <w:rPr>
          <w:rFonts w:hint="default" w:ascii="Times New Roman" w:hAnsi="Times New Roman" w:eastAsia="仿宋" w:cs="Times New Roman"/>
          <w:sz w:val="32"/>
          <w:szCs w:val="32"/>
          <w:u w:val="single"/>
          <w:lang w:val="en-US" w:eastAsia="zh-CN"/>
        </w:rPr>
        <w:t>6</w:t>
      </w:r>
      <w:r>
        <w:rPr>
          <w:rFonts w:hint="default" w:ascii="Times New Roman" w:hAnsi="Times New Roman" w:eastAsia="仿宋" w:cs="Times New Roman"/>
          <w:sz w:val="32"/>
          <w:szCs w:val="32"/>
          <w:u w:val="single"/>
        </w:rPr>
        <w:t>年</w:t>
      </w:r>
      <w:r>
        <w:rPr>
          <w:rFonts w:hint="default" w:ascii="Times New Roman" w:hAnsi="Times New Roman" w:eastAsia="仿宋" w:cs="Times New Roman"/>
          <w:sz w:val="32"/>
          <w:szCs w:val="32"/>
          <w:u w:val="single"/>
          <w:lang w:val="en-US" w:eastAsia="zh-CN"/>
        </w:rPr>
        <w:t>6</w:t>
      </w:r>
      <w:r>
        <w:rPr>
          <w:rFonts w:hint="default" w:ascii="Times New Roman" w:hAnsi="Times New Roman" w:eastAsia="仿宋" w:cs="Times New Roman"/>
          <w:sz w:val="32"/>
          <w:szCs w:val="32"/>
          <w:u w:val="single"/>
        </w:rPr>
        <w:t>月</w:t>
      </w:r>
      <w:r>
        <w:rPr>
          <w:rFonts w:hint="default" w:ascii="Times New Roman" w:hAnsi="Times New Roman" w:eastAsia="仿宋" w:cs="Times New Roman"/>
          <w:sz w:val="32"/>
          <w:szCs w:val="32"/>
          <w:u w:val="single"/>
          <w:lang w:val="en-US" w:eastAsia="zh-CN"/>
        </w:rPr>
        <w:t>2</w:t>
      </w:r>
      <w:r>
        <w:rPr>
          <w:rFonts w:hint="eastAsia" w:eastAsia="仿宋" w:cs="Times New Roman"/>
          <w:sz w:val="32"/>
          <w:szCs w:val="32"/>
          <w:u w:val="single"/>
          <w:lang w:val="en-US" w:eastAsia="zh-CN"/>
        </w:rPr>
        <w:t>3</w:t>
      </w:r>
      <w:bookmarkStart w:id="0" w:name="_GoBack"/>
      <w:bookmarkEnd w:id="0"/>
      <w:r>
        <w:rPr>
          <w:rFonts w:hint="eastAsia" w:ascii="仿宋" w:hAnsi="仿宋" w:eastAsia="仿宋" w:cs="仿宋"/>
          <w:sz w:val="32"/>
          <w:szCs w:val="32"/>
          <w:u w:val="single"/>
        </w:rPr>
        <w:t>日印</w:t>
      </w:r>
      <w:r>
        <w:rPr>
          <w:rFonts w:hint="eastAsia" w:ascii="仿宋" w:hAnsi="仿宋" w:eastAsia="仿宋" w:cs="仿宋"/>
          <w:sz w:val="32"/>
          <w:szCs w:val="32"/>
          <w:u w:val="single"/>
          <w:lang w:eastAsia="zh-CN"/>
        </w:rPr>
        <w:t>发</w:t>
      </w:r>
    </w:p>
    <w:p w14:paraId="5D549531">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outlineLvl w:val="0"/>
        <w:rPr>
          <w:rFonts w:hint="eastAsia" w:ascii="方正小标宋_GBK" w:hAnsi="方正小标宋_GBK" w:eastAsia="方正小标宋_GBK" w:cs="方正小标宋_GBK"/>
          <w:b w:val="0"/>
          <w:kern w:val="44"/>
          <w:sz w:val="44"/>
          <w:szCs w:val="32"/>
          <w:lang w:val="en-US" w:eastAsia="zh-CN" w:bidi="ar-SA"/>
        </w:rPr>
      </w:pPr>
      <w:r>
        <w:rPr>
          <w:rFonts w:hint="eastAsia" w:ascii="方正小标宋_GBK" w:hAnsi="方正小标宋_GBK" w:eastAsia="方正小标宋_GBK" w:cs="方正小标宋_GBK"/>
          <w:b w:val="0"/>
          <w:kern w:val="44"/>
          <w:sz w:val="44"/>
          <w:szCs w:val="32"/>
          <w:lang w:val="en-US" w:eastAsia="zh-CN" w:bidi="ar-SA"/>
        </w:rPr>
        <w:t>芷江侗族自治县用水权交易监督管理细则</w:t>
      </w:r>
    </w:p>
    <w:p w14:paraId="4F1348A4">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outlineLvl w:val="0"/>
        <w:rPr>
          <w:rFonts w:hint="eastAsia" w:ascii="方正小标宋_GBK" w:hAnsi="方正小标宋_GBK" w:eastAsia="方正小标宋_GBK" w:cs="方正小标宋_GBK"/>
          <w:b w:val="0"/>
          <w:kern w:val="44"/>
          <w:sz w:val="44"/>
          <w:szCs w:val="32"/>
          <w:lang w:val="en-US" w:eastAsia="zh-CN" w:bidi="ar-SA"/>
        </w:rPr>
      </w:pPr>
      <w:r>
        <w:rPr>
          <w:rFonts w:hint="eastAsia" w:ascii="方正小标宋_GBK" w:hAnsi="方正小标宋_GBK" w:eastAsia="方正小标宋_GBK" w:cs="方正小标宋_GBK"/>
          <w:b w:val="0"/>
          <w:kern w:val="44"/>
          <w:sz w:val="44"/>
          <w:szCs w:val="32"/>
          <w:lang w:val="en-US" w:eastAsia="zh-CN" w:bidi="ar-SA"/>
        </w:rPr>
        <w:t>（试行）</w:t>
      </w:r>
    </w:p>
    <w:p w14:paraId="5190271D">
      <w:pPr>
        <w:pStyle w:val="14"/>
        <w:rPr>
          <w:rFonts w:hint="eastAsia"/>
          <w:sz w:val="32"/>
          <w:szCs w:val="32"/>
          <w:lang w:val="en-US" w:eastAsia="zh-CN"/>
        </w:rPr>
      </w:pPr>
    </w:p>
    <w:p w14:paraId="21BEA37D">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ascii="仿宋" w:hAnsi="仿宋" w:eastAsia="仿宋" w:cs="仿宋"/>
          <w:b w:val="0"/>
          <w:kern w:val="44"/>
          <w:sz w:val="32"/>
          <w:szCs w:val="32"/>
          <w:lang w:val="en-US" w:eastAsia="zh-CN" w:bidi="ar-SA"/>
        </w:rPr>
      </w:pPr>
      <w:r>
        <w:rPr>
          <w:rFonts w:hint="eastAsia" w:ascii="仿宋" w:hAnsi="仿宋" w:eastAsia="仿宋" w:cs="仿宋"/>
          <w:b w:val="0"/>
          <w:kern w:val="44"/>
          <w:sz w:val="32"/>
          <w:szCs w:val="32"/>
          <w:lang w:val="en-US" w:eastAsia="zh-CN" w:bidi="ar-SA"/>
        </w:rPr>
        <w:t>总则</w:t>
      </w:r>
    </w:p>
    <w:p w14:paraId="61B55645">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第一条</w:t>
      </w:r>
      <w:r>
        <w:rPr>
          <w:rFonts w:hint="eastAsia" w:ascii="仿宋" w:hAnsi="仿宋" w:eastAsia="仿宋" w:cs="仿宋"/>
          <w:sz w:val="32"/>
          <w:szCs w:val="32"/>
          <w:lang w:val="en-US" w:eastAsia="zh-CN"/>
        </w:rPr>
        <w:t xml:space="preserve"> 为加强芷江侗族自治县用水权交易的监督管理，促进用水权交易市场健康有序发展，根据《水利部 国家发展改革委 财政部关于推进用水权改革的指导意见》（水资管〔2022〕333号）《用水权交易管理规则（试行）》（水财务〔2024〕9号）以及《湖南省水利厅 湖南省发展和改革委员会 湖南省财政厅关于推进用水权改革工作的实施意见》等有关法律法规和政策文件，结合芷江侗族自治县实际，制定本细则。</w:t>
      </w:r>
    </w:p>
    <w:p w14:paraId="22733A10">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第二条</w:t>
      </w:r>
      <w:r>
        <w:rPr>
          <w:rFonts w:hint="eastAsia" w:ascii="仿宋" w:hAnsi="仿宋" w:eastAsia="仿宋" w:cs="仿宋"/>
          <w:sz w:val="32"/>
          <w:szCs w:val="32"/>
          <w:lang w:val="en-US" w:eastAsia="zh-CN"/>
        </w:rPr>
        <w:t xml:space="preserve"> 本细则适用于在芷江侗族自治县行政区域内水资源市场化交易监督管理工作。由县水行政主管部门负责本行政区域内有关用水权交易的监督管理和业务指导。有关组织和个人应当接受县水行政主管部门依法进行的用水权交易监督检查，并给予支持与配合。</w:t>
      </w:r>
    </w:p>
    <w:p w14:paraId="359011A5">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第三条</w:t>
      </w:r>
      <w:r>
        <w:rPr>
          <w:rFonts w:hint="eastAsia" w:ascii="仿宋" w:hAnsi="仿宋" w:eastAsia="仿宋" w:cs="仿宋"/>
          <w:sz w:val="32"/>
          <w:szCs w:val="32"/>
          <w:lang w:val="en-US" w:eastAsia="zh-CN"/>
        </w:rPr>
        <w:t xml:space="preserve"> 本细则所称用水权交易，是指在分配与明晰用水权基础上,通过市场机制实现用水权在地区间、流域间、流域上下游、行业间、用水户间流转的行为。</w:t>
      </w:r>
    </w:p>
    <w:p w14:paraId="692F56E8">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本细则所称交易主体，是指通过交易转让水权的转让方和取得水权的受让方。</w:t>
      </w:r>
    </w:p>
    <w:p w14:paraId="3F90A141">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ascii="仿宋" w:hAnsi="仿宋" w:eastAsia="仿宋" w:cs="仿宋"/>
          <w:b w:val="0"/>
          <w:kern w:val="44"/>
          <w:sz w:val="32"/>
          <w:szCs w:val="32"/>
          <w:lang w:val="en-US" w:eastAsia="zh-CN" w:bidi="ar-SA"/>
        </w:rPr>
      </w:pPr>
      <w:r>
        <w:rPr>
          <w:rFonts w:hint="eastAsia" w:ascii="仿宋" w:hAnsi="仿宋" w:eastAsia="仿宋" w:cs="仿宋"/>
          <w:b w:val="0"/>
          <w:kern w:val="44"/>
          <w:sz w:val="32"/>
          <w:szCs w:val="32"/>
          <w:lang w:val="en-US" w:eastAsia="zh-CN" w:bidi="ar-SA"/>
        </w:rPr>
        <w:t>用水权交易监管</w:t>
      </w:r>
    </w:p>
    <w:p w14:paraId="5F7129FB">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第四条 </w:t>
      </w:r>
      <w:r>
        <w:rPr>
          <w:rFonts w:hint="eastAsia" w:ascii="仿宋" w:hAnsi="仿宋" w:eastAsia="仿宋" w:cs="仿宋"/>
          <w:sz w:val="32"/>
          <w:szCs w:val="32"/>
          <w:lang w:val="en-US" w:eastAsia="zh-CN"/>
        </w:rPr>
        <w:t>县水行政主管部门在监督用水权交易时，有权要求：</w:t>
      </w:r>
    </w:p>
    <w:p w14:paraId="1D818AC4">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（一）对计量设施的正常使用情况进行现场核查；</w:t>
      </w:r>
    </w:p>
    <w:p w14:paraId="6F450101">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（二）询问用水权交易主体及其他被检查对象，要求其对有关检查事项作出说明；</w:t>
      </w:r>
    </w:p>
    <w:p w14:paraId="264832BB">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（三）核查、复制与检查事项有关协议、资料。</w:t>
      </w:r>
    </w:p>
    <w:p w14:paraId="4A86C008">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第五条</w:t>
      </w:r>
      <w:r>
        <w:rPr>
          <w:rFonts w:hint="eastAsia" w:ascii="仿宋" w:hAnsi="仿宋" w:eastAsia="仿宋" w:cs="仿宋"/>
          <w:sz w:val="32"/>
          <w:szCs w:val="32"/>
          <w:lang w:val="en-US" w:eastAsia="zh-CN"/>
        </w:rPr>
        <w:t xml:space="preserve"> 县水行政主管部门应切实加强对各类用水权交易实施情况的动态监管，重点跟踪检查用水权交易水量的真实性、交易程序的规范性、交易价格的合理性、水资源用途和取用水过程的合规性等。</w:t>
      </w:r>
    </w:p>
    <w:p w14:paraId="65A6DAEC">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第六条</w:t>
      </w:r>
      <w:r>
        <w:rPr>
          <w:rFonts w:hint="eastAsia" w:ascii="仿宋" w:hAnsi="仿宋" w:eastAsia="仿宋" w:cs="仿宋"/>
          <w:sz w:val="32"/>
          <w:szCs w:val="32"/>
          <w:lang w:val="en-US" w:eastAsia="zh-CN"/>
        </w:rPr>
        <w:t xml:space="preserve"> 交易主体应当遵守有关法律法规和规范性文件，不得有以下行为：</w:t>
      </w:r>
    </w:p>
    <w:p w14:paraId="6DC5D64D">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（一）提供虚假材料，骗取用水权交易批准文件；</w:t>
      </w:r>
    </w:p>
    <w:p w14:paraId="3D647CEC">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（二）虚假交易、恶意阻碍用水权交易活动等违反法律法规、规章的行为。</w:t>
      </w:r>
    </w:p>
    <w:p w14:paraId="24B608FA">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第七条</w:t>
      </w:r>
      <w:r>
        <w:rPr>
          <w:rFonts w:hint="eastAsia" w:ascii="仿宋" w:hAnsi="仿宋" w:eastAsia="仿宋" w:cs="仿宋"/>
          <w:sz w:val="32"/>
          <w:szCs w:val="32"/>
          <w:lang w:val="en-US" w:eastAsia="zh-CN"/>
        </w:rPr>
        <w:t xml:space="preserve"> 县水行政主管部门应当强化用水权交易用途管制。</w:t>
      </w:r>
    </w:p>
    <w:p w14:paraId="5DACA917">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（一）用水权转让应符合法律法规，严格限制向不符合产业政策、水资源刚性约束制度及水资源配置规划等要求的取用水户转让用水权；</w:t>
      </w:r>
    </w:p>
    <w:p w14:paraId="7778D9FF">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（二）用水权交易要充分考虑水源供水保证率、第三方影响、工程调度管理要求等因素，对生态环境和第三方影响较大的用水权交易，应应建立影响评估及补偿机制；</w:t>
      </w:r>
    </w:p>
    <w:p w14:paraId="785C9DBE">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（三）农业用水权应优先用于农业生产，灌溉范围内农业用水得到基本满足后可向其他行业交易；</w:t>
      </w:r>
    </w:p>
    <w:p w14:paraId="1E61ACE3">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（四）具备非常规水利用条件的，鼓励优先利用非常规水。</w:t>
      </w:r>
    </w:p>
    <w:p w14:paraId="0CBD3816">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属于以下情形的，不得开展用水权交易。</w:t>
      </w:r>
    </w:p>
    <w:p w14:paraId="45ABDFB5">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（一）用水权归属尚不明确的区域、取用水户、灌区内灌溉用水户和公共供水管网内用户，不得作为转让方开展相应水源的用水权交易；</w:t>
      </w:r>
    </w:p>
    <w:p w14:paraId="326A07B6">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（二）拟交易水量超过用水权结余的，相关单位和个人禁止作为转让方开展相应水源的用水权交易；</w:t>
      </w:r>
    </w:p>
    <w:p w14:paraId="1D8C133D">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（三）存在未经批准擅自取水、未按取水许可规定条件取水等违规取用水行为且未按要求完成整改的取用水户，禁止作为转让方开展用水权交易；</w:t>
      </w:r>
    </w:p>
    <w:p w14:paraId="1FE5B117">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（四）不符合节水有关规定要求的或者取水、退水布局不合理的取用水户，禁止作为受让方开</w:t>
      </w:r>
      <w:r>
        <w:rPr>
          <w:rFonts w:hint="eastAsia" w:ascii="仿宋" w:hAnsi="仿宋" w:eastAsia="仿宋" w:cs="仿宋"/>
          <w:sz w:val="32"/>
          <w:szCs w:val="32"/>
          <w:highlight w:val="none"/>
          <w:lang w:val="en-US" w:eastAsia="zh-CN"/>
        </w:rPr>
        <w:t>展用水权交易</w:t>
      </w:r>
      <w:r>
        <w:rPr>
          <w:rFonts w:hint="eastAsia" w:ascii="仿宋" w:hAnsi="仿宋" w:eastAsia="仿宋" w:cs="仿宋"/>
          <w:sz w:val="32"/>
          <w:szCs w:val="32"/>
          <w:lang w:val="en-US" w:eastAsia="zh-CN"/>
        </w:rPr>
        <w:t>；</w:t>
      </w:r>
    </w:p>
    <w:p w14:paraId="2E392489">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（五）列入国家产业结构调整指导目录中限制类和淘汰类的建设项目，相关取用水户禁止作为受让</w:t>
      </w:r>
      <w:r>
        <w:rPr>
          <w:rFonts w:hint="eastAsia" w:ascii="仿宋" w:hAnsi="仿宋" w:eastAsia="仿宋" w:cs="仿宋"/>
          <w:sz w:val="32"/>
          <w:szCs w:val="32"/>
          <w:highlight w:val="none"/>
          <w:lang w:val="en-US" w:eastAsia="zh-CN"/>
        </w:rPr>
        <w:t>方开展用水权交易。</w:t>
      </w:r>
    </w:p>
    <w:p w14:paraId="6A8AE3F0">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（六）拟交易双方因不具备天然或人工水力联系造成受让方无法使用转让方用水权的，不得开展用水权交易；</w:t>
      </w:r>
    </w:p>
    <w:p w14:paraId="7FB36ED1">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（七）拟交易双方监测计量条件不符合有关规定要求、影响用水权交易水量交割与核算的，禁止开展用水权交易；</w:t>
      </w:r>
    </w:p>
    <w:p w14:paraId="14E3AA26">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highlight w:val="yellow"/>
          <w:lang w:val="en-US" w:eastAsia="zh-CN"/>
        </w:rPr>
      </w:pPr>
      <w:r>
        <w:rPr>
          <w:rFonts w:hint="eastAsia" w:ascii="仿宋" w:hAnsi="仿宋" w:eastAsia="仿宋" w:cs="仿宋"/>
          <w:sz w:val="32"/>
          <w:szCs w:val="32"/>
          <w:lang w:val="en-US" w:eastAsia="zh-CN"/>
        </w:rPr>
        <w:t>（八）在取用水领域存在弄虚作假等严重失信行为，且被列为取用水严重失信主体的取用水户，在未完成信用修复前，禁止开展</w:t>
      </w:r>
      <w:r>
        <w:rPr>
          <w:rFonts w:hint="eastAsia" w:ascii="仿宋" w:hAnsi="仿宋" w:eastAsia="仿宋" w:cs="仿宋"/>
          <w:sz w:val="32"/>
          <w:szCs w:val="32"/>
          <w:highlight w:val="none"/>
          <w:lang w:val="en-US" w:eastAsia="zh-CN"/>
        </w:rPr>
        <w:t>用水权交易；</w:t>
      </w:r>
    </w:p>
    <w:p w14:paraId="46960F7F">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（九）挤占居民生活用水、农业灌溉合理用水、河湖基本生态用水的，造成或加剧地下水超采的，以及可能对第三方或者社会公共利益产生重大损害的，禁止开展用水权交易。</w:t>
      </w:r>
    </w:p>
    <w:p w14:paraId="3557615C">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（十）法律法规明确禁止的其他情形。</w:t>
      </w:r>
    </w:p>
    <w:p w14:paraId="65EF6E07">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第九条</w:t>
      </w:r>
      <w:r>
        <w:rPr>
          <w:rFonts w:hint="eastAsia" w:ascii="仿宋" w:hAnsi="仿宋" w:eastAsia="仿宋" w:cs="仿宋"/>
          <w:sz w:val="32"/>
          <w:szCs w:val="32"/>
          <w:lang w:val="en-US" w:eastAsia="zh-CN"/>
        </w:rPr>
        <w:t xml:space="preserve"> 对社会影响较大、影响范围较广的用水权交易，县水行政主管部门应当跟踪督促交易主体履行合同，维护公共利益。</w:t>
      </w:r>
    </w:p>
    <w:p w14:paraId="61B752B2">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ascii="仿宋" w:hAnsi="仿宋" w:eastAsia="仿宋" w:cs="仿宋"/>
          <w:b w:val="0"/>
          <w:kern w:val="44"/>
          <w:sz w:val="32"/>
          <w:szCs w:val="32"/>
          <w:lang w:val="en-US" w:eastAsia="zh-CN" w:bidi="ar-SA"/>
        </w:rPr>
      </w:pPr>
      <w:r>
        <w:rPr>
          <w:rFonts w:hint="eastAsia" w:ascii="仿宋" w:hAnsi="仿宋" w:eastAsia="仿宋" w:cs="仿宋"/>
          <w:b w:val="0"/>
          <w:kern w:val="44"/>
          <w:sz w:val="32"/>
          <w:szCs w:val="32"/>
          <w:lang w:val="en-US" w:eastAsia="zh-CN" w:bidi="ar-SA"/>
        </w:rPr>
        <w:t>交易风险防控</w:t>
      </w:r>
    </w:p>
    <w:p w14:paraId="2D273952">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第十条</w:t>
      </w:r>
      <w:r>
        <w:rPr>
          <w:rFonts w:hint="eastAsia" w:ascii="仿宋" w:hAnsi="仿宋" w:eastAsia="仿宋" w:cs="仿宋"/>
          <w:sz w:val="32"/>
          <w:szCs w:val="32"/>
          <w:lang w:val="en-US" w:eastAsia="zh-CN"/>
        </w:rPr>
        <w:t xml:space="preserve"> 因转让方或者受让方主观原因导致交易合同全部或部分无法履行的，按照双方约定或全国水权交易系统芷江侗族自治县用水权交易电子大厅规定进行违约赔偿。</w:t>
      </w:r>
    </w:p>
    <w:p w14:paraId="309EE785">
      <w:pPr>
        <w:pageBreakBefore w:val="0"/>
        <w:widowControl w:val="0"/>
        <w:numPr>
          <w:ilvl w:val="-1"/>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第十一条</w:t>
      </w:r>
      <w:r>
        <w:rPr>
          <w:rFonts w:hint="eastAsia" w:ascii="仿宋" w:hAnsi="仿宋" w:eastAsia="仿宋" w:cs="仿宋"/>
          <w:sz w:val="32"/>
          <w:szCs w:val="32"/>
          <w:lang w:val="en-US" w:eastAsia="zh-CN"/>
        </w:rPr>
        <w:t xml:space="preserve"> 在用水权交易过程中发生工程毁损、突发环境事故、自然灾害等客观原因导致交易无法进行的，交易双方应及时协商应急处理措施，并将有关情况报告县水行政主管部门。</w:t>
      </w:r>
    </w:p>
    <w:p w14:paraId="2BD41AEA">
      <w:pPr>
        <w:pageBreakBefore w:val="0"/>
        <w:widowControl w:val="0"/>
        <w:numPr>
          <w:ilvl w:val="-1"/>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第十二条</w:t>
      </w:r>
      <w:r>
        <w:rPr>
          <w:rFonts w:hint="eastAsia" w:ascii="仿宋" w:hAnsi="仿宋" w:eastAsia="仿宋" w:cs="仿宋"/>
          <w:sz w:val="32"/>
          <w:szCs w:val="32"/>
          <w:lang w:val="en-US" w:eastAsia="zh-CN"/>
        </w:rPr>
        <w:t xml:space="preserve"> 交易双方发生水权交易纠纷可以自行协商解决，也可向县水行政主管部门或具有管辖权的相关部门申请调解，还可依法向仲裁机构申请仲裁或者向人民法院提起诉讼。协商、仲裁或判决结果应及时报告县水行政主管部门。</w:t>
      </w:r>
    </w:p>
    <w:p w14:paraId="54209D43">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ascii="仿宋" w:hAnsi="仿宋" w:eastAsia="仿宋" w:cs="仿宋"/>
          <w:b w:val="0"/>
          <w:kern w:val="44"/>
          <w:sz w:val="32"/>
          <w:szCs w:val="32"/>
          <w:lang w:val="en-US" w:eastAsia="zh-CN" w:bidi="ar-SA"/>
        </w:rPr>
      </w:pPr>
      <w:r>
        <w:rPr>
          <w:rFonts w:hint="eastAsia" w:ascii="仿宋" w:hAnsi="仿宋" w:eastAsia="仿宋" w:cs="仿宋"/>
          <w:b w:val="0"/>
          <w:kern w:val="44"/>
          <w:sz w:val="32"/>
          <w:szCs w:val="32"/>
          <w:lang w:val="en-US" w:eastAsia="zh-CN" w:bidi="ar-SA"/>
        </w:rPr>
        <w:t>信息公开及社会监督</w:t>
      </w:r>
    </w:p>
    <w:p w14:paraId="6823A7F8">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第十三条</w:t>
      </w:r>
      <w:r>
        <w:rPr>
          <w:rFonts w:hint="eastAsia" w:ascii="仿宋" w:hAnsi="仿宋" w:eastAsia="仿宋" w:cs="仿宋"/>
          <w:sz w:val="32"/>
          <w:szCs w:val="32"/>
          <w:lang w:val="en-US" w:eastAsia="zh-CN"/>
        </w:rPr>
        <w:t xml:space="preserve"> 县水行政主管部门通过全国水权交易系统芷江侗族自治县用水权交易电子大厅对用水权交易信息、交易行情、重大事项进行公开披露，并确保公开的信息真实、准确、完整、及时。同时，不得利用交易主体提供的信息从事任何与交易无关或有损交易主体利益的活动。</w:t>
      </w:r>
    </w:p>
    <w:p w14:paraId="70AE0C60">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第十四条</w:t>
      </w:r>
      <w:r>
        <w:rPr>
          <w:rFonts w:hint="eastAsia" w:ascii="仿宋" w:hAnsi="仿宋" w:eastAsia="仿宋" w:cs="仿宋"/>
          <w:sz w:val="32"/>
          <w:szCs w:val="32"/>
          <w:lang w:val="en-US" w:eastAsia="zh-CN"/>
        </w:rPr>
        <w:t xml:space="preserve"> 对于用水权交易中一切违反法律法规的行为，任何单位和个人都有权向有关水行政主管部门检举、投诉。</w:t>
      </w:r>
    </w:p>
    <w:p w14:paraId="11DC4D52">
      <w:pPr>
        <w:keepNext/>
        <w:keepLines/>
        <w:pageBreakBefore w:val="0"/>
        <w:widowControl w:val="0"/>
        <w:numPr>
          <w:ilvl w:val="0"/>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0"/>
        <w:rPr>
          <w:rFonts w:hint="eastAsia" w:ascii="仿宋" w:hAnsi="仿宋" w:eastAsia="仿宋" w:cs="仿宋"/>
          <w:b w:val="0"/>
          <w:kern w:val="44"/>
          <w:sz w:val="32"/>
          <w:szCs w:val="32"/>
          <w:lang w:val="en-US" w:eastAsia="zh-CN" w:bidi="ar-SA"/>
        </w:rPr>
      </w:pPr>
      <w:r>
        <w:rPr>
          <w:rFonts w:hint="eastAsia" w:ascii="仿宋" w:hAnsi="仿宋" w:eastAsia="仿宋" w:cs="仿宋"/>
          <w:b w:val="0"/>
          <w:kern w:val="44"/>
          <w:sz w:val="32"/>
          <w:szCs w:val="32"/>
          <w:lang w:val="en-US" w:eastAsia="zh-CN" w:bidi="ar-SA"/>
        </w:rPr>
        <w:t>附则</w:t>
      </w:r>
    </w:p>
    <w:p w14:paraId="38842842">
      <w:pPr>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eastAsia="仿宋_GB2312"/>
          <w:sz w:val="32"/>
          <w:szCs w:val="32"/>
          <w:lang w:val="en-US" w:eastAsia="zh-CN"/>
        </w:rPr>
      </w:pPr>
      <w:r>
        <w:rPr>
          <w:rFonts w:hint="eastAsia" w:ascii="仿宋" w:hAnsi="仿宋" w:eastAsia="仿宋" w:cs="仿宋"/>
          <w:b/>
          <w:bCs/>
          <w:sz w:val="32"/>
          <w:szCs w:val="32"/>
          <w:lang w:val="en-US" w:eastAsia="zh-CN"/>
        </w:rPr>
        <w:t>第十五条</w:t>
      </w:r>
      <w:r>
        <w:rPr>
          <w:rFonts w:hint="eastAsia" w:ascii="仿宋" w:hAnsi="仿宋" w:eastAsia="仿宋" w:cs="仿宋"/>
          <w:sz w:val="32"/>
          <w:szCs w:val="32"/>
          <w:lang w:val="en-US" w:eastAsia="zh-CN"/>
        </w:rPr>
        <w:t xml:space="preserve"> 本细则自公布之日起试行，有效期二年。</w:t>
      </w:r>
    </w:p>
    <w:p w14:paraId="64EB4190">
      <w:pPr>
        <w:keepNext w:val="0"/>
        <w:keepLines w:val="0"/>
        <w:pageBreakBefore w:val="0"/>
        <w:widowControl w:val="0"/>
        <w:kinsoku/>
        <w:overflowPunct/>
        <w:topLinePunct w:val="0"/>
        <w:autoSpaceDE/>
        <w:autoSpaceDN/>
        <w:bidi w:val="0"/>
        <w:adjustRightInd/>
        <w:spacing w:line="560" w:lineRule="exact"/>
        <w:ind w:left="0" w:leftChars="0" w:firstLine="0" w:firstLineChars="0"/>
        <w:rPr>
          <w:rFonts w:hint="eastAsia" w:ascii="Times New Roman" w:hAnsi="Times New Roman" w:eastAsia="方正小标宋简体" w:cs="Times New Roman"/>
          <w:sz w:val="44"/>
          <w:szCs w:val="44"/>
          <w:lang w:val="en-US" w:eastAsia="zh-CN"/>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5C287B-6E52-4E1D-82FF-7F88B3EB76F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embedRegular r:id="rId2" w:fontKey="{9FA8E8D5-4245-4F68-9FE5-77D7CBD48B0A}"/>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90FFEFA8-5574-45DD-A18C-58D1B2FC94AC}"/>
  </w:font>
  <w:font w:name="仿宋">
    <w:panose1 w:val="02010609060101010101"/>
    <w:charset w:val="86"/>
    <w:family w:val="modern"/>
    <w:pitch w:val="default"/>
    <w:sig w:usb0="800002BF" w:usb1="38CF7CFA" w:usb2="00000016" w:usb3="00000000" w:csb0="00040001" w:csb1="00000000"/>
    <w:embedRegular r:id="rId4" w:fontKey="{A10B4E0A-19B4-40BE-8DDE-410B66EC7120}"/>
  </w:font>
  <w:font w:name="方正小标宋简体">
    <w:panose1 w:val="03000509000000000000"/>
    <w:charset w:val="86"/>
    <w:family w:val="auto"/>
    <w:pitch w:val="default"/>
    <w:sig w:usb0="00000001" w:usb1="080E0000" w:usb2="00000000" w:usb3="00000000" w:csb0="00040000" w:csb1="00000000"/>
    <w:embedRegular r:id="rId5" w:fontKey="{2323486D-8C53-4F2E-808A-0B85DC967726}"/>
  </w:font>
  <w:font w:name="方正小标宋_GBK">
    <w:panose1 w:val="02000000000000000000"/>
    <w:charset w:val="86"/>
    <w:family w:val="auto"/>
    <w:pitch w:val="default"/>
    <w:sig w:usb0="A00002BF" w:usb1="38CF7CFA" w:usb2="00082016" w:usb3="00000000" w:csb0="00040001" w:csb1="00000000"/>
    <w:embedRegular r:id="rId6" w:fontKey="{AF34E729-B08A-4F0A-8F62-D965613BC3D1}"/>
  </w:font>
  <w:font w:name="WPSEMBED3">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CE2AF1"/>
    <w:multiLevelType w:val="multilevel"/>
    <w:tmpl w:val="A6CE2AF1"/>
    <w:lvl w:ilvl="0" w:tentative="0">
      <w:start w:val="1"/>
      <w:numFmt w:val="chineseCounting"/>
      <w:suff w:val="space"/>
      <w:lvlText w:val="第%1章"/>
      <w:lvlJc w:val="left"/>
      <w:pPr>
        <w:tabs>
          <w:tab w:val="left" w:pos="0"/>
        </w:tabs>
        <w:ind w:left="850" w:leftChars="0" w:hanging="850" w:firstLineChars="0"/>
      </w:pPr>
      <w:rPr>
        <w:rFonts w:hint="eastAsia" w:ascii="Times New Roman" w:hAnsi="Times New Roman" w:eastAsia="仿宋_GB2312" w:cs="Times New Roman"/>
        <w:sz w:val="32"/>
        <w:szCs w:val="32"/>
      </w:rPr>
    </w:lvl>
    <w:lvl w:ilvl="1" w:tentative="0">
      <w:start w:val="1"/>
      <w:numFmt w:val="decimal"/>
      <w:isLgl/>
      <w:suff w:val="space"/>
      <w:lvlText w:val="%1.%2"/>
      <w:lvlJc w:val="left"/>
      <w:pPr>
        <w:tabs>
          <w:tab w:val="left" w:pos="0"/>
        </w:tabs>
        <w:ind w:left="576" w:hanging="576"/>
      </w:pPr>
      <w:rPr>
        <w:rFonts w:hint="eastAsia" w:ascii="Times New Roman" w:hAnsi="Times New Roman" w:eastAsia="黑体" w:cs="Times New Roman"/>
        <w:b/>
        <w:sz w:val="28"/>
      </w:rPr>
    </w:lvl>
    <w:lvl w:ilvl="2" w:tentative="0">
      <w:start w:val="1"/>
      <w:numFmt w:val="decimal"/>
      <w:isLgl/>
      <w:suff w:val="space"/>
      <w:lvlText w:val="%1.%2.%3"/>
      <w:lvlJc w:val="left"/>
      <w:pPr>
        <w:tabs>
          <w:tab w:val="left" w:pos="0"/>
        </w:tabs>
        <w:ind w:left="720" w:hanging="720"/>
      </w:pPr>
      <w:rPr>
        <w:rFonts w:hint="eastAsia" w:ascii="Times New Roman" w:hAnsi="Times New Roman" w:eastAsia="黑体" w:cs="宋体"/>
        <w:b w:val="0"/>
        <w:sz w:val="24"/>
      </w:rPr>
    </w:lvl>
    <w:lvl w:ilvl="3" w:tentative="0">
      <w:start w:val="1"/>
      <w:numFmt w:val="decimal"/>
      <w:suff w:val="space"/>
      <w:lvlText w:val="%1.%2.%3.%4"/>
      <w:lvlJc w:val="left"/>
      <w:pPr>
        <w:ind w:left="864" w:hanging="864"/>
      </w:pPr>
      <w:rPr>
        <w:rFonts w:hint="eastAsia" w:ascii="Arial" w:hAnsi="Arial" w:cs="Arial"/>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31FFA8D4"/>
    <w:multiLevelType w:val="multilevel"/>
    <w:tmpl w:val="31FFA8D4"/>
    <w:lvl w:ilvl="0" w:tentative="0">
      <w:start w:val="1"/>
      <w:numFmt w:val="decimal"/>
      <w:pStyle w:val="3"/>
      <w:isLgl/>
      <w:suff w:val="space"/>
      <w:lvlText w:val="%1"/>
      <w:lvlJc w:val="left"/>
      <w:pPr>
        <w:tabs>
          <w:tab w:val="left" w:pos="0"/>
        </w:tabs>
        <w:ind w:left="432" w:hanging="432"/>
      </w:pPr>
      <w:rPr>
        <w:rFonts w:hint="default" w:ascii="Times New Roman" w:hAnsi="Times New Roman" w:eastAsia="黑体"/>
        <w:b/>
        <w:bCs w:val="0"/>
        <w:sz w:val="32"/>
        <w:szCs w:val="32"/>
      </w:rPr>
    </w:lvl>
    <w:lvl w:ilvl="1" w:tentative="0">
      <w:start w:val="1"/>
      <w:numFmt w:val="decimal"/>
      <w:pStyle w:val="4"/>
      <w:isLgl/>
      <w:suff w:val="space"/>
      <w:lvlText w:val="%1.%2"/>
      <w:lvlJc w:val="left"/>
      <w:pPr>
        <w:tabs>
          <w:tab w:val="left" w:pos="0"/>
        </w:tabs>
        <w:ind w:left="576" w:hanging="576"/>
      </w:pPr>
      <w:rPr>
        <w:rFonts w:hint="default" w:ascii="Times New Roman" w:hAnsi="Times New Roman" w:eastAsia="楷体_GB2312"/>
        <w:b/>
        <w:bCs/>
        <w:sz w:val="30"/>
        <w:szCs w:val="30"/>
      </w:rPr>
    </w:lvl>
    <w:lvl w:ilvl="2" w:tentative="0">
      <w:start w:val="1"/>
      <w:numFmt w:val="decimal"/>
      <w:pStyle w:val="5"/>
      <w:isLgl/>
      <w:suff w:val="space"/>
      <w:lvlText w:val="%1.%2.%3"/>
      <w:lvlJc w:val="left"/>
      <w:pPr>
        <w:tabs>
          <w:tab w:val="left" w:pos="0"/>
        </w:tabs>
        <w:ind w:left="720" w:hanging="720"/>
      </w:pPr>
      <w:rPr>
        <w:rFonts w:hint="default" w:ascii="Times New Roman" w:hAnsi="Times New Roman" w:eastAsia="楷体_GB2312"/>
        <w:sz w:val="30"/>
        <w:szCs w:val="30"/>
      </w:rPr>
    </w:lvl>
    <w:lvl w:ilvl="3" w:tentative="0">
      <w:start w:val="1"/>
      <w:numFmt w:val="decimal"/>
      <w:pStyle w:val="2"/>
      <w:isLgl/>
      <w:suff w:val="space"/>
      <w:lvlText w:val="%1.%2.%3.%4"/>
      <w:lvlJc w:val="left"/>
      <w:pPr>
        <w:tabs>
          <w:tab w:val="left" w:pos="0"/>
        </w:tabs>
        <w:ind w:left="864" w:hanging="864"/>
      </w:pPr>
      <w:rPr>
        <w:rFonts w:hint="default" w:eastAsia="楷体_GB2312"/>
        <w:sz w:val="30"/>
        <w:szCs w:val="30"/>
      </w:rPr>
    </w:lvl>
    <w:lvl w:ilvl="4" w:tentative="0">
      <w:start w:val="1"/>
      <w:numFmt w:val="decimal"/>
      <w:lvlText w:val="%1.%2.%3.%4.%5"/>
      <w:lvlJc w:val="left"/>
      <w:pPr>
        <w:ind w:left="1008" w:hanging="1008"/>
      </w:pPr>
    </w:lvl>
    <w:lvl w:ilvl="5" w:tentative="0">
      <w:start w:val="1"/>
      <w:numFmt w:val="decimal"/>
      <w:pStyle w:val="6"/>
      <w:lvlText w:val="%1.%2.%3.%4.%5.%6"/>
      <w:lvlJc w:val="left"/>
      <w:pPr>
        <w:ind w:left="1152" w:hanging="1152"/>
      </w:pPr>
    </w:lvl>
    <w:lvl w:ilvl="6" w:tentative="0">
      <w:start w:val="1"/>
      <w:numFmt w:val="decimal"/>
      <w:pStyle w:val="7"/>
      <w:lvlText w:val="%1.%2.%3.%4.%5.%6.%7"/>
      <w:lvlJc w:val="left"/>
      <w:pPr>
        <w:ind w:left="1296" w:hanging="1296"/>
      </w:pPr>
    </w:lvl>
    <w:lvl w:ilvl="7" w:tentative="0">
      <w:start w:val="1"/>
      <w:numFmt w:val="decimal"/>
      <w:pStyle w:val="8"/>
      <w:lvlText w:val="%1.%2.%3.%4.%5.%6.%7.%8"/>
      <w:lvlJc w:val="left"/>
      <w:pPr>
        <w:ind w:left="1440" w:hanging="1440"/>
      </w:pPr>
    </w:lvl>
    <w:lvl w:ilvl="8" w:tentative="0">
      <w:start w:val="1"/>
      <w:numFmt w:val="decimal"/>
      <w:pStyle w:val="9"/>
      <w:lvlText w:val="%1.%2.%3.%4.%5.%6.%7.%8.%9"/>
      <w:lvlJc w:val="left"/>
      <w:pPr>
        <w:ind w:left="1584" w:hanging="1584"/>
      </w:pPr>
    </w:lvl>
  </w:abstractNum>
  <w:abstractNum w:abstractNumId="2">
    <w:nsid w:val="40A78A08"/>
    <w:multiLevelType w:val="singleLevel"/>
    <w:tmpl w:val="40A78A08"/>
    <w:lvl w:ilvl="0" w:tentative="0">
      <w:start w:val="1"/>
      <w:numFmt w:val="chineseCounting"/>
      <w:pStyle w:val="29"/>
      <w:suff w:val="nothing"/>
      <w:lvlText w:val="%1、"/>
      <w:lvlJc w:val="left"/>
      <w:pPr>
        <w:ind w:left="0" w:firstLine="42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7333B"/>
    <w:rsid w:val="04F53C4F"/>
    <w:rsid w:val="05551545"/>
    <w:rsid w:val="0640789F"/>
    <w:rsid w:val="06777213"/>
    <w:rsid w:val="07A24CE2"/>
    <w:rsid w:val="09DD212B"/>
    <w:rsid w:val="0A2C20E1"/>
    <w:rsid w:val="0A526B36"/>
    <w:rsid w:val="0EB11241"/>
    <w:rsid w:val="11BD2A02"/>
    <w:rsid w:val="194B2CF6"/>
    <w:rsid w:val="1A3F102F"/>
    <w:rsid w:val="1C246759"/>
    <w:rsid w:val="1E01086B"/>
    <w:rsid w:val="1E8E0E95"/>
    <w:rsid w:val="1EC77343"/>
    <w:rsid w:val="1FB36B2E"/>
    <w:rsid w:val="1FC55F8E"/>
    <w:rsid w:val="1FDB296A"/>
    <w:rsid w:val="21BC3685"/>
    <w:rsid w:val="224D57AE"/>
    <w:rsid w:val="24883A94"/>
    <w:rsid w:val="255963E7"/>
    <w:rsid w:val="2590230B"/>
    <w:rsid w:val="270311B0"/>
    <w:rsid w:val="278411F1"/>
    <w:rsid w:val="2834568E"/>
    <w:rsid w:val="28C450F0"/>
    <w:rsid w:val="290C7824"/>
    <w:rsid w:val="294F2DD3"/>
    <w:rsid w:val="2ACF773C"/>
    <w:rsid w:val="2BFF215A"/>
    <w:rsid w:val="2DEF2105"/>
    <w:rsid w:val="2FA554FB"/>
    <w:rsid w:val="30C17AAE"/>
    <w:rsid w:val="32254574"/>
    <w:rsid w:val="37607F59"/>
    <w:rsid w:val="378E1F14"/>
    <w:rsid w:val="3A543D1D"/>
    <w:rsid w:val="3A823F5C"/>
    <w:rsid w:val="3AA0017A"/>
    <w:rsid w:val="3AF37A62"/>
    <w:rsid w:val="3C7F0E81"/>
    <w:rsid w:val="3CBB4F2E"/>
    <w:rsid w:val="3E106CBA"/>
    <w:rsid w:val="402406BD"/>
    <w:rsid w:val="40602CC7"/>
    <w:rsid w:val="408556CD"/>
    <w:rsid w:val="415A25F3"/>
    <w:rsid w:val="41B75A2B"/>
    <w:rsid w:val="42AF5D6E"/>
    <w:rsid w:val="42F578E5"/>
    <w:rsid w:val="449D600E"/>
    <w:rsid w:val="4663209B"/>
    <w:rsid w:val="476F5AA4"/>
    <w:rsid w:val="4800357B"/>
    <w:rsid w:val="4A8652AA"/>
    <w:rsid w:val="4A8C572A"/>
    <w:rsid w:val="4B6047A3"/>
    <w:rsid w:val="4BB732D5"/>
    <w:rsid w:val="4BE75E32"/>
    <w:rsid w:val="4ED70565"/>
    <w:rsid w:val="5086061C"/>
    <w:rsid w:val="50B15D3B"/>
    <w:rsid w:val="51532C25"/>
    <w:rsid w:val="52A42F98"/>
    <w:rsid w:val="53A72037"/>
    <w:rsid w:val="57634C64"/>
    <w:rsid w:val="58524556"/>
    <w:rsid w:val="590B02B3"/>
    <w:rsid w:val="5AA20753"/>
    <w:rsid w:val="5DA72632"/>
    <w:rsid w:val="5DD010E5"/>
    <w:rsid w:val="5F7B2BA2"/>
    <w:rsid w:val="60601D56"/>
    <w:rsid w:val="61E61D0C"/>
    <w:rsid w:val="64C4789D"/>
    <w:rsid w:val="668E6D17"/>
    <w:rsid w:val="67EA6EDA"/>
    <w:rsid w:val="67FF7CEF"/>
    <w:rsid w:val="687D6827"/>
    <w:rsid w:val="69733998"/>
    <w:rsid w:val="698A4010"/>
    <w:rsid w:val="6C264F8F"/>
    <w:rsid w:val="6DFB66C9"/>
    <w:rsid w:val="700D260A"/>
    <w:rsid w:val="70D34D1C"/>
    <w:rsid w:val="713E488C"/>
    <w:rsid w:val="72D20228"/>
    <w:rsid w:val="7630676D"/>
    <w:rsid w:val="788A4A26"/>
    <w:rsid w:val="79D80E8A"/>
    <w:rsid w:val="7A843FF9"/>
    <w:rsid w:val="7B83730E"/>
    <w:rsid w:val="7BC66158"/>
    <w:rsid w:val="7C0655E3"/>
    <w:rsid w:val="7D502CB8"/>
    <w:rsid w:val="7D6B05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24"/>
    <w:qFormat/>
    <w:uiPriority w:val="0"/>
    <w:pPr>
      <w:keepNext w:val="0"/>
      <w:keepLines w:val="0"/>
      <w:numPr>
        <w:ilvl w:val="0"/>
        <w:numId w:val="1"/>
      </w:numPr>
      <w:tabs>
        <w:tab w:val="clear" w:pos="0"/>
      </w:tabs>
      <w:wordWrap w:val="0"/>
      <w:topLinePunct/>
      <w:autoSpaceDE/>
      <w:autoSpaceDN/>
      <w:adjustRightInd w:val="0"/>
      <w:snapToGrid w:val="0"/>
      <w:spacing w:beforeLines="0" w:beforeAutospacing="0" w:afterLines="0" w:afterAutospacing="0" w:line="600" w:lineRule="exact"/>
      <w:ind w:left="432" w:hanging="432" w:firstLineChars="0"/>
      <w:jc w:val="left"/>
      <w:outlineLvl w:val="0"/>
    </w:pPr>
    <w:rPr>
      <w:rFonts w:ascii="Times New Roman" w:hAnsi="Times New Roman" w:eastAsia="黑体" w:cs="Times New Roman"/>
      <w:kern w:val="44"/>
      <w:sz w:val="32"/>
      <w:szCs w:val="32"/>
    </w:rPr>
  </w:style>
  <w:style w:type="paragraph" w:styleId="4">
    <w:name w:val="heading 2"/>
    <w:basedOn w:val="1"/>
    <w:next w:val="1"/>
    <w:link w:val="25"/>
    <w:semiHidden/>
    <w:unhideWhenUsed/>
    <w:qFormat/>
    <w:uiPriority w:val="0"/>
    <w:pPr>
      <w:numPr>
        <w:ilvl w:val="1"/>
        <w:numId w:val="1"/>
      </w:numPr>
      <w:adjustRightInd w:val="0"/>
      <w:snapToGrid w:val="0"/>
      <w:spacing w:before="0" w:beforeAutospacing="0" w:after="0" w:afterAutospacing="0" w:line="560" w:lineRule="exact"/>
      <w:ind w:left="0" w:firstLine="0" w:firstLineChars="0"/>
      <w:jc w:val="left"/>
      <w:outlineLvl w:val="1"/>
    </w:pPr>
    <w:rPr>
      <w:rFonts w:hint="eastAsia" w:ascii="Times New Roman" w:hAnsi="Times New Roman" w:eastAsia="楷体_GB2312"/>
      <w:b/>
      <w:bCs/>
      <w:kern w:val="0"/>
      <w:lang w:bidi="ar"/>
    </w:rPr>
  </w:style>
  <w:style w:type="paragraph" w:styleId="5">
    <w:name w:val="heading 3"/>
    <w:basedOn w:val="4"/>
    <w:next w:val="1"/>
    <w:link w:val="23"/>
    <w:semiHidden/>
    <w:unhideWhenUsed/>
    <w:qFormat/>
    <w:uiPriority w:val="0"/>
    <w:pPr>
      <w:keepNext/>
      <w:keepLines/>
      <w:widowControl w:val="0"/>
      <w:numPr>
        <w:ilvl w:val="2"/>
      </w:numPr>
      <w:adjustRightInd w:val="0"/>
      <w:snapToGrid w:val="0"/>
      <w:spacing w:line="600" w:lineRule="exact"/>
      <w:ind w:left="720" w:hanging="720" w:firstLineChars="0"/>
      <w:jc w:val="left"/>
      <w:outlineLvl w:val="2"/>
    </w:pPr>
    <w:rPr>
      <w:sz w:val="30"/>
    </w:rPr>
  </w:style>
  <w:style w:type="paragraph" w:styleId="2">
    <w:name w:val="heading 4"/>
    <w:basedOn w:val="1"/>
    <w:next w:val="1"/>
    <w:semiHidden/>
    <w:unhideWhenUsed/>
    <w:qFormat/>
    <w:uiPriority w:val="0"/>
    <w:pPr>
      <w:keepNext/>
      <w:keepLines/>
      <w:numPr>
        <w:ilvl w:val="3"/>
        <w:numId w:val="1"/>
      </w:numPr>
      <w:tabs>
        <w:tab w:val="left" w:pos="420"/>
        <w:tab w:val="clear" w:pos="0"/>
      </w:tabs>
      <w:spacing w:beforeLines="0" w:beforeAutospacing="0" w:afterLines="0" w:afterAutospacing="0" w:line="600" w:lineRule="exact"/>
      <w:ind w:left="864" w:hanging="864" w:firstLineChars="0"/>
      <w:outlineLvl w:val="3"/>
    </w:pPr>
    <w:rPr>
      <w:rFonts w:ascii="Times New Roman" w:hAnsi="Times New Roman" w:eastAsia="楷体_GB2312"/>
      <w:sz w:val="30"/>
    </w:rPr>
  </w:style>
  <w:style w:type="paragraph" w:styleId="6">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2" w:hanging="1152" w:firstLineChars="0"/>
      <w:outlineLvl w:val="5"/>
    </w:pPr>
    <w:rPr>
      <w:rFonts w:ascii="Arial" w:hAnsi="Arial" w:eastAsia="黑体"/>
      <w:b/>
      <w:sz w:val="24"/>
    </w:rPr>
  </w:style>
  <w:style w:type="paragraph" w:styleId="7">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8">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9">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4" w:hanging="1584" w:firstLineChars="0"/>
      <w:outlineLvl w:val="8"/>
    </w:pPr>
    <w:rPr>
      <w:rFonts w:ascii="Arial" w:hAnsi="Arial" w:eastAsia="黑体"/>
      <w:sz w:val="21"/>
    </w:rPr>
  </w:style>
  <w:style w:type="character" w:default="1" w:styleId="21">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10">
    <w:name w:val="index 5"/>
    <w:basedOn w:val="1"/>
    <w:next w:val="1"/>
    <w:qFormat/>
    <w:uiPriority w:val="0"/>
    <w:pPr>
      <w:ind w:left="1680"/>
    </w:pPr>
  </w:style>
  <w:style w:type="paragraph" w:styleId="11">
    <w:name w:val="Body Text"/>
    <w:basedOn w:val="1"/>
    <w:qFormat/>
    <w:uiPriority w:val="0"/>
    <w:pPr>
      <w:spacing w:after="120" w:afterLines="0" w:afterAutospacing="0"/>
    </w:pPr>
  </w:style>
  <w:style w:type="paragraph" w:styleId="12">
    <w:name w:val="Body Text Indent"/>
    <w:basedOn w:val="1"/>
    <w:qFormat/>
    <w:uiPriority w:val="99"/>
    <w:pPr>
      <w:spacing w:after="120"/>
      <w:ind w:left="420" w:leftChars="200"/>
    </w:pPr>
  </w:style>
  <w:style w:type="paragraph" w:styleId="13">
    <w:name w:val="toc 3"/>
    <w:basedOn w:val="1"/>
    <w:next w:val="1"/>
    <w:qFormat/>
    <w:uiPriority w:val="0"/>
    <w:pPr>
      <w:ind w:left="840" w:leftChars="400"/>
    </w:pPr>
    <w:rPr>
      <w:rFonts w:ascii="Times New Roman" w:hAnsi="Times New Roman" w:eastAsia="宋体"/>
    </w:rPr>
  </w:style>
  <w:style w:type="paragraph" w:styleId="14">
    <w:name w:val="footer"/>
    <w:basedOn w:val="1"/>
    <w:next w:val="10"/>
    <w:unhideWhenUsed/>
    <w:qFormat/>
    <w:uiPriority w:val="99"/>
    <w:pPr>
      <w:tabs>
        <w:tab w:val="center" w:pos="4153"/>
        <w:tab w:val="right" w:pos="8306"/>
      </w:tabs>
      <w:snapToGrid w:val="0"/>
      <w:jc w:val="left"/>
    </w:pPr>
    <w:rPr>
      <w:sz w:val="18"/>
      <w:szCs w:val="18"/>
    </w:rPr>
  </w:style>
  <w:style w:type="paragraph" w:styleId="15">
    <w:name w:val="toc 1"/>
    <w:basedOn w:val="1"/>
    <w:next w:val="1"/>
    <w:qFormat/>
    <w:uiPriority w:val="0"/>
    <w:pPr>
      <w:spacing w:line="440" w:lineRule="exact"/>
      <w:jc w:val="both"/>
    </w:pPr>
    <w:rPr>
      <w:rFonts w:ascii="Arial" w:hAnsi="Arial" w:eastAsia="黑体"/>
      <w:b/>
    </w:rPr>
  </w:style>
  <w:style w:type="paragraph" w:styleId="16">
    <w:name w:val="toc 2"/>
    <w:basedOn w:val="1"/>
    <w:next w:val="1"/>
    <w:qFormat/>
    <w:uiPriority w:val="0"/>
    <w:pPr>
      <w:tabs>
        <w:tab w:val="right" w:leader="dot" w:pos="9184"/>
      </w:tabs>
      <w:spacing w:line="440" w:lineRule="exact"/>
      <w:ind w:left="420" w:leftChars="200" w:firstLine="0" w:firstLineChars="0"/>
      <w:jc w:val="both"/>
    </w:pPr>
    <w:rPr>
      <w:rFonts w:ascii="Arial" w:hAnsi="Arial" w:eastAsia="宋体"/>
      <w:spacing w:val="-23"/>
    </w:rPr>
  </w:style>
  <w:style w:type="paragraph" w:styleId="17">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8">
    <w:name w:val="Body Text First Indent"/>
    <w:basedOn w:val="11"/>
    <w:qFormat/>
    <w:uiPriority w:val="0"/>
    <w:pPr>
      <w:ind w:firstLine="420" w:firstLineChars="100"/>
    </w:pPr>
  </w:style>
  <w:style w:type="paragraph" w:styleId="19">
    <w:name w:val="Body Text First Indent 2"/>
    <w:basedOn w:val="12"/>
    <w:qFormat/>
    <w:uiPriority w:val="99"/>
    <w:pPr>
      <w:ind w:firstLine="420" w:firstLineChars="200"/>
    </w:pPr>
  </w:style>
  <w:style w:type="paragraph" w:customStyle="1" w:styleId="22">
    <w:name w:val="正文首行缩进1"/>
    <w:basedOn w:val="1"/>
    <w:qFormat/>
    <w:uiPriority w:val="0"/>
    <w:pPr>
      <w:spacing w:after="120"/>
      <w:ind w:firstLine="100" w:firstLineChars="100"/>
    </w:pPr>
    <w:rPr>
      <w:rFonts w:ascii="Times New Roman" w:hAnsi="Times New Roman" w:eastAsia="宋体" w:cs="Times New Roman"/>
    </w:rPr>
  </w:style>
  <w:style w:type="character" w:customStyle="1" w:styleId="23">
    <w:name w:val="标题 3 Char"/>
    <w:link w:val="5"/>
    <w:qFormat/>
    <w:uiPriority w:val="0"/>
    <w:rPr>
      <w:rFonts w:ascii="Times New Roman" w:hAnsi="Times New Roman" w:eastAsia="楷体_GB2312" w:cs="Times New Roman"/>
      <w:kern w:val="2"/>
      <w:sz w:val="30"/>
      <w:lang w:val="en-US" w:eastAsia="zh-CN" w:bidi="ar-SA"/>
    </w:rPr>
  </w:style>
  <w:style w:type="character" w:customStyle="1" w:styleId="24">
    <w:name w:val="标题 1 Char"/>
    <w:link w:val="3"/>
    <w:qFormat/>
    <w:uiPriority w:val="0"/>
    <w:rPr>
      <w:rFonts w:ascii="Times New Roman" w:hAnsi="Times New Roman" w:eastAsia="黑体" w:cs="Times New Roman"/>
      <w:kern w:val="44"/>
      <w:sz w:val="32"/>
      <w:szCs w:val="32"/>
    </w:rPr>
  </w:style>
  <w:style w:type="character" w:customStyle="1" w:styleId="25">
    <w:name w:val="标题 2 Char"/>
    <w:link w:val="4"/>
    <w:qFormat/>
    <w:uiPriority w:val="0"/>
    <w:rPr>
      <w:rFonts w:ascii="Times New Roman" w:hAnsi="Times New Roman" w:eastAsia="楷体_GB2312" w:cs="Times New Roman"/>
      <w:sz w:val="30"/>
      <w:szCs w:val="30"/>
    </w:rPr>
  </w:style>
  <w:style w:type="paragraph" w:customStyle="1" w:styleId="26">
    <w:name w:val="目录3"/>
    <w:basedOn w:val="1"/>
    <w:link w:val="27"/>
    <w:autoRedefine/>
    <w:qFormat/>
    <w:uiPriority w:val="0"/>
    <w:pPr>
      <w:tabs>
        <w:tab w:val="right" w:leader="dot" w:pos="9184"/>
      </w:tabs>
      <w:ind w:left="420" w:leftChars="200"/>
    </w:pPr>
    <w:rPr>
      <w:rFonts w:hint="eastAsia" w:ascii="黑体" w:hAnsi="黑体" w:eastAsia="宋体"/>
      <w:bCs/>
      <w:sz w:val="24"/>
      <w:szCs w:val="30"/>
    </w:rPr>
  </w:style>
  <w:style w:type="character" w:customStyle="1" w:styleId="27">
    <w:name w:val="目录3 Char"/>
    <w:link w:val="26"/>
    <w:qFormat/>
    <w:uiPriority w:val="0"/>
    <w:rPr>
      <w:rFonts w:hint="eastAsia" w:ascii="黑体" w:hAnsi="黑体" w:eastAsia="宋体"/>
      <w:bCs/>
      <w:sz w:val="24"/>
      <w:szCs w:val="30"/>
    </w:rPr>
  </w:style>
  <w:style w:type="paragraph" w:customStyle="1" w:styleId="28">
    <w:name w:val="综述标题"/>
    <w:basedOn w:val="1"/>
    <w:qFormat/>
    <w:uiPriority w:val="0"/>
    <w:rPr>
      <w:rFonts w:hint="eastAsia" w:ascii="Times New Roman" w:hAnsi="Times New Roman" w:eastAsia="黑体"/>
      <w:b/>
      <w:sz w:val="32"/>
    </w:rPr>
  </w:style>
  <w:style w:type="paragraph" w:customStyle="1" w:styleId="29">
    <w:name w:val="综述标题一"/>
    <w:basedOn w:val="1"/>
    <w:autoRedefine/>
    <w:qFormat/>
    <w:uiPriority w:val="0"/>
    <w:pPr>
      <w:numPr>
        <w:ilvl w:val="0"/>
        <w:numId w:val="2"/>
      </w:numPr>
    </w:pPr>
    <w:rPr>
      <w:rFonts w:hint="eastAsia" w:ascii="Times New Roman" w:hAnsi="Times New Roman" w:eastAsia="黑体"/>
      <w:b/>
      <w:sz w:val="28"/>
    </w:rPr>
  </w:style>
  <w:style w:type="table" w:customStyle="1" w:styleId="30">
    <w:name w:val="Table Normal"/>
    <w:basedOn w:val="20"/>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2144</Words>
  <Characters>2177</Characters>
  <Lines>0</Lines>
  <Paragraphs>0</Paragraphs>
  <TotalTime>6</TotalTime>
  <ScaleCrop>false</ScaleCrop>
  <LinksUpToDate>false</LinksUpToDate>
  <CharactersWithSpaces>2304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2022-05-01T07:52:00Z</dcterms:created>
  <dc:creator>13934293601</dc:creator>
  <cp:lastModifiedBy>WPS_1729521374</cp:lastModifiedBy>
  <cp:lastPrinted>2026-06-25T03:37:16Z</cp:lastPrinted>
  <dcterms:modified xsi:type="dcterms:W3CDTF">2026-06-25T03:37:22Z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997F0454AE4D49AD9E7C6DF227D0B392_13</vt:lpwstr>
  </property>
  <property fmtid="{D5CDD505-2E9C-101B-9397-08002B2CF9AE}" pid="4" name="KSOTemplateDocerSaveRecord">
    <vt:lpwstr>eyJoZGlkIjoiNDZhNWE4ZGJhNzNhNzc0Y2I4ZjM3MjYyYWQyYTVlMmMiLCJ1c2VySWQiOiIxNjQ2OTk3MDQzIn0=</vt:lpwstr>
  </property>
</Properties>
</file>