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B3036">
      <w:pPr>
        <w:spacing w:line="680" w:lineRule="exact"/>
        <w:jc w:val="center"/>
        <w:rPr>
          <w:rFonts w:hint="eastAsia" w:ascii="仿宋_GB2312" w:eastAsia="仿宋_GB2312"/>
          <w:sz w:val="32"/>
          <w:szCs w:val="32"/>
        </w:rPr>
      </w:pPr>
    </w:p>
    <w:p w14:paraId="3BA78854">
      <w:pPr>
        <w:spacing w:line="68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ZJDR-20</w:t>
      </w:r>
      <w:r>
        <w:rPr>
          <w:rFonts w:hint="eastAsia"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lang w:val="en-US" w:eastAsia="zh-CN"/>
        </w:rPr>
        <w:t>-14001</w:t>
      </w:r>
    </w:p>
    <w:p w14:paraId="193F199B">
      <w:pPr>
        <w:spacing w:line="680" w:lineRule="exact"/>
        <w:jc w:val="center"/>
        <w:rPr>
          <w:rFonts w:hint="eastAsia" w:ascii="仿宋_GB2312" w:eastAsia="仿宋_GB2312"/>
          <w:sz w:val="32"/>
          <w:szCs w:val="32"/>
        </w:rPr>
      </w:pPr>
    </w:p>
    <w:p w14:paraId="65400F26">
      <w:pPr>
        <w:spacing w:line="680" w:lineRule="exact"/>
        <w:jc w:val="center"/>
        <w:rPr>
          <w:rFonts w:hint="eastAsia" w:ascii="仿宋_GB2312" w:eastAsia="仿宋_GB2312"/>
          <w:sz w:val="32"/>
          <w:szCs w:val="32"/>
        </w:rPr>
      </w:pPr>
    </w:p>
    <w:p w14:paraId="6DC89CC6">
      <w:pPr>
        <w:spacing w:line="680" w:lineRule="exact"/>
        <w:jc w:val="center"/>
        <w:rPr>
          <w:rFonts w:hint="eastAsia" w:ascii="仿宋_GB2312" w:eastAsia="仿宋_GB2312"/>
          <w:sz w:val="32"/>
          <w:szCs w:val="32"/>
        </w:rPr>
      </w:pPr>
    </w:p>
    <w:p w14:paraId="38BC2E12">
      <w:pPr>
        <w:spacing w:line="680" w:lineRule="exact"/>
        <w:jc w:val="center"/>
        <w:rPr>
          <w:rFonts w:hint="eastAsia" w:ascii="仿宋_GB2312" w:eastAsia="仿宋_GB2312"/>
          <w:sz w:val="32"/>
          <w:szCs w:val="32"/>
        </w:rPr>
      </w:pPr>
    </w:p>
    <w:p w14:paraId="169416CD">
      <w:pPr>
        <w:spacing w:line="680" w:lineRule="exact"/>
        <w:jc w:val="center"/>
        <w:rPr>
          <w:rFonts w:hint="eastAsia" w:ascii="仿宋_GB2312" w:eastAsia="仿宋_GB2312"/>
          <w:sz w:val="32"/>
          <w:szCs w:val="32"/>
        </w:rPr>
      </w:pPr>
    </w:p>
    <w:p w14:paraId="4F474B19">
      <w:pPr>
        <w:spacing w:line="680" w:lineRule="exact"/>
        <w:jc w:val="center"/>
        <w:rPr>
          <w:rFonts w:hint="eastAsia" w:ascii="仿宋_GB2312" w:eastAsia="仿宋_GB2312"/>
          <w:b/>
          <w:color w:val="auto"/>
          <w:sz w:val="32"/>
          <w:szCs w:val="32"/>
        </w:rPr>
      </w:pPr>
      <w:r>
        <w:rPr>
          <w:rFonts w:hint="eastAsia" w:ascii="仿宋" w:hAnsi="仿宋" w:eastAsia="仿宋" w:cs="仿宋"/>
          <w:b/>
          <w:color w:val="auto"/>
          <w:sz w:val="32"/>
          <w:szCs w:val="32"/>
        </w:rPr>
        <w:t>芷水</w:t>
      </w:r>
      <w:r>
        <w:rPr>
          <w:rFonts w:hint="eastAsia" w:ascii="仿宋" w:hAnsi="仿宋" w:eastAsia="仿宋" w:cs="仿宋"/>
          <w:b/>
          <w:color w:val="auto"/>
          <w:sz w:val="32"/>
          <w:szCs w:val="32"/>
          <w:lang w:eastAsia="zh-CN"/>
        </w:rPr>
        <w:t>函</w:t>
      </w:r>
      <w:r>
        <w:rPr>
          <w:rFonts w:hint="eastAsia" w:ascii="仿宋" w:hAnsi="仿宋" w:eastAsia="仿宋" w:cs="仿宋"/>
          <w:b/>
          <w:color w:val="auto"/>
          <w:sz w:val="32"/>
          <w:szCs w:val="32"/>
        </w:rPr>
        <w:t>〔202</w:t>
      </w:r>
      <w:r>
        <w:rPr>
          <w:rFonts w:hint="eastAsia" w:ascii="仿宋" w:hAnsi="仿宋" w:eastAsia="仿宋" w:cs="仿宋"/>
          <w:b/>
          <w:color w:val="auto"/>
          <w:sz w:val="32"/>
          <w:szCs w:val="32"/>
          <w:lang w:val="en-US" w:eastAsia="zh-CN"/>
        </w:rPr>
        <w:t>6</w:t>
      </w: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3</w:t>
      </w:r>
      <w:r>
        <w:rPr>
          <w:rFonts w:hint="eastAsia" w:ascii="仿宋" w:hAnsi="仿宋" w:eastAsia="仿宋" w:cs="仿宋"/>
          <w:b/>
          <w:color w:val="auto"/>
          <w:sz w:val="32"/>
          <w:szCs w:val="32"/>
        </w:rPr>
        <w:t>号</w:t>
      </w:r>
    </w:p>
    <w:p w14:paraId="6E285EE7">
      <w:pPr>
        <w:spacing w:line="560" w:lineRule="exact"/>
        <w:jc w:val="center"/>
        <w:rPr>
          <w:rFonts w:hint="eastAsia" w:ascii="仿宋_GB2312" w:eastAsia="仿宋_GB2312"/>
          <w:sz w:val="32"/>
          <w:szCs w:val="32"/>
        </w:rPr>
      </w:pPr>
      <w:r>
        <w:rPr>
          <w:rFonts w:hint="eastAsia" w:ascii="仿宋_GB2312" w:eastAsia="仿宋_GB2312"/>
          <w:sz w:val="32"/>
          <w:szCs w:val="32"/>
        </w:rPr>
        <w:t xml:space="preserve"> </w:t>
      </w:r>
    </w:p>
    <w:p w14:paraId="188F467B">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芷江侗族自治县水利局</w:t>
      </w:r>
    </w:p>
    <w:p w14:paraId="32B4CD37">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eastAsia="方正小标宋简体"/>
          <w:bCs/>
          <w:sz w:val="44"/>
          <w:szCs w:val="44"/>
          <w:lang w:val="en-US" w:eastAsia="zh-CN"/>
        </w:rPr>
      </w:pPr>
      <w:r>
        <w:rPr>
          <w:rFonts w:hint="eastAsia" w:ascii="方正小标宋_GBK" w:hAnsi="方正小标宋_GBK" w:eastAsia="方正小标宋_GBK" w:cs="方正小标宋_GBK"/>
          <w:b w:val="0"/>
          <w:kern w:val="44"/>
          <w:sz w:val="44"/>
          <w:szCs w:val="32"/>
          <w:lang w:val="en-US" w:eastAsia="zh-CN" w:bidi="ar-SA"/>
        </w:rPr>
        <w:t>关于印发《芷江侗族自治县农业用水权分配办法</w:t>
      </w:r>
      <w:r>
        <w:rPr>
          <w:rFonts w:hint="eastAsia" w:ascii="方正小标宋_GBK" w:hAnsi="方正小标宋_GBK" w:eastAsia="方正小标宋_GBK" w:cs="方正小标宋_GBK"/>
          <w:sz w:val="44"/>
          <w:szCs w:val="44"/>
          <w:lang w:val="en-US" w:eastAsia="zh-CN"/>
        </w:rPr>
        <w:t>（试行）》的函</w:t>
      </w:r>
    </w:p>
    <w:p w14:paraId="007E509D">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方正小标宋_GBK" w:hAnsi="方正小标宋_GBK" w:eastAsia="方正小标宋_GBK" w:cs="方正小标宋_GBK"/>
          <w:b w:val="0"/>
          <w:kern w:val="44"/>
          <w:sz w:val="44"/>
          <w:szCs w:val="32"/>
          <w:lang w:val="en-US" w:eastAsia="zh-CN" w:bidi="ar-SA"/>
        </w:rPr>
      </w:pPr>
    </w:p>
    <w:p w14:paraId="656FAAAA">
      <w:pPr>
        <w:pStyle w:val="2"/>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ascii="Times New Roman" w:hAnsi="Times New Roman" w:eastAsia="仿宋" w:cs="Times New Roman"/>
          <w:color w:val="auto"/>
          <w:sz w:val="32"/>
          <w:szCs w:val="32"/>
        </w:rPr>
      </w:pPr>
      <w:r>
        <w:rPr>
          <w:rFonts w:hint="eastAsia" w:eastAsia="仿宋" w:cs="Times New Roman"/>
          <w:color w:val="auto"/>
          <w:sz w:val="32"/>
          <w:szCs w:val="32"/>
          <w:lang w:eastAsia="zh-CN"/>
        </w:rPr>
        <w:t>各乡镇人民政府、县直相关部门、各</w:t>
      </w:r>
      <w:r>
        <w:rPr>
          <w:rFonts w:hint="default" w:ascii="Times New Roman" w:hAnsi="Times New Roman" w:eastAsia="仿宋" w:cs="Times New Roman"/>
          <w:color w:val="auto"/>
          <w:sz w:val="32"/>
          <w:szCs w:val="32"/>
        </w:rPr>
        <w:t>灌区管理单位</w:t>
      </w:r>
      <w:r>
        <w:rPr>
          <w:rFonts w:hint="eastAsia" w:eastAsia="仿宋" w:cs="Times New Roman"/>
          <w:color w:val="auto"/>
          <w:sz w:val="32"/>
          <w:szCs w:val="32"/>
          <w:lang w:eastAsia="zh-CN"/>
        </w:rPr>
        <w:t>：</w:t>
      </w:r>
    </w:p>
    <w:p w14:paraId="41E6AA88">
      <w:pPr>
        <w:pStyle w:val="2"/>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eastAsia"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现将《芷江侗族自治县农业用水权分配办法（试行）》</w:t>
      </w:r>
      <w:r>
        <w:rPr>
          <w:rFonts w:hint="eastAsia" w:eastAsia="仿宋" w:cs="Times New Roman"/>
          <w:color w:val="auto"/>
          <w:sz w:val="32"/>
          <w:szCs w:val="32"/>
          <w:lang w:val="en-US" w:eastAsia="zh-CN"/>
        </w:rPr>
        <w:t>印发给你们，请认真遵照执行。</w:t>
      </w:r>
    </w:p>
    <w:p w14:paraId="24D95C47">
      <w:pPr>
        <w:pStyle w:val="2"/>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default" w:eastAsia="仿宋" w:cs="Times New Roman"/>
          <w:color w:val="auto"/>
          <w:sz w:val="32"/>
          <w:szCs w:val="32"/>
          <w:lang w:val="en-US" w:eastAsia="zh-CN"/>
        </w:rPr>
      </w:pPr>
    </w:p>
    <w:p w14:paraId="7BB6EF0E">
      <w:pPr>
        <w:keepNext w:val="0"/>
        <w:keepLines w:val="0"/>
        <w:pageBreakBefore w:val="0"/>
        <w:widowControl/>
        <w:kinsoku/>
        <w:wordWrap w:val="0"/>
        <w:overflowPunct/>
        <w:topLinePunct w:val="0"/>
        <w:autoSpaceDE/>
        <w:autoSpaceDN/>
        <w:bidi w:val="0"/>
        <w:adjustRightInd w:val="0"/>
        <w:snapToGrid w:val="0"/>
        <w:spacing w:line="520" w:lineRule="exact"/>
        <w:jc w:val="right"/>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eastAsia="仿宋" w:cs="Times New Roman"/>
          <w:b w:val="0"/>
          <w:bCs w:val="0"/>
          <w:sz w:val="32"/>
          <w:szCs w:val="32"/>
          <w:lang w:eastAsia="zh-CN"/>
        </w:rPr>
        <w:t>芷江侗族自治县水利局</w:t>
      </w:r>
      <w:r>
        <w:rPr>
          <w:rFonts w:hint="eastAsia" w:ascii="Times New Roman" w:hAnsi="Times New Roman" w:eastAsia="仿宋" w:cs="Times New Roman"/>
          <w:b w:val="0"/>
          <w:bCs w:val="0"/>
          <w:sz w:val="32"/>
          <w:szCs w:val="32"/>
          <w:lang w:val="en-US" w:eastAsia="zh-CN"/>
        </w:rPr>
        <w:t xml:space="preserve">    </w:t>
      </w:r>
    </w:p>
    <w:p w14:paraId="22A88FCF">
      <w:pPr>
        <w:keepNext w:val="0"/>
        <w:keepLines w:val="0"/>
        <w:pageBreakBefore w:val="0"/>
        <w:kinsoku/>
        <w:wordWrap w:val="0"/>
        <w:overflowPunct/>
        <w:topLinePunct w:val="0"/>
        <w:autoSpaceDE/>
        <w:autoSpaceDN/>
        <w:bidi w:val="0"/>
        <w:spacing w:line="520" w:lineRule="exact"/>
        <w:jc w:val="right"/>
        <w:textAlignment w:val="auto"/>
        <w:rPr>
          <w:rFonts w:hint="eastAsia"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 xml:space="preserve">                           </w:t>
      </w:r>
      <w:r>
        <w:rPr>
          <w:rFonts w:hint="default" w:ascii="Times New Roman" w:hAnsi="Times New Roman" w:eastAsia="仿宋" w:cs="Times New Roman"/>
          <w:b w:val="0"/>
          <w:bCs w:val="0"/>
          <w:sz w:val="32"/>
          <w:szCs w:val="32"/>
          <w:lang w:eastAsia="zh-CN"/>
        </w:rPr>
        <w:t>20</w:t>
      </w:r>
      <w:r>
        <w:rPr>
          <w:rFonts w:hint="default" w:ascii="Times New Roman" w:hAnsi="Times New Roman" w:eastAsia="仿宋" w:cs="Times New Roman"/>
          <w:b w:val="0"/>
          <w:bCs w:val="0"/>
          <w:sz w:val="32"/>
          <w:szCs w:val="32"/>
          <w:lang w:val="en-US" w:eastAsia="zh-CN"/>
        </w:rPr>
        <w:t>2</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sz w:val="32"/>
          <w:szCs w:val="32"/>
        </w:rPr>
        <w:t>年</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color w:val="auto"/>
          <w:sz w:val="32"/>
          <w:szCs w:val="32"/>
        </w:rPr>
        <w:t>月</w:t>
      </w:r>
      <w:r>
        <w:rPr>
          <w:rFonts w:hint="eastAsia" w:ascii="Times New Roman" w:hAnsi="Times New Roman" w:eastAsia="仿宋" w:cs="Times New Roman"/>
          <w:b w:val="0"/>
          <w:bCs w:val="0"/>
          <w:color w:val="auto"/>
          <w:sz w:val="32"/>
          <w:szCs w:val="32"/>
          <w:lang w:val="en-US" w:eastAsia="zh-CN"/>
        </w:rPr>
        <w:t>2</w:t>
      </w:r>
      <w:r>
        <w:rPr>
          <w:rFonts w:hint="eastAsia" w:eastAsia="仿宋" w:cs="Times New Roman"/>
          <w:b w:val="0"/>
          <w:bCs w:val="0"/>
          <w:color w:val="auto"/>
          <w:sz w:val="32"/>
          <w:szCs w:val="32"/>
          <w:lang w:val="en-US" w:eastAsia="zh-CN"/>
        </w:rPr>
        <w:t>3</w:t>
      </w:r>
      <w:r>
        <w:rPr>
          <w:rFonts w:hint="default" w:ascii="Times New Roman" w:hAnsi="Times New Roman" w:eastAsia="仿宋" w:cs="Times New Roman"/>
          <w:b w:val="0"/>
          <w:bCs w:val="0"/>
          <w:sz w:val="32"/>
          <w:szCs w:val="32"/>
        </w:rPr>
        <w:t>日</w:t>
      </w:r>
      <w:r>
        <w:rPr>
          <w:rFonts w:hint="eastAsia" w:ascii="Times New Roman" w:hAnsi="Times New Roman" w:eastAsia="仿宋" w:cs="Times New Roman"/>
          <w:b w:val="0"/>
          <w:bCs w:val="0"/>
          <w:sz w:val="32"/>
          <w:szCs w:val="32"/>
          <w:lang w:val="en-US" w:eastAsia="zh-CN"/>
        </w:rPr>
        <w:t xml:space="preserve">      </w:t>
      </w:r>
    </w:p>
    <w:p w14:paraId="57FCA311">
      <w:pPr>
        <w:pStyle w:val="2"/>
        <w:wordWrap/>
        <w:rPr>
          <w:rFonts w:hint="eastAsia"/>
          <w:lang w:val="en-US" w:eastAsia="zh-CN"/>
        </w:rPr>
      </w:pPr>
    </w:p>
    <w:p w14:paraId="353498B7">
      <w:pPr>
        <w:pStyle w:val="2"/>
        <w:wordWrap/>
        <w:rPr>
          <w:rFonts w:hint="eastAsia" w:ascii="Times New Roman" w:hAnsi="Times New Roman" w:eastAsia="仿宋" w:cs="Times New Roman"/>
          <w:b w:val="0"/>
          <w:bCs w:val="0"/>
          <w:sz w:val="32"/>
          <w:szCs w:val="32"/>
          <w:lang w:val="en-US" w:eastAsia="zh-CN"/>
        </w:rPr>
      </w:pPr>
    </w:p>
    <w:p w14:paraId="0A2AFFED">
      <w:pPr>
        <w:keepNext w:val="0"/>
        <w:keepLines w:val="0"/>
        <w:pageBreakBefore w:val="0"/>
        <w:kinsoku/>
        <w:overflowPunct/>
        <w:topLinePunct w:val="0"/>
        <w:autoSpaceDE/>
        <w:autoSpaceDN/>
        <w:bidi w:val="0"/>
        <w:spacing w:line="520" w:lineRule="exact"/>
        <w:textAlignment w:val="auto"/>
        <w:rPr>
          <w:rFonts w:ascii="Times New Roman" w:hAnsi="Times New Roman" w:eastAsia="黑体"/>
          <w:bCs/>
          <w:sz w:val="32"/>
          <w:szCs w:val="32"/>
          <w:u w:val="thick"/>
        </w:rPr>
      </w:pP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lang w:val="en-US" w:eastAsia="zh-CN"/>
        </w:rPr>
        <w:t xml:space="preserve"> </w:t>
      </w: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rPr>
        <w:t xml:space="preserve"> </w:t>
      </w:r>
      <w:r>
        <w:rPr>
          <w:rFonts w:ascii="Times New Roman" w:hAnsi="Times New Roman" w:eastAsia="黑体"/>
          <w:bCs/>
          <w:sz w:val="32"/>
          <w:szCs w:val="32"/>
          <w:u w:val="thick"/>
        </w:rPr>
        <w:t xml:space="preserve">                          </w:t>
      </w:r>
    </w:p>
    <w:p w14:paraId="18632900">
      <w:pPr>
        <w:keepNext w:val="0"/>
        <w:keepLines w:val="0"/>
        <w:pageBreakBefore w:val="0"/>
        <w:kinsoku/>
        <w:overflowPunct/>
        <w:topLinePunct w:val="0"/>
        <w:autoSpaceDE/>
        <w:autoSpaceDN/>
        <w:bidi w:val="0"/>
        <w:spacing w:line="520" w:lineRule="exact"/>
        <w:textAlignment w:val="auto"/>
        <w:rPr>
          <w:rFonts w:hint="eastAsia" w:ascii="Times New Roman" w:hAnsi="Times New Roman" w:eastAsia="仿宋_GB2312"/>
          <w:sz w:val="32"/>
          <w:szCs w:val="32"/>
          <w:u w:val="single"/>
          <w:lang w:eastAsia="zh-CN"/>
        </w:rPr>
      </w:pPr>
      <w:r>
        <w:rPr>
          <w:rFonts w:ascii="Times New Roman" w:hAnsi="Times New Roman" w:eastAsia="仿宋_GB2312"/>
          <w:sz w:val="32"/>
          <w:szCs w:val="32"/>
          <w:u w:val="single"/>
        </w:rPr>
        <w:t>芷江侗族自治县水利局办公室            20</w:t>
      </w:r>
      <w:r>
        <w:rPr>
          <w:rFonts w:hint="eastAsia" w:ascii="Times New Roman" w:hAnsi="Times New Roman" w:eastAsia="仿宋_GB2312"/>
          <w:sz w:val="32"/>
          <w:szCs w:val="32"/>
          <w:u w:val="single"/>
        </w:rPr>
        <w:t>2</w:t>
      </w:r>
      <w:r>
        <w:rPr>
          <w:rFonts w:hint="eastAsia" w:ascii="Times New Roman" w:hAnsi="Times New Roman" w:eastAsia="仿宋_GB2312"/>
          <w:sz w:val="32"/>
          <w:szCs w:val="32"/>
          <w:u w:val="single"/>
          <w:lang w:val="en-US" w:eastAsia="zh-CN"/>
        </w:rPr>
        <w:t>6</w:t>
      </w:r>
      <w:r>
        <w:rPr>
          <w:rFonts w:ascii="Times New Roman" w:hAnsi="Times New Roman" w:eastAsia="仿宋_GB2312"/>
          <w:sz w:val="32"/>
          <w:szCs w:val="32"/>
          <w:u w:val="single"/>
        </w:rPr>
        <w:t>年</w:t>
      </w:r>
      <w:r>
        <w:rPr>
          <w:rFonts w:hint="eastAsia" w:ascii="Times New Roman" w:hAnsi="Times New Roman" w:eastAsia="仿宋_GB2312"/>
          <w:sz w:val="32"/>
          <w:szCs w:val="32"/>
          <w:u w:val="single"/>
          <w:lang w:val="en-US" w:eastAsia="zh-CN"/>
        </w:rPr>
        <w:t>6</w:t>
      </w:r>
      <w:r>
        <w:rPr>
          <w:rFonts w:ascii="Times New Roman" w:hAnsi="Times New Roman" w:eastAsia="仿宋_GB2312"/>
          <w:sz w:val="32"/>
          <w:szCs w:val="32"/>
          <w:u w:val="single"/>
        </w:rPr>
        <w:t>月</w:t>
      </w:r>
      <w:r>
        <w:rPr>
          <w:rFonts w:hint="eastAsia" w:ascii="Times New Roman" w:hAnsi="Times New Roman" w:eastAsia="仿宋_GB2312"/>
          <w:sz w:val="32"/>
          <w:szCs w:val="32"/>
          <w:u w:val="single"/>
          <w:lang w:val="en-US" w:eastAsia="zh-CN"/>
        </w:rPr>
        <w:t>2</w:t>
      </w:r>
      <w:r>
        <w:rPr>
          <w:rFonts w:hint="eastAsia" w:eastAsia="仿宋_GB2312"/>
          <w:sz w:val="32"/>
          <w:szCs w:val="32"/>
          <w:u w:val="single"/>
          <w:lang w:val="en-US" w:eastAsia="zh-CN"/>
        </w:rPr>
        <w:t>3</w:t>
      </w:r>
      <w:bookmarkStart w:id="0" w:name="_GoBack"/>
      <w:bookmarkEnd w:id="0"/>
      <w:r>
        <w:rPr>
          <w:rFonts w:ascii="Times New Roman" w:hAnsi="Times New Roman" w:eastAsia="仿宋_GB2312"/>
          <w:sz w:val="32"/>
          <w:szCs w:val="32"/>
          <w:u w:val="single"/>
        </w:rPr>
        <w:t>日印</w:t>
      </w:r>
      <w:r>
        <w:rPr>
          <w:rFonts w:hint="eastAsia" w:ascii="Times New Roman" w:hAnsi="Times New Roman" w:eastAsia="仿宋_GB2312"/>
          <w:sz w:val="32"/>
          <w:szCs w:val="32"/>
          <w:u w:val="single"/>
          <w:lang w:eastAsia="zh-CN"/>
        </w:rPr>
        <w:t>发</w:t>
      </w:r>
      <w:r>
        <w:rPr>
          <w:rFonts w:hint="eastAsia" w:ascii="Times New Roman" w:hAnsi="Times New Roman" w:eastAsia="仿宋_GB2312"/>
          <w:sz w:val="32"/>
          <w:szCs w:val="32"/>
          <w:u w:val="single"/>
          <w:lang w:eastAsia="zh-CN"/>
        </w:rPr>
        <w:br w:type="page"/>
      </w:r>
    </w:p>
    <w:p w14:paraId="0474339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b w:val="0"/>
          <w:kern w:val="44"/>
          <w:sz w:val="44"/>
          <w:szCs w:val="32"/>
          <w:lang w:val="en-US" w:eastAsia="zh-CN" w:bidi="ar-SA"/>
        </w:rPr>
        <w:t>芷江侗族自治县农业用水权分配办法</w:t>
      </w:r>
      <w:r>
        <w:rPr>
          <w:rFonts w:hint="eastAsia" w:ascii="方正小标宋_GBK" w:hAnsi="方正小标宋_GBK" w:eastAsia="方正小标宋_GBK" w:cs="方正小标宋_GBK"/>
          <w:sz w:val="44"/>
          <w:szCs w:val="44"/>
          <w:lang w:val="en-US" w:eastAsia="zh-CN"/>
        </w:rPr>
        <w:t>（试行）</w:t>
      </w:r>
    </w:p>
    <w:p w14:paraId="5CD2A6A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p>
    <w:p w14:paraId="4BA03796">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1"/>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总则</w:t>
      </w:r>
    </w:p>
    <w:p w14:paraId="67EF3B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第一条</w:t>
      </w:r>
      <w:r>
        <w:rPr>
          <w:rFonts w:hint="eastAsia" w:ascii="仿宋" w:hAnsi="仿宋" w:eastAsia="仿宋" w:cs="仿宋"/>
          <w:sz w:val="32"/>
          <w:szCs w:val="32"/>
          <w:lang w:val="en-US" w:eastAsia="zh-CN"/>
        </w:rPr>
        <w:t xml:space="preserve"> 为健全完善农业用水权初始分配制度，明晰用水权归属，培育用水权交易市场，提升水资源优化配置和集约节约安全利用水平，根据《中华人民共和国水法》《取水许可和水资源费征收管理条例》《水权交易管理暂行办法》（水政法〔2016〕156号）和《水利部 国家发展改革委 财政部关于推进用水权改革的指导意见》（水资管〔2022〕333号）《用水权交易管理规则（试行）》（水财务〔2024〕9号）及《湖南省水利厅 湖南省发展和改革委员会 湖南省财政厅关于推进用水权改革工作的实施意见》等有关法规和政策文件要求，结合芷江侗族自治县实际，制定本办法。</w:t>
      </w:r>
    </w:p>
    <w:p w14:paraId="799F00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本办法适用于芷江侗族自治县内开展农业用水权分配及相关管理活动的部门、单位、组织或个人。</w:t>
      </w:r>
    </w:p>
    <w:p w14:paraId="160781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办法所称农业用水权，是指农业灌溉水资源的使用权，包括纳入取水许可管理的灌区取水权和灌区内各类灌溉用水户的用水权。各类灌溉用水户一般为农村集体经济组织、农民用水合作组织，有计量条件的用水户。</w:t>
      </w:r>
    </w:p>
    <w:p w14:paraId="6B2C41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本办法所称农业用水权分配，是指将灌区内农业用水总量科学合理地分配给灌区用水户。</w:t>
      </w:r>
    </w:p>
    <w:p w14:paraId="2F909E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第三条</w:t>
      </w:r>
      <w:r>
        <w:rPr>
          <w:rFonts w:hint="eastAsia" w:ascii="仿宋" w:hAnsi="仿宋" w:eastAsia="仿宋" w:cs="仿宋"/>
          <w:sz w:val="32"/>
          <w:szCs w:val="32"/>
          <w:lang w:val="en-US" w:eastAsia="zh-CN"/>
        </w:rPr>
        <w:t xml:space="preserve"> 按照以水而定、量水而行、统筹兼顾、立足长远，因地制宜、分类施策等原则对农业用水权进行分配及管理。</w:t>
      </w:r>
    </w:p>
    <w:p w14:paraId="3FCE15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第四条</w:t>
      </w:r>
      <w:r>
        <w:rPr>
          <w:rFonts w:hint="eastAsia" w:ascii="仿宋" w:hAnsi="仿宋" w:eastAsia="仿宋" w:cs="仿宋"/>
          <w:sz w:val="32"/>
          <w:szCs w:val="32"/>
          <w:lang w:val="en-US" w:eastAsia="zh-CN"/>
        </w:rPr>
        <w:t xml:space="preserve"> 县水行政主管部门负责县域范围内农业用水权分配的管理及监督工作。灌区管理单位负责落实辖区农业用水权分配的具体组织实施工作，包括基础信息调查核实、分配结果公示、相关申请初步受理与核实，以及用水权证延续等组织工作，乡镇人民政府负责配合县水行政主管部门、灌区管理单位开展农业用水权分配工作；若无灌区管理单位的，由乡镇人民政府负责落实。</w:t>
      </w:r>
    </w:p>
    <w:p w14:paraId="5CA690FF">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可分配水量核定</w:t>
      </w:r>
    </w:p>
    <w:p w14:paraId="7FCDDBE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第五条</w:t>
      </w:r>
      <w:r>
        <w:rPr>
          <w:rFonts w:hint="eastAsia" w:ascii="仿宋" w:hAnsi="仿宋" w:eastAsia="仿宋" w:cs="仿宋"/>
          <w:sz w:val="32"/>
          <w:szCs w:val="32"/>
          <w:lang w:val="en-US" w:eastAsia="zh-CN"/>
        </w:rPr>
        <w:t xml:space="preserve"> 本办法对全县范围内的农业灌溉用水进行分配，水源类型包括地表水和地下水。</w:t>
      </w:r>
    </w:p>
    <w:p w14:paraId="0A66CE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全县农业用水权分配实行总量控制。对已发放取水许可证的水库、河道等地表水源和地下水源的用水权分配，分别以农业取水许可总量为上限；对山塘、河坝、小型水库等未发放取水许可证的辅助灌溉水源的用水权分配，一般采取80%灌溉设计保证率年型的供水能力，依照丰平枯减的原则确定上限。</w:t>
      </w:r>
    </w:p>
    <w:p w14:paraId="2C6132CC">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农业用水权分配</w:t>
      </w:r>
    </w:p>
    <w:p w14:paraId="1794D8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第七条</w:t>
      </w:r>
      <w:r>
        <w:rPr>
          <w:rFonts w:hint="eastAsia" w:ascii="仿宋" w:hAnsi="仿宋" w:eastAsia="仿宋" w:cs="仿宋"/>
          <w:sz w:val="32"/>
          <w:szCs w:val="32"/>
          <w:lang w:val="en-US" w:eastAsia="zh-CN"/>
        </w:rPr>
        <w:t xml:space="preserve"> 芷江侗族自治县农业用水以地表水为主，农业用水权分配应明确至具体水源，鼓励按照山塘、河坝，小型水库，灌区主水源的优先利用原则进行水源配置。分配时应综合考虑灌区可分配水量、灌溉面积、种植结构、输水损失等因素，对农业用水权进行明晰。</w:t>
      </w:r>
    </w:p>
    <w:p w14:paraId="0F87D3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因不可抗力（包括特殊干旱年份），供水能力不能满足分配的用水权额度，由县水行政主管部门根据实际情况进行统筹配置。</w:t>
      </w:r>
    </w:p>
    <w:p w14:paraId="47F385EB">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权证管理</w:t>
      </w:r>
    </w:p>
    <w:p w14:paraId="0B405C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第九条</w:t>
      </w:r>
      <w:r>
        <w:rPr>
          <w:rFonts w:hint="eastAsia" w:ascii="仿宋" w:hAnsi="仿宋" w:eastAsia="仿宋" w:cs="仿宋"/>
          <w:sz w:val="32"/>
          <w:szCs w:val="32"/>
          <w:lang w:val="en-US" w:eastAsia="zh-CN"/>
        </w:rPr>
        <w:t xml:space="preserve"> 县域范围内农业用水权证发放流程如下：</w:t>
      </w:r>
    </w:p>
    <w:p w14:paraId="1E4318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（一）结果公示及批复。灌区管理单位和乡镇人民政府对农业用水权分配方案进行公示，公示无异议后，提交县水行政主管部门审核批复。</w:t>
      </w:r>
    </w:p>
    <w:p w14:paraId="3D4426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（二）信息系统录入登记。依托全国水权交易系统建设的芷江侗族自治县水权交易大厅，录入农业用水权分配基础信息，实行用水权证自动生成及在线管理等。</w:t>
      </w:r>
    </w:p>
    <w:p w14:paraId="0E0B56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（三）发放农业用水权证。县水行政主管部门批复农业用水权分配方案后，核发农业用水权证。用水权证应当载明权利人基本信息、分配水量、水源类型、有效期限等。</w:t>
      </w:r>
    </w:p>
    <w:p w14:paraId="21D04A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第十条</w:t>
      </w:r>
      <w:r>
        <w:rPr>
          <w:rFonts w:hint="eastAsia" w:ascii="仿宋" w:hAnsi="仿宋" w:eastAsia="仿宋" w:cs="仿宋"/>
          <w:sz w:val="32"/>
          <w:szCs w:val="32"/>
          <w:lang w:val="en-US" w:eastAsia="zh-CN"/>
        </w:rPr>
        <w:t xml:space="preserve"> 按照本规定取得农业用水权证的农业用水户享有以下权利：</w:t>
      </w:r>
    </w:p>
    <w:p w14:paraId="1F453B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（一）依法享有农业灌溉用水的权利；</w:t>
      </w:r>
    </w:p>
    <w:p w14:paraId="4A6318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（二）参与灌溉用水户间用水权交易、农业用水权回购等形式的农业用水权交易的权利；</w:t>
      </w:r>
    </w:p>
    <w:p w14:paraId="2B2C71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（三）参与农业灌溉管理的权利；</w:t>
      </w:r>
    </w:p>
    <w:p w14:paraId="5C6893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（四）提出合理意见、建议的权利。</w:t>
      </w:r>
    </w:p>
    <w:p w14:paraId="01770A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农业用水权证持有人应当履行以下义务：</w:t>
      </w:r>
    </w:p>
    <w:p w14:paraId="79AF7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（一）节约用水的义务；</w:t>
      </w:r>
    </w:p>
    <w:p w14:paraId="50F6FB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（二）服从灌溉统一管理的义务；</w:t>
      </w:r>
    </w:p>
    <w:p w14:paraId="2A7AA1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（三）保护水利设施的义务；</w:t>
      </w:r>
    </w:p>
    <w:p w14:paraId="5E672D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（四）法律法规规定的其他义务。</w:t>
      </w:r>
    </w:p>
    <w:p w14:paraId="396966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第十一条</w:t>
      </w:r>
      <w:r>
        <w:rPr>
          <w:rFonts w:hint="eastAsia" w:ascii="仿宋" w:hAnsi="仿宋" w:eastAsia="仿宋" w:cs="仿宋"/>
          <w:sz w:val="32"/>
          <w:szCs w:val="32"/>
          <w:lang w:val="en-US" w:eastAsia="zh-CN"/>
        </w:rPr>
        <w:t xml:space="preserve"> 有下列情形之一的，农业用水权证持有人可向灌区管理单位和乡镇人民政府提出用水权变更申请，经灌区管理单位和乡镇人民政府核实，提交县水行政主管部门审核通过后，予以变更并备注相关变更信息：</w:t>
      </w:r>
    </w:p>
    <w:p w14:paraId="574818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（一）土地承包经营权流转时农业用水权一并流转使用；</w:t>
      </w:r>
    </w:p>
    <w:p w14:paraId="6D2AFB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（二）用水权内容变更；</w:t>
      </w:r>
    </w:p>
    <w:p w14:paraId="01C54C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（三）用水权错漏更正；</w:t>
      </w:r>
    </w:p>
    <w:p w14:paraId="08ABBB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（四）法律法规规定的其他可变更情形。</w:t>
      </w:r>
    </w:p>
    <w:p w14:paraId="7EE6D9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第十二条</w:t>
      </w:r>
      <w:r>
        <w:rPr>
          <w:rFonts w:hint="eastAsia" w:ascii="仿宋" w:hAnsi="仿宋" w:eastAsia="仿宋" w:cs="仿宋"/>
          <w:sz w:val="32"/>
          <w:szCs w:val="32"/>
          <w:lang w:val="en-US" w:eastAsia="zh-CN"/>
        </w:rPr>
        <w:t xml:space="preserve"> 有下列情形之一的，农业用水权证持有人应当向灌区管理单位和乡镇人民政府提出用水权证注销申请，经灌区管理单位和乡镇人民政府核实后，提交至县水行政主管部门注销：</w:t>
      </w:r>
    </w:p>
    <w:p w14:paraId="5939EE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（一）用水权被依法征用、占用的；</w:t>
      </w:r>
    </w:p>
    <w:p w14:paraId="083775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（二）用水权权利期限届满且不延续的；</w:t>
      </w:r>
    </w:p>
    <w:p w14:paraId="254A0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（三）因自然灾害或其他原因造成用水权权利灭失的；</w:t>
      </w:r>
    </w:p>
    <w:p w14:paraId="6C46E8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（四）法律法规规定用水权权利终止的其他情形。</w:t>
      </w:r>
    </w:p>
    <w:p w14:paraId="37F96B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第十三条</w:t>
      </w:r>
      <w:r>
        <w:rPr>
          <w:rFonts w:hint="eastAsia" w:ascii="仿宋" w:hAnsi="仿宋" w:eastAsia="仿宋" w:cs="仿宋"/>
          <w:sz w:val="32"/>
          <w:szCs w:val="32"/>
          <w:lang w:val="en-US" w:eastAsia="zh-CN"/>
        </w:rPr>
        <w:t xml:space="preserve"> 有下列情形之一的，县水行政主管部门有权决定撤销用水权证：</w:t>
      </w:r>
    </w:p>
    <w:p w14:paraId="220DF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（一）农业用地转变为非农用地的；</w:t>
      </w:r>
    </w:p>
    <w:p w14:paraId="4D822F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w:t>
      </w:r>
      <w:r>
        <w:rPr>
          <w:rFonts w:hint="eastAsia" w:ascii="仿宋" w:hAnsi="仿宋" w:eastAsia="仿宋" w:cs="仿宋"/>
          <w:sz w:val="32"/>
          <w:szCs w:val="32"/>
          <w:highlight w:val="none"/>
          <w:lang w:val="en-US" w:eastAsia="zh-CN"/>
        </w:rPr>
        <w:t>拒不执行县水行政主管部门用水权指标要求的，</w:t>
      </w:r>
      <w:r>
        <w:rPr>
          <w:rFonts w:hint="eastAsia" w:ascii="仿宋" w:hAnsi="仿宋" w:eastAsia="仿宋" w:cs="仿宋"/>
          <w:sz w:val="32"/>
          <w:szCs w:val="32"/>
          <w:lang w:val="en-US" w:eastAsia="zh-CN"/>
        </w:rPr>
        <w:t>擅自伪造、涂改用水权证相关信息的，或应注销而未注销的；</w:t>
      </w:r>
    </w:p>
    <w:p w14:paraId="6EEDC1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（三）经证实证属信息与实际情况不相符的；</w:t>
      </w:r>
    </w:p>
    <w:p w14:paraId="00E137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（四）违反法定程序发证的；</w:t>
      </w:r>
    </w:p>
    <w:p w14:paraId="59F620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（五）违反法律法规规定的其他情形。</w:t>
      </w:r>
    </w:p>
    <w:p w14:paraId="73B058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第十四条</w:t>
      </w:r>
      <w:r>
        <w:rPr>
          <w:rFonts w:hint="eastAsia" w:ascii="仿宋" w:hAnsi="仿宋" w:eastAsia="仿宋" w:cs="仿宋"/>
          <w:sz w:val="32"/>
          <w:szCs w:val="32"/>
          <w:lang w:val="en-US" w:eastAsia="zh-CN"/>
        </w:rPr>
        <w:t xml:space="preserve"> 农业用水权证有效期限一般为五年，有效期满前45日内，由灌区管理单位和乡镇人民政府统一提出用水权延续申请，经县水行政主管部门审核后换证。</w:t>
      </w:r>
    </w:p>
    <w:p w14:paraId="78268A5C">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附则</w:t>
      </w:r>
    </w:p>
    <w:p w14:paraId="75BB29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第十五条</w:t>
      </w:r>
      <w:r>
        <w:rPr>
          <w:rFonts w:hint="eastAsia" w:ascii="仿宋" w:hAnsi="仿宋" w:eastAsia="仿宋" w:cs="仿宋"/>
          <w:sz w:val="32"/>
          <w:szCs w:val="32"/>
          <w:lang w:val="en-US" w:eastAsia="zh-CN"/>
        </w:rPr>
        <w:t xml:space="preserve"> 本办法自公布之日起试行，有效期二年。</w:t>
      </w:r>
    </w:p>
    <w:p w14:paraId="1280B4CC">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6C41A3-C558-4D64-9F5E-9BDF0782DDA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embedRegular r:id="rId2" w:fontKey="{AFE5AED4-7171-4E42-BDA4-A60995088BFB}"/>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762FAE68-A555-459D-BB3C-FD974D3620DE}"/>
  </w:font>
  <w:font w:name="仿宋">
    <w:panose1 w:val="02010609060101010101"/>
    <w:charset w:val="86"/>
    <w:family w:val="modern"/>
    <w:pitch w:val="default"/>
    <w:sig w:usb0="800002BF" w:usb1="38CF7CFA" w:usb2="00000016" w:usb3="00000000" w:csb0="00040001" w:csb1="00000000"/>
    <w:embedRegular r:id="rId4" w:fontKey="{53BB5E12-7F32-4243-A662-A9F80B220679}"/>
  </w:font>
  <w:font w:name="方正小标宋简体">
    <w:panose1 w:val="03000509000000000000"/>
    <w:charset w:val="86"/>
    <w:family w:val="auto"/>
    <w:pitch w:val="default"/>
    <w:sig w:usb0="00000001" w:usb1="080E0000" w:usb2="00000000" w:usb3="00000000" w:csb0="00040000" w:csb1="00000000"/>
    <w:embedRegular r:id="rId5" w:fontKey="{300E0090-B112-4BB1-A1AF-ED6C0D04B7DA}"/>
  </w:font>
  <w:font w:name="方正小标宋_GBK">
    <w:panose1 w:val="02000000000000000000"/>
    <w:charset w:val="86"/>
    <w:family w:val="auto"/>
    <w:pitch w:val="default"/>
    <w:sig w:usb0="A00002BF" w:usb1="38CF7CFA" w:usb2="00082016" w:usb3="00000000" w:csb0="00040001" w:csb1="00000000"/>
    <w:embedRegular r:id="rId6" w:fontKey="{AE84576C-A46D-469F-BDF0-B3C5E5304957}"/>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9510"/>
    <w:multiLevelType w:val="multilevel"/>
    <w:tmpl w:val="97D59510"/>
    <w:lvl w:ilvl="0" w:tentative="0">
      <w:start w:val="1"/>
      <w:numFmt w:val="chineseCounting"/>
      <w:suff w:val="space"/>
      <w:lvlText w:val="第%1章"/>
      <w:lvlJc w:val="left"/>
      <w:pPr>
        <w:tabs>
          <w:tab w:val="left" w:pos="0"/>
        </w:tabs>
        <w:ind w:left="850" w:leftChars="0" w:hanging="850" w:firstLineChars="0"/>
      </w:pPr>
      <w:rPr>
        <w:rFonts w:hint="eastAsia" w:ascii="Times New Roman" w:hAnsi="Times New Roman" w:eastAsia="仿宋_GB2312" w:cs="Times New Roman"/>
        <w:sz w:val="32"/>
        <w:szCs w:val="32"/>
      </w:rPr>
    </w:lvl>
    <w:lvl w:ilvl="1" w:tentative="0">
      <w:start w:val="1"/>
      <w:numFmt w:val="decimal"/>
      <w:isLgl/>
      <w:suff w:val="space"/>
      <w:lvlText w:val="%1.%2"/>
      <w:lvlJc w:val="left"/>
      <w:pPr>
        <w:tabs>
          <w:tab w:val="left" w:pos="0"/>
        </w:tabs>
        <w:ind w:left="576" w:hanging="576"/>
      </w:pPr>
      <w:rPr>
        <w:rFonts w:hint="eastAsia" w:ascii="Times New Roman" w:hAnsi="Times New Roman" w:eastAsia="黑体" w:cs="Times New Roman"/>
        <w:b/>
        <w:sz w:val="28"/>
      </w:rPr>
    </w:lvl>
    <w:lvl w:ilvl="2" w:tentative="0">
      <w:start w:val="1"/>
      <w:numFmt w:val="none"/>
      <w:suff w:val="space"/>
      <w:lvlText w:val="第%2条"/>
      <w:lvlJc w:val="left"/>
      <w:pPr>
        <w:tabs>
          <w:tab w:val="left" w:pos="0"/>
        </w:tabs>
        <w:ind w:left="720" w:hanging="720"/>
      </w:pPr>
      <w:rPr>
        <w:rFonts w:hint="eastAsia" w:ascii="Times New Roman" w:hAnsi="Times New Roman" w:eastAsia="仿宋_GB2312" w:cs="Times New Roman"/>
        <w:b w:val="0"/>
        <w:sz w:val="28"/>
        <w:szCs w:val="28"/>
      </w:rPr>
    </w:lvl>
    <w:lvl w:ilvl="3" w:tentative="0">
      <w:start w:val="1"/>
      <w:numFmt w:val="decimal"/>
      <w:suff w:val="space"/>
      <w:lvlText w:val="%1.%2.%3.%4"/>
      <w:lvlJc w:val="left"/>
      <w:pPr>
        <w:ind w:left="864" w:hanging="864"/>
      </w:pPr>
      <w:rPr>
        <w:rFonts w:hint="eastAsia" w:ascii="Arial" w:hAnsi="Arial" w:cs="Arial"/>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31FFA8D4"/>
    <w:multiLevelType w:val="multilevel"/>
    <w:tmpl w:val="31FFA8D4"/>
    <w:lvl w:ilvl="0" w:tentative="0">
      <w:start w:val="1"/>
      <w:numFmt w:val="decimal"/>
      <w:pStyle w:val="4"/>
      <w:isLgl/>
      <w:suff w:val="space"/>
      <w:lvlText w:val="%1"/>
      <w:lvlJc w:val="left"/>
      <w:pPr>
        <w:tabs>
          <w:tab w:val="left" w:pos="0"/>
        </w:tabs>
        <w:ind w:left="432" w:hanging="432"/>
      </w:pPr>
      <w:rPr>
        <w:rFonts w:hint="default" w:ascii="Times New Roman" w:hAnsi="Times New Roman" w:eastAsia="黑体"/>
        <w:b/>
        <w:bCs w:val="0"/>
        <w:sz w:val="32"/>
        <w:szCs w:val="32"/>
      </w:rPr>
    </w:lvl>
    <w:lvl w:ilvl="1" w:tentative="0">
      <w:start w:val="1"/>
      <w:numFmt w:val="decimal"/>
      <w:pStyle w:val="5"/>
      <w:isLgl/>
      <w:suff w:val="space"/>
      <w:lvlText w:val="%1.%2"/>
      <w:lvlJc w:val="left"/>
      <w:pPr>
        <w:tabs>
          <w:tab w:val="left" w:pos="0"/>
        </w:tabs>
        <w:ind w:left="576" w:hanging="576"/>
      </w:pPr>
      <w:rPr>
        <w:rFonts w:hint="default" w:ascii="Times New Roman" w:hAnsi="Times New Roman" w:eastAsia="楷体_GB2312"/>
        <w:b/>
        <w:bCs/>
        <w:sz w:val="30"/>
        <w:szCs w:val="30"/>
      </w:rPr>
    </w:lvl>
    <w:lvl w:ilvl="2" w:tentative="0">
      <w:start w:val="1"/>
      <w:numFmt w:val="decimal"/>
      <w:pStyle w:val="6"/>
      <w:isLgl/>
      <w:suff w:val="space"/>
      <w:lvlText w:val="%1.%2.%3"/>
      <w:lvlJc w:val="left"/>
      <w:pPr>
        <w:tabs>
          <w:tab w:val="left" w:pos="0"/>
        </w:tabs>
        <w:ind w:left="720" w:hanging="720"/>
      </w:pPr>
      <w:rPr>
        <w:rFonts w:hint="default" w:ascii="Times New Roman" w:hAnsi="Times New Roman" w:eastAsia="楷体_GB2312"/>
        <w:sz w:val="30"/>
        <w:szCs w:val="30"/>
      </w:rPr>
    </w:lvl>
    <w:lvl w:ilvl="3" w:tentative="0">
      <w:start w:val="1"/>
      <w:numFmt w:val="decimal"/>
      <w:pStyle w:val="7"/>
      <w:isLgl/>
      <w:suff w:val="space"/>
      <w:lvlText w:val="%1.%2.%3.%4"/>
      <w:lvlJc w:val="left"/>
      <w:pPr>
        <w:tabs>
          <w:tab w:val="left" w:pos="0"/>
        </w:tabs>
        <w:ind w:left="864" w:hanging="864"/>
      </w:pPr>
      <w:rPr>
        <w:rFonts w:hint="default" w:eastAsia="楷体_GB2312"/>
        <w:sz w:val="30"/>
        <w:szCs w:val="30"/>
      </w:rPr>
    </w:lvl>
    <w:lvl w:ilvl="4" w:tentative="0">
      <w:start w:val="1"/>
      <w:numFmt w:val="decimal"/>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abstractNum w:abstractNumId="2">
    <w:nsid w:val="40A78A08"/>
    <w:multiLevelType w:val="singleLevel"/>
    <w:tmpl w:val="40A78A08"/>
    <w:lvl w:ilvl="0" w:tentative="0">
      <w:start w:val="1"/>
      <w:numFmt w:val="chineseCounting"/>
      <w:pStyle w:val="30"/>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7333B"/>
    <w:rsid w:val="04F53C4F"/>
    <w:rsid w:val="05551545"/>
    <w:rsid w:val="0640789F"/>
    <w:rsid w:val="07A24CE2"/>
    <w:rsid w:val="09886B94"/>
    <w:rsid w:val="09DD212B"/>
    <w:rsid w:val="0A2C20E1"/>
    <w:rsid w:val="0A526B36"/>
    <w:rsid w:val="0DB94A81"/>
    <w:rsid w:val="11333889"/>
    <w:rsid w:val="11BD2A02"/>
    <w:rsid w:val="147F02E5"/>
    <w:rsid w:val="194B2CF6"/>
    <w:rsid w:val="1A3F102F"/>
    <w:rsid w:val="1C246759"/>
    <w:rsid w:val="1E8E0E95"/>
    <w:rsid w:val="1EC77343"/>
    <w:rsid w:val="1F7315FD"/>
    <w:rsid w:val="1FB36B2E"/>
    <w:rsid w:val="1FC55F8E"/>
    <w:rsid w:val="1FDB296A"/>
    <w:rsid w:val="21BC3685"/>
    <w:rsid w:val="21DD6C85"/>
    <w:rsid w:val="224D57AE"/>
    <w:rsid w:val="255963E7"/>
    <w:rsid w:val="2590230B"/>
    <w:rsid w:val="25F06A9D"/>
    <w:rsid w:val="278411F1"/>
    <w:rsid w:val="2834568E"/>
    <w:rsid w:val="28C450F0"/>
    <w:rsid w:val="28E34258"/>
    <w:rsid w:val="290C7824"/>
    <w:rsid w:val="2A3902CD"/>
    <w:rsid w:val="2ACF773C"/>
    <w:rsid w:val="2AD96DF8"/>
    <w:rsid w:val="2BFF215A"/>
    <w:rsid w:val="2DEF2105"/>
    <w:rsid w:val="302758B4"/>
    <w:rsid w:val="30C17AAE"/>
    <w:rsid w:val="32254574"/>
    <w:rsid w:val="331F6903"/>
    <w:rsid w:val="332C406F"/>
    <w:rsid w:val="3A543D1D"/>
    <w:rsid w:val="3C2F0AE8"/>
    <w:rsid w:val="3D321486"/>
    <w:rsid w:val="40407011"/>
    <w:rsid w:val="40602CC7"/>
    <w:rsid w:val="408556CD"/>
    <w:rsid w:val="415A25F3"/>
    <w:rsid w:val="41B75A2B"/>
    <w:rsid w:val="42AF5D6E"/>
    <w:rsid w:val="42F578E5"/>
    <w:rsid w:val="476F5AA4"/>
    <w:rsid w:val="4800357B"/>
    <w:rsid w:val="4A8652AA"/>
    <w:rsid w:val="4B6047A3"/>
    <w:rsid w:val="4BB732D5"/>
    <w:rsid w:val="4D647355"/>
    <w:rsid w:val="4ED70565"/>
    <w:rsid w:val="50B15D3B"/>
    <w:rsid w:val="51532C25"/>
    <w:rsid w:val="53A72037"/>
    <w:rsid w:val="57634C64"/>
    <w:rsid w:val="58524556"/>
    <w:rsid w:val="590B02B3"/>
    <w:rsid w:val="5AA20753"/>
    <w:rsid w:val="5DA72632"/>
    <w:rsid w:val="5E007BFD"/>
    <w:rsid w:val="5F7B2BA2"/>
    <w:rsid w:val="60601D56"/>
    <w:rsid w:val="61E61D0C"/>
    <w:rsid w:val="649D4186"/>
    <w:rsid w:val="64C4789D"/>
    <w:rsid w:val="668E6D17"/>
    <w:rsid w:val="67EA6EDA"/>
    <w:rsid w:val="687D6827"/>
    <w:rsid w:val="69733998"/>
    <w:rsid w:val="698A4010"/>
    <w:rsid w:val="6C264F8F"/>
    <w:rsid w:val="6CAF5C70"/>
    <w:rsid w:val="6DFB66C9"/>
    <w:rsid w:val="700D260A"/>
    <w:rsid w:val="72D20228"/>
    <w:rsid w:val="733152F0"/>
    <w:rsid w:val="79D80E8A"/>
    <w:rsid w:val="7A804167"/>
    <w:rsid w:val="7BC66158"/>
    <w:rsid w:val="7C0655E3"/>
    <w:rsid w:val="7D502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25"/>
    <w:qFormat/>
    <w:uiPriority w:val="0"/>
    <w:pPr>
      <w:keepNext w:val="0"/>
      <w:keepLines w:val="0"/>
      <w:numPr>
        <w:ilvl w:val="0"/>
        <w:numId w:val="1"/>
      </w:numPr>
      <w:tabs>
        <w:tab w:val="clear" w:pos="0"/>
      </w:tabs>
      <w:wordWrap w:val="0"/>
      <w:topLinePunct/>
      <w:autoSpaceDE/>
      <w:autoSpaceDN/>
      <w:adjustRightInd w:val="0"/>
      <w:snapToGrid w:val="0"/>
      <w:spacing w:beforeLines="0" w:beforeAutospacing="0" w:afterLines="0" w:afterAutospacing="0" w:line="600" w:lineRule="exact"/>
      <w:ind w:left="432" w:hanging="432" w:firstLineChars="0"/>
      <w:jc w:val="left"/>
      <w:outlineLvl w:val="0"/>
    </w:pPr>
    <w:rPr>
      <w:rFonts w:ascii="Times New Roman" w:hAnsi="Times New Roman" w:eastAsia="黑体" w:cs="Times New Roman"/>
      <w:kern w:val="44"/>
      <w:sz w:val="32"/>
      <w:szCs w:val="32"/>
    </w:rPr>
  </w:style>
  <w:style w:type="paragraph" w:styleId="5">
    <w:name w:val="heading 2"/>
    <w:basedOn w:val="1"/>
    <w:next w:val="1"/>
    <w:link w:val="26"/>
    <w:semiHidden/>
    <w:unhideWhenUsed/>
    <w:qFormat/>
    <w:uiPriority w:val="0"/>
    <w:pPr>
      <w:numPr>
        <w:ilvl w:val="1"/>
        <w:numId w:val="1"/>
      </w:numPr>
      <w:adjustRightInd w:val="0"/>
      <w:snapToGrid w:val="0"/>
      <w:spacing w:before="0" w:beforeAutospacing="0" w:after="0" w:afterAutospacing="0" w:line="560" w:lineRule="exact"/>
      <w:ind w:left="0" w:firstLine="0" w:firstLineChars="0"/>
      <w:jc w:val="left"/>
      <w:outlineLvl w:val="1"/>
    </w:pPr>
    <w:rPr>
      <w:rFonts w:hint="eastAsia" w:ascii="Times New Roman" w:hAnsi="Times New Roman" w:eastAsia="楷体_GB2312"/>
      <w:b/>
      <w:bCs/>
      <w:kern w:val="0"/>
      <w:lang w:bidi="ar"/>
    </w:rPr>
  </w:style>
  <w:style w:type="paragraph" w:styleId="6">
    <w:name w:val="heading 3"/>
    <w:basedOn w:val="5"/>
    <w:next w:val="1"/>
    <w:link w:val="24"/>
    <w:semiHidden/>
    <w:unhideWhenUsed/>
    <w:qFormat/>
    <w:uiPriority w:val="0"/>
    <w:pPr>
      <w:keepNext/>
      <w:keepLines/>
      <w:widowControl w:val="0"/>
      <w:numPr>
        <w:ilvl w:val="2"/>
      </w:numPr>
      <w:adjustRightInd w:val="0"/>
      <w:snapToGrid w:val="0"/>
      <w:spacing w:line="600" w:lineRule="exact"/>
      <w:ind w:left="720" w:hanging="720" w:firstLineChars="0"/>
      <w:jc w:val="left"/>
      <w:outlineLvl w:val="2"/>
    </w:pPr>
    <w:rPr>
      <w:sz w:val="30"/>
    </w:rPr>
  </w:style>
  <w:style w:type="paragraph" w:styleId="7">
    <w:name w:val="heading 4"/>
    <w:basedOn w:val="1"/>
    <w:next w:val="1"/>
    <w:semiHidden/>
    <w:unhideWhenUsed/>
    <w:qFormat/>
    <w:uiPriority w:val="0"/>
    <w:pPr>
      <w:keepNext/>
      <w:keepLines/>
      <w:numPr>
        <w:ilvl w:val="3"/>
        <w:numId w:val="1"/>
      </w:numPr>
      <w:tabs>
        <w:tab w:val="left" w:pos="420"/>
        <w:tab w:val="clear" w:pos="0"/>
      </w:tabs>
      <w:spacing w:beforeLines="0" w:beforeAutospacing="0" w:afterLines="0" w:afterAutospacing="0" w:line="600" w:lineRule="exact"/>
      <w:ind w:left="864" w:hanging="864" w:firstLineChars="0"/>
      <w:outlineLvl w:val="3"/>
    </w:pPr>
    <w:rPr>
      <w:rFonts w:ascii="Times New Roman" w:hAnsi="Times New Roman" w:eastAsia="楷体_GB2312"/>
      <w:sz w:val="30"/>
    </w:rPr>
  </w:style>
  <w:style w:type="paragraph" w:styleId="8">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2" w:hanging="1152"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firstLineChars="0"/>
      <w:outlineLvl w:val="8"/>
    </w:pPr>
    <w:rPr>
      <w:rFonts w:ascii="Arial" w:hAnsi="Arial" w:eastAsia="黑体"/>
      <w:sz w:val="21"/>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style>
  <w:style w:type="paragraph" w:styleId="12">
    <w:name w:val="Normal Indent"/>
    <w:basedOn w:val="1"/>
    <w:next w:val="1"/>
    <w:qFormat/>
    <w:uiPriority w:val="0"/>
    <w:pPr>
      <w:ind w:firstLine="200" w:firstLineChars="200"/>
    </w:pPr>
  </w:style>
  <w:style w:type="paragraph" w:styleId="13">
    <w:name w:val="index 5"/>
    <w:basedOn w:val="1"/>
    <w:next w:val="1"/>
    <w:qFormat/>
    <w:uiPriority w:val="0"/>
    <w:pPr>
      <w:ind w:left="1680"/>
    </w:pPr>
  </w:style>
  <w:style w:type="paragraph" w:styleId="14">
    <w:name w:val="Body Text"/>
    <w:basedOn w:val="1"/>
    <w:qFormat/>
    <w:uiPriority w:val="0"/>
    <w:pPr>
      <w:spacing w:after="120" w:afterLines="0" w:afterAutospacing="0"/>
    </w:pPr>
  </w:style>
  <w:style w:type="paragraph" w:styleId="15">
    <w:name w:val="toc 3"/>
    <w:basedOn w:val="1"/>
    <w:next w:val="1"/>
    <w:qFormat/>
    <w:uiPriority w:val="0"/>
    <w:pPr>
      <w:ind w:left="840" w:leftChars="400"/>
    </w:pPr>
    <w:rPr>
      <w:rFonts w:ascii="Times New Roman" w:hAnsi="Times New Roman" w:eastAsia="宋体"/>
    </w:rPr>
  </w:style>
  <w:style w:type="paragraph" w:styleId="16">
    <w:name w:val="footer"/>
    <w:basedOn w:val="1"/>
    <w:next w:val="13"/>
    <w:unhideWhenUsed/>
    <w:qFormat/>
    <w:uiPriority w:val="99"/>
    <w:pPr>
      <w:tabs>
        <w:tab w:val="center" w:pos="4153"/>
        <w:tab w:val="right" w:pos="8306"/>
      </w:tabs>
      <w:snapToGrid w:val="0"/>
      <w:jc w:val="left"/>
    </w:pPr>
    <w:rPr>
      <w:sz w:val="18"/>
      <w:szCs w:val="18"/>
    </w:rPr>
  </w:style>
  <w:style w:type="paragraph" w:styleId="17">
    <w:name w:val="toc 1"/>
    <w:basedOn w:val="1"/>
    <w:next w:val="1"/>
    <w:qFormat/>
    <w:uiPriority w:val="0"/>
    <w:pPr>
      <w:spacing w:line="440" w:lineRule="exact"/>
      <w:jc w:val="both"/>
    </w:pPr>
    <w:rPr>
      <w:rFonts w:ascii="Arial" w:hAnsi="Arial" w:eastAsia="黑体"/>
      <w:b/>
    </w:rPr>
  </w:style>
  <w:style w:type="paragraph" w:styleId="18">
    <w:name w:val="toc 2"/>
    <w:basedOn w:val="1"/>
    <w:next w:val="1"/>
    <w:qFormat/>
    <w:uiPriority w:val="0"/>
    <w:pPr>
      <w:tabs>
        <w:tab w:val="right" w:leader="dot" w:pos="9184"/>
      </w:tabs>
      <w:spacing w:line="440" w:lineRule="exact"/>
      <w:ind w:left="420" w:leftChars="200" w:firstLine="0" w:firstLineChars="0"/>
      <w:jc w:val="both"/>
    </w:pPr>
    <w:rPr>
      <w:rFonts w:ascii="Arial" w:hAnsi="Arial" w:eastAsia="宋体"/>
      <w:spacing w:val="-23"/>
    </w:rPr>
  </w:style>
  <w:style w:type="paragraph" w:styleId="19">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0">
    <w:name w:val="Body Text First Indent"/>
    <w:basedOn w:val="14"/>
    <w:qFormat/>
    <w:uiPriority w:val="0"/>
    <w:pPr>
      <w:ind w:firstLine="420" w:firstLineChars="100"/>
    </w:pPr>
  </w:style>
  <w:style w:type="paragraph" w:customStyle="1" w:styleId="23">
    <w:name w:val="正文首行缩进1"/>
    <w:basedOn w:val="1"/>
    <w:qFormat/>
    <w:uiPriority w:val="0"/>
    <w:pPr>
      <w:spacing w:after="120"/>
      <w:ind w:firstLine="100" w:firstLineChars="100"/>
    </w:pPr>
    <w:rPr>
      <w:rFonts w:ascii="Times New Roman" w:hAnsi="Times New Roman" w:eastAsia="宋体" w:cs="Times New Roman"/>
    </w:rPr>
  </w:style>
  <w:style w:type="character" w:customStyle="1" w:styleId="24">
    <w:name w:val="标题 3 Char"/>
    <w:link w:val="6"/>
    <w:qFormat/>
    <w:uiPriority w:val="0"/>
    <w:rPr>
      <w:rFonts w:ascii="Times New Roman" w:hAnsi="Times New Roman" w:eastAsia="楷体_GB2312" w:cs="Times New Roman"/>
      <w:kern w:val="2"/>
      <w:sz w:val="30"/>
      <w:lang w:val="en-US" w:eastAsia="zh-CN" w:bidi="ar-SA"/>
    </w:rPr>
  </w:style>
  <w:style w:type="character" w:customStyle="1" w:styleId="25">
    <w:name w:val="标题 1 Char"/>
    <w:link w:val="4"/>
    <w:qFormat/>
    <w:uiPriority w:val="0"/>
    <w:rPr>
      <w:rFonts w:ascii="Times New Roman" w:hAnsi="Times New Roman" w:eastAsia="黑体" w:cs="Times New Roman"/>
      <w:kern w:val="44"/>
      <w:sz w:val="32"/>
      <w:szCs w:val="32"/>
    </w:rPr>
  </w:style>
  <w:style w:type="character" w:customStyle="1" w:styleId="26">
    <w:name w:val="标题 2 Char"/>
    <w:link w:val="5"/>
    <w:qFormat/>
    <w:uiPriority w:val="0"/>
    <w:rPr>
      <w:rFonts w:ascii="Times New Roman" w:hAnsi="Times New Roman" w:eastAsia="楷体_GB2312" w:cs="Times New Roman"/>
      <w:sz w:val="30"/>
      <w:szCs w:val="30"/>
    </w:rPr>
  </w:style>
  <w:style w:type="paragraph" w:customStyle="1" w:styleId="27">
    <w:name w:val="目录3"/>
    <w:basedOn w:val="1"/>
    <w:link w:val="28"/>
    <w:autoRedefine/>
    <w:qFormat/>
    <w:uiPriority w:val="0"/>
    <w:pPr>
      <w:tabs>
        <w:tab w:val="right" w:leader="dot" w:pos="9184"/>
      </w:tabs>
      <w:ind w:left="420" w:leftChars="200"/>
    </w:pPr>
    <w:rPr>
      <w:rFonts w:hint="eastAsia" w:ascii="黑体" w:hAnsi="黑体" w:eastAsia="宋体"/>
      <w:bCs/>
      <w:sz w:val="24"/>
      <w:szCs w:val="30"/>
    </w:rPr>
  </w:style>
  <w:style w:type="character" w:customStyle="1" w:styleId="28">
    <w:name w:val="目录3 Char"/>
    <w:link w:val="27"/>
    <w:qFormat/>
    <w:uiPriority w:val="0"/>
    <w:rPr>
      <w:rFonts w:hint="eastAsia" w:ascii="黑体" w:hAnsi="黑体" w:eastAsia="宋体"/>
      <w:bCs/>
      <w:sz w:val="24"/>
      <w:szCs w:val="30"/>
    </w:rPr>
  </w:style>
  <w:style w:type="paragraph" w:customStyle="1" w:styleId="29">
    <w:name w:val="综述标题"/>
    <w:basedOn w:val="1"/>
    <w:qFormat/>
    <w:uiPriority w:val="0"/>
    <w:rPr>
      <w:rFonts w:hint="eastAsia" w:ascii="Times New Roman" w:hAnsi="Times New Roman" w:eastAsia="黑体"/>
      <w:b/>
      <w:sz w:val="32"/>
    </w:rPr>
  </w:style>
  <w:style w:type="paragraph" w:customStyle="1" w:styleId="30">
    <w:name w:val="综述标题一"/>
    <w:basedOn w:val="1"/>
    <w:autoRedefine/>
    <w:qFormat/>
    <w:uiPriority w:val="0"/>
    <w:pPr>
      <w:numPr>
        <w:ilvl w:val="0"/>
        <w:numId w:val="2"/>
      </w:numPr>
    </w:pPr>
    <w:rPr>
      <w:rFonts w:hint="eastAsia" w:ascii="Times New Roman" w:hAnsi="Times New Roman" w:eastAsia="黑体"/>
      <w:b/>
      <w:sz w:val="28"/>
    </w:rPr>
  </w:style>
  <w:style w:type="table" w:customStyle="1" w:styleId="31">
    <w:name w:val="Table Normal"/>
    <w:basedOn w:val="21"/>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2154</Words>
  <Characters>2195</Characters>
  <Lines>0</Lines>
  <Paragraphs>0</Paragraphs>
  <TotalTime>5</TotalTime>
  <ScaleCrop>false</ScaleCrop>
  <LinksUpToDate>false</LinksUpToDate>
  <CharactersWithSpaces>2322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2022-05-01T07:52:00Z</dcterms:created>
  <dc:creator>13934293601</dc:creator>
  <cp:lastModifiedBy>WPS_1729521374</cp:lastModifiedBy>
  <cp:lastPrinted>2026-06-25T03:32:15Z</cp:lastPrinted>
  <dcterms:modified xsi:type="dcterms:W3CDTF">2026-06-25T03:32:22Z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28EE73B0A1D04F0DA82FDD006568940F_13</vt:lpwstr>
  </property>
  <property fmtid="{D5CDD505-2E9C-101B-9397-08002B2CF9AE}" pid="4" name="KSOTemplateDocerSaveRecord">
    <vt:lpwstr>eyJoZGlkIjoiNDZhNWE4ZGJhNzNhNzc0Y2I4ZjM3MjYyYWQyYTVlMmMiLCJ1c2VySWQiOiIxNjQ2OTk3MDQzIn0=</vt:lpwstr>
  </property>
</Properties>
</file>