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pStyle w:val="2"/>
        <w:rPr>
          <w:rFonts w:hint="eastAsia" w:ascii="黑体" w:hAnsi="黑体" w:eastAsia="黑体" w:cs="黑体"/>
          <w:b/>
          <w:bCs/>
          <w:sz w:val="44"/>
          <w:szCs w:val="44"/>
        </w:rPr>
      </w:pPr>
      <w:bookmarkStart w:id="0" w:name="_GoBack"/>
      <w:bookmarkEnd w:id="0"/>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pacing w:val="0"/>
          <w:w w:val="100"/>
          <w:sz w:val="44"/>
          <w:szCs w:val="44"/>
        </w:rPr>
      </w:pPr>
      <w:r>
        <w:rPr>
          <w:rFonts w:hint="eastAsia" w:ascii="黑体" w:hAnsi="黑体" w:eastAsia="黑体" w:cs="黑体"/>
          <w:b/>
          <w:bCs/>
          <w:spacing w:val="0"/>
          <w:w w:val="100"/>
          <w:sz w:val="44"/>
          <w:szCs w:val="44"/>
        </w:rPr>
        <w:t>芷江</w:t>
      </w:r>
      <w:r>
        <w:rPr>
          <w:rFonts w:hint="eastAsia" w:ascii="黑体" w:hAnsi="黑体" w:eastAsia="黑体" w:cs="黑体"/>
          <w:b/>
          <w:bCs/>
          <w:spacing w:val="0"/>
          <w:w w:val="100"/>
          <w:sz w:val="44"/>
          <w:szCs w:val="44"/>
          <w:lang w:val="en-US" w:eastAsia="zh-CN"/>
        </w:rPr>
        <w:t>侗族自治</w:t>
      </w:r>
      <w:r>
        <w:rPr>
          <w:rFonts w:hint="eastAsia" w:ascii="黑体" w:hAnsi="黑体" w:eastAsia="黑体" w:cs="黑体"/>
          <w:b/>
          <w:bCs/>
          <w:spacing w:val="0"/>
          <w:w w:val="100"/>
          <w:sz w:val="44"/>
          <w:szCs w:val="44"/>
        </w:rPr>
        <w:t>县发展和改革局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pacing w:val="0"/>
          <w:w w:val="100"/>
          <w:sz w:val="44"/>
          <w:szCs w:val="44"/>
        </w:rPr>
      </w:pPr>
      <w:r>
        <w:rPr>
          <w:rFonts w:hint="eastAsia" w:ascii="黑体" w:hAnsi="黑体" w:eastAsia="黑体" w:cs="黑体"/>
          <w:b/>
          <w:bCs/>
          <w:spacing w:val="0"/>
          <w:w w:val="100"/>
          <w:sz w:val="44"/>
          <w:szCs w:val="44"/>
        </w:rPr>
        <w:t>201</w:t>
      </w:r>
      <w:r>
        <w:rPr>
          <w:rFonts w:hint="eastAsia" w:ascii="黑体" w:hAnsi="黑体" w:eastAsia="黑体" w:cs="黑体"/>
          <w:b/>
          <w:bCs/>
          <w:spacing w:val="0"/>
          <w:w w:val="100"/>
          <w:sz w:val="44"/>
          <w:szCs w:val="44"/>
          <w:lang w:val="en-US" w:eastAsia="zh-CN"/>
        </w:rPr>
        <w:t>9</w:t>
      </w:r>
      <w:r>
        <w:rPr>
          <w:rFonts w:hint="eastAsia" w:ascii="黑体" w:hAnsi="黑体" w:eastAsia="黑体" w:cs="黑体"/>
          <w:b/>
          <w:bCs/>
          <w:spacing w:val="0"/>
          <w:w w:val="100"/>
          <w:sz w:val="44"/>
          <w:szCs w:val="44"/>
        </w:rPr>
        <w:t>年部门整体支出绩效自评报告</w:t>
      </w:r>
    </w:p>
    <w:p>
      <w:pPr>
        <w:keepNext w:val="0"/>
        <w:keepLines w:val="0"/>
        <w:pageBreakBefore w:val="0"/>
        <w:widowControl w:val="0"/>
        <w:kinsoku/>
        <w:wordWrap/>
        <w:overflowPunct/>
        <w:topLinePunct w:val="0"/>
        <w:autoSpaceDN/>
        <w:bidi w:val="0"/>
        <w:adjustRightInd/>
        <w:snapToGrid/>
        <w:spacing w:line="560" w:lineRule="exact"/>
        <w:ind w:firstLine="480" w:firstLineChars="15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pacing w:val="6"/>
          <w:sz w:val="32"/>
          <w:szCs w:val="32"/>
        </w:rPr>
        <w:t>县财政局《关于开展201</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年度财政资金绩效评价工作的通知》（芷财绩</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020</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1号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文件精神，我局对201</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年度部门整体支出绩效进行了全面综合评价。现将有关情况报告如下:</w:t>
      </w:r>
    </w:p>
    <w:p>
      <w:pPr>
        <w:pStyle w:val="9"/>
        <w:keepNext w:val="0"/>
        <w:keepLines w:val="0"/>
        <w:pageBreakBefore w:val="0"/>
        <w:widowControl w:val="0"/>
        <w:tabs>
          <w:tab w:val="left" w:pos="1470"/>
        </w:tabs>
        <w:kinsoku/>
        <w:wordWrap/>
        <w:overflowPunct/>
        <w:topLinePunct w:val="0"/>
        <w:autoSpaceDE/>
        <w:autoSpaceDN/>
        <w:bidi w:val="0"/>
        <w:adjustRightInd/>
        <w:snapToGrid/>
        <w:spacing w:line="540" w:lineRule="exact"/>
        <w:ind w:lef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pStyle w:val="9"/>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1、部门基本情况：芷江县发展和改革局在职人员4</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人,到龄退休</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人，提前退休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人。行政编制22人，事业编制24人。</w:t>
      </w:r>
    </w:p>
    <w:p>
      <w:pPr>
        <w:pStyle w:val="9"/>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2、主要职能：拟定并组织实施县国民经济和社会发展战略、中长期规划和年度计划，推进县乡产业结构调整和升级，研究分析县域经济和城镇化发展战略，承办县委、县政府交办的有关事项。</w:t>
      </w:r>
    </w:p>
    <w:p>
      <w:pPr>
        <w:pStyle w:val="9"/>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3、部门整体支出涉及范围：在职人员工资、局机关日常公用支出、项目资金</w:t>
      </w:r>
    </w:p>
    <w:p>
      <w:pPr>
        <w:pStyle w:val="9"/>
        <w:keepNext w:val="0"/>
        <w:keepLines w:val="0"/>
        <w:pageBreakBefore w:val="0"/>
        <w:widowControl w:val="0"/>
        <w:tabs>
          <w:tab w:val="left" w:pos="1470"/>
        </w:tabs>
        <w:kinsoku/>
        <w:wordWrap/>
        <w:overflowPunct/>
        <w:topLinePunct w:val="0"/>
        <w:autoSpaceDE/>
        <w:autoSpaceDN/>
        <w:bidi w:val="0"/>
        <w:adjustRightInd/>
        <w:snapToGrid/>
        <w:spacing w:line="540" w:lineRule="exact"/>
        <w:ind w:lef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年财政拨款收入：</w:t>
      </w:r>
      <w:r>
        <w:rPr>
          <w:rFonts w:hint="eastAsia" w:ascii="仿宋_GB2312" w:hAnsi="仿宋_GB2312" w:eastAsia="仿宋_GB2312" w:cs="仿宋_GB2312"/>
          <w:sz w:val="32"/>
          <w:szCs w:val="32"/>
          <w:lang w:val="en-US" w:eastAsia="zh-CN"/>
        </w:rPr>
        <w:t>8536298.48</w:t>
      </w:r>
      <w:r>
        <w:rPr>
          <w:rFonts w:hint="eastAsia" w:ascii="仿宋_GB2312" w:hAnsi="仿宋_GB2312" w:eastAsia="仿宋_GB2312" w:cs="仿宋_GB2312"/>
          <w:sz w:val="32"/>
          <w:szCs w:val="32"/>
        </w:rPr>
        <w:t>元。其中1、</w:t>
      </w:r>
      <w:r>
        <w:rPr>
          <w:rFonts w:hint="eastAsia" w:ascii="仿宋_GB2312" w:hAnsi="仿宋_GB2312" w:eastAsia="仿宋_GB2312" w:cs="仿宋_GB2312"/>
          <w:sz w:val="32"/>
          <w:szCs w:val="32"/>
          <w:lang w:eastAsia="zh-CN"/>
        </w:rPr>
        <w:t>一般公共服务预算财政拨款收入</w:t>
      </w:r>
      <w:r>
        <w:rPr>
          <w:rFonts w:hint="eastAsia" w:ascii="仿宋_GB2312" w:hAnsi="仿宋_GB2312" w:eastAsia="仿宋_GB2312" w:cs="仿宋_GB2312"/>
          <w:sz w:val="32"/>
          <w:szCs w:val="32"/>
          <w:lang w:val="en-US" w:eastAsia="zh-CN"/>
        </w:rPr>
        <w:t>8446298.48</w:t>
      </w:r>
      <w:r>
        <w:rPr>
          <w:rFonts w:hint="eastAsia" w:ascii="仿宋_GB2312" w:hAnsi="仿宋_GB2312" w:eastAsia="仿宋_GB2312" w:cs="仿宋_GB2312"/>
          <w:sz w:val="32"/>
          <w:szCs w:val="32"/>
        </w:rPr>
        <w:t>元，2、</w:t>
      </w:r>
      <w:r>
        <w:rPr>
          <w:rFonts w:hint="eastAsia" w:ascii="仿宋_GB2312" w:hAnsi="仿宋_GB2312" w:eastAsia="仿宋_GB2312" w:cs="仿宋_GB2312"/>
          <w:sz w:val="32"/>
          <w:szCs w:val="32"/>
          <w:lang w:eastAsia="zh-CN"/>
        </w:rPr>
        <w:t>政府性基金预算财政拨款收入</w:t>
      </w:r>
      <w:r>
        <w:rPr>
          <w:rFonts w:hint="eastAsia" w:ascii="仿宋_GB2312" w:hAnsi="仿宋_GB2312" w:eastAsia="仿宋_GB2312" w:cs="仿宋_GB2312"/>
          <w:sz w:val="32"/>
          <w:szCs w:val="32"/>
          <w:lang w:val="en-US" w:eastAsia="zh-CN"/>
        </w:rPr>
        <w:t>7万</w:t>
      </w:r>
      <w:r>
        <w:rPr>
          <w:rFonts w:hint="eastAsia" w:ascii="仿宋_GB2312" w:hAnsi="仿宋_GB2312" w:eastAsia="仿宋_GB2312" w:cs="仿宋_GB2312"/>
          <w:sz w:val="32"/>
          <w:szCs w:val="32"/>
        </w:rPr>
        <w:t>元，3、</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20000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年财政安排我局年初预算</w:t>
      </w:r>
      <w:r>
        <w:rPr>
          <w:rFonts w:hint="eastAsia" w:ascii="仿宋_GB2312" w:hAnsi="仿宋_GB2312" w:eastAsia="仿宋_GB2312" w:cs="仿宋_GB2312"/>
          <w:sz w:val="32"/>
          <w:szCs w:val="32"/>
          <w:lang w:val="en-US" w:eastAsia="zh-CN"/>
        </w:rPr>
        <w:t>538.14</w:t>
      </w:r>
      <w:r>
        <w:rPr>
          <w:rFonts w:hint="eastAsia" w:ascii="仿宋_GB2312" w:hAnsi="仿宋_GB2312" w:eastAsia="仿宋_GB2312" w:cs="仿宋_GB2312"/>
          <w:sz w:val="32"/>
          <w:szCs w:val="32"/>
        </w:rPr>
        <w:t>万元，其中（1）人员经费</w:t>
      </w:r>
      <w:r>
        <w:rPr>
          <w:rFonts w:hint="eastAsia" w:ascii="仿宋_GB2312" w:hAnsi="仿宋_GB2312" w:eastAsia="仿宋_GB2312" w:cs="仿宋_GB2312"/>
          <w:sz w:val="32"/>
          <w:szCs w:val="32"/>
          <w:lang w:val="en-US" w:eastAsia="zh-CN"/>
        </w:rPr>
        <w:t>367.33</w:t>
      </w:r>
      <w:r>
        <w:rPr>
          <w:rFonts w:hint="eastAsia" w:ascii="仿宋_GB2312" w:hAnsi="仿宋_GB2312" w:eastAsia="仿宋_GB2312" w:cs="仿宋_GB2312"/>
          <w:sz w:val="32"/>
          <w:szCs w:val="32"/>
        </w:rPr>
        <w:t>万元、（2）公用经费</w:t>
      </w:r>
      <w:r>
        <w:rPr>
          <w:rFonts w:hint="eastAsia" w:ascii="仿宋_GB2312" w:hAnsi="仿宋_GB2312" w:eastAsia="仿宋_GB2312" w:cs="仿宋_GB2312"/>
          <w:sz w:val="32"/>
          <w:szCs w:val="32"/>
          <w:lang w:val="en-US" w:eastAsia="zh-CN"/>
        </w:rPr>
        <w:t>70.20</w:t>
      </w:r>
      <w:r>
        <w:rPr>
          <w:rFonts w:hint="eastAsia" w:ascii="仿宋_GB2312" w:hAnsi="仿宋_GB2312" w:eastAsia="仿宋_GB2312" w:cs="仿宋_GB2312"/>
          <w:sz w:val="32"/>
          <w:szCs w:val="32"/>
        </w:rPr>
        <w:t>万元、（3）政府办证大厅业务费7万元、（4）优化经济环境专项经费30万元、（5）</w:t>
      </w:r>
      <w:r>
        <w:rPr>
          <w:rFonts w:hint="eastAsia" w:ascii="仿宋_GB2312" w:hAnsi="仿宋_GB2312" w:eastAsia="仿宋_GB2312" w:cs="仿宋_GB2312"/>
          <w:sz w:val="32"/>
          <w:szCs w:val="32"/>
          <w:lang w:eastAsia="zh-CN"/>
        </w:rPr>
        <w:t>政府投资概算经费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）遗属补助</w:t>
      </w:r>
      <w:r>
        <w:rPr>
          <w:rFonts w:hint="eastAsia" w:ascii="仿宋_GB2312" w:hAnsi="仿宋_GB2312" w:eastAsia="仿宋_GB2312" w:cs="仿宋_GB2312"/>
          <w:sz w:val="32"/>
          <w:szCs w:val="32"/>
          <w:lang w:val="en-US" w:eastAsia="zh-CN"/>
        </w:rPr>
        <w:t>0.8万元、（7）五险一金32.82万元</w:t>
      </w:r>
    </w:p>
    <w:p>
      <w:pPr>
        <w:pStyle w:val="9"/>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（二）基本支出：</w:t>
      </w:r>
      <w:r>
        <w:rPr>
          <w:rFonts w:hint="eastAsia" w:ascii="仿宋_GB2312" w:hAnsi="仿宋_GB2312" w:eastAsia="仿宋_GB2312" w:cs="仿宋_GB2312"/>
          <w:sz w:val="32"/>
          <w:szCs w:val="32"/>
          <w:lang w:val="en-US" w:eastAsia="zh-CN"/>
        </w:rPr>
        <w:t>8536298.48</w:t>
      </w:r>
      <w:r>
        <w:rPr>
          <w:rFonts w:hint="eastAsia" w:ascii="仿宋_GB2312" w:hAnsi="仿宋_GB2312" w:eastAsia="仿宋_GB2312" w:cs="仿宋_GB2312"/>
          <w:sz w:val="32"/>
          <w:szCs w:val="32"/>
        </w:rPr>
        <w:t>元，其中工资及福利支出</w:t>
      </w:r>
      <w:r>
        <w:rPr>
          <w:rFonts w:hint="eastAsia" w:ascii="仿宋_GB2312" w:hAnsi="仿宋_GB2312" w:eastAsia="仿宋_GB2312" w:cs="仿宋_GB2312"/>
          <w:sz w:val="32"/>
          <w:szCs w:val="32"/>
          <w:lang w:val="en-US" w:eastAsia="zh-CN"/>
        </w:rPr>
        <w:t>5333293.98</w:t>
      </w:r>
      <w:r>
        <w:rPr>
          <w:rFonts w:hint="eastAsia" w:ascii="仿宋_GB2312" w:hAnsi="仿宋_GB2312" w:eastAsia="仿宋_GB2312" w:cs="仿宋_GB2312"/>
          <w:sz w:val="32"/>
          <w:szCs w:val="32"/>
        </w:rPr>
        <w:t>元、商品和服务支出</w:t>
      </w:r>
      <w:r>
        <w:rPr>
          <w:rFonts w:hint="eastAsia" w:ascii="仿宋_GB2312" w:hAnsi="仿宋_GB2312" w:eastAsia="仿宋_GB2312" w:cs="仿宋_GB2312"/>
          <w:sz w:val="32"/>
          <w:szCs w:val="32"/>
          <w:lang w:val="en-US" w:eastAsia="zh-CN"/>
        </w:rPr>
        <w:t>1811573.5</w:t>
      </w:r>
      <w:r>
        <w:rPr>
          <w:rFonts w:hint="eastAsia" w:ascii="仿宋_GB2312" w:hAnsi="仿宋_GB2312" w:eastAsia="仿宋_GB2312" w:cs="仿宋_GB2312"/>
          <w:sz w:val="32"/>
          <w:szCs w:val="32"/>
        </w:rPr>
        <w:t>元、对个人及家庭的补助</w:t>
      </w:r>
      <w:r>
        <w:rPr>
          <w:rFonts w:hint="eastAsia" w:ascii="仿宋_GB2312" w:hAnsi="仿宋_GB2312" w:eastAsia="仿宋_GB2312" w:cs="仿宋_GB2312"/>
          <w:sz w:val="32"/>
          <w:szCs w:val="32"/>
          <w:lang w:val="en-US" w:eastAsia="zh-CN"/>
        </w:rPr>
        <w:t>1220127</w:t>
      </w:r>
      <w:r>
        <w:rPr>
          <w:rFonts w:hint="eastAsia" w:ascii="仿宋_GB2312" w:hAnsi="仿宋_GB2312" w:eastAsia="仿宋_GB2312" w:cs="仿宋_GB2312"/>
          <w:sz w:val="32"/>
          <w:szCs w:val="32"/>
        </w:rPr>
        <w:t>元、其他资本性支出</w:t>
      </w:r>
      <w:r>
        <w:rPr>
          <w:rFonts w:hint="eastAsia" w:ascii="仿宋_GB2312" w:hAnsi="仿宋_GB2312" w:eastAsia="仿宋_GB2312" w:cs="仿宋_GB2312"/>
          <w:sz w:val="32"/>
          <w:szCs w:val="32"/>
          <w:lang w:val="en-US" w:eastAsia="zh-CN"/>
        </w:rPr>
        <w:t>51304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、对企业补助</w:t>
      </w:r>
      <w:r>
        <w:rPr>
          <w:rFonts w:hint="eastAsia" w:ascii="仿宋_GB2312" w:hAnsi="仿宋_GB2312" w:eastAsia="仿宋_GB2312" w:cs="仿宋_GB2312"/>
          <w:sz w:val="32"/>
          <w:szCs w:val="32"/>
          <w:lang w:val="en-US" w:eastAsia="zh-CN"/>
        </w:rPr>
        <w:t>120000元。</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（三）项目支出：</w:t>
      </w:r>
      <w:r>
        <w:rPr>
          <w:rFonts w:hint="eastAsia" w:ascii="仿宋_GB2312" w:hAnsi="仿宋_GB2312" w:eastAsia="仿宋_GB2312" w:cs="仿宋_GB2312"/>
          <w:sz w:val="32"/>
          <w:szCs w:val="32"/>
          <w:lang w:val="en-US" w:eastAsia="zh-CN"/>
        </w:rPr>
        <w:t>2019年无项目支出数。</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（四）会议费支出情况：本年无会议费用发生，</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（五）培训费支出情况：201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年培训费支出</w:t>
      </w:r>
      <w:r>
        <w:rPr>
          <w:rFonts w:hint="eastAsia" w:ascii="仿宋_GB2312" w:hAnsi="仿宋_GB2312" w:eastAsia="仿宋_GB2312" w:cs="仿宋_GB2312"/>
          <w:sz w:val="32"/>
          <w:szCs w:val="32"/>
          <w:lang w:val="en-US" w:eastAsia="zh-CN"/>
        </w:rPr>
        <w:t>53640</w:t>
      </w:r>
      <w:r>
        <w:rPr>
          <w:rFonts w:hint="eastAsia" w:ascii="仿宋_GB2312" w:hAnsi="仿宋_GB2312" w:eastAsia="仿宋_GB2312" w:cs="仿宋_GB2312"/>
          <w:sz w:val="32"/>
          <w:szCs w:val="32"/>
        </w:rPr>
        <w:t>元，同比上年</w:t>
      </w:r>
      <w:r>
        <w:rPr>
          <w:rFonts w:hint="eastAsia" w:ascii="仿宋_GB2312" w:hAnsi="仿宋_GB2312" w:eastAsia="仿宋_GB2312" w:cs="仿宋_GB2312"/>
          <w:sz w:val="32"/>
          <w:szCs w:val="32"/>
          <w:lang w:val="en-US" w:eastAsia="zh-CN"/>
        </w:rPr>
        <w:t>43547</w:t>
      </w:r>
      <w:r>
        <w:rPr>
          <w:rFonts w:hint="eastAsia" w:ascii="仿宋_GB2312" w:hAnsi="仿宋_GB2312" w:eastAsia="仿宋_GB2312" w:cs="仿宋_GB2312"/>
          <w:sz w:val="32"/>
          <w:szCs w:val="32"/>
        </w:rPr>
        <w:t>元增加</w:t>
      </w:r>
      <w:r>
        <w:rPr>
          <w:rFonts w:hint="eastAsia" w:ascii="仿宋_GB2312" w:hAnsi="仿宋_GB2312" w:eastAsia="仿宋_GB2312" w:cs="仿宋_GB2312"/>
          <w:sz w:val="32"/>
          <w:szCs w:val="32"/>
          <w:lang w:val="en-US" w:eastAsia="zh-CN"/>
        </w:rPr>
        <w:t>10093</w:t>
      </w:r>
      <w:r>
        <w:rPr>
          <w:rFonts w:hint="eastAsia" w:ascii="仿宋_GB2312" w:hAnsi="仿宋_GB2312" w:eastAsia="仿宋_GB2312" w:cs="仿宋_GB2312"/>
          <w:sz w:val="32"/>
          <w:szCs w:val="32"/>
        </w:rPr>
        <w:t>元，主要原因是上级培训业务增多。</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（六）楼堂倌所控制情况：201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年无楼堂倌所建设。</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年公务接待费全年财政控制数30万元，实际支出</w:t>
      </w:r>
      <w:r>
        <w:rPr>
          <w:rFonts w:hint="eastAsia" w:ascii="仿宋_GB2312" w:hAnsi="仿宋_GB2312" w:eastAsia="仿宋_GB2312" w:cs="仿宋_GB2312"/>
          <w:sz w:val="32"/>
          <w:szCs w:val="32"/>
          <w:lang w:val="en-US" w:eastAsia="zh-CN"/>
        </w:rPr>
        <w:t>16681</w:t>
      </w:r>
      <w:r>
        <w:rPr>
          <w:rFonts w:hint="eastAsia" w:ascii="仿宋_GB2312" w:hAnsi="仿宋_GB2312" w:eastAsia="仿宋_GB2312" w:cs="仿宋_GB2312"/>
          <w:sz w:val="32"/>
          <w:szCs w:val="32"/>
        </w:rPr>
        <w:t>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年同期</w:t>
      </w:r>
      <w:r>
        <w:rPr>
          <w:rFonts w:hint="eastAsia" w:ascii="仿宋_GB2312" w:hAnsi="仿宋_GB2312" w:eastAsia="仿宋_GB2312" w:cs="仿宋_GB2312"/>
          <w:sz w:val="32"/>
          <w:szCs w:val="32"/>
          <w:lang w:val="en-US" w:eastAsia="zh-CN"/>
        </w:rPr>
        <w:t>31819</w:t>
      </w:r>
      <w:r>
        <w:rPr>
          <w:rFonts w:hint="eastAsia" w:ascii="仿宋_GB2312" w:hAnsi="仿宋_GB2312" w:eastAsia="仿宋_GB2312" w:cs="仿宋_GB2312"/>
          <w:sz w:val="32"/>
          <w:szCs w:val="32"/>
        </w:rPr>
        <w:t>元相比减少</w:t>
      </w:r>
      <w:r>
        <w:rPr>
          <w:rFonts w:hint="eastAsia" w:ascii="仿宋_GB2312" w:hAnsi="仿宋_GB2312" w:eastAsia="仿宋_GB2312" w:cs="仿宋_GB2312"/>
          <w:sz w:val="32"/>
          <w:szCs w:val="32"/>
          <w:lang w:val="en-US" w:eastAsia="zh-CN"/>
        </w:rPr>
        <w:t>15138元，减少5</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。主要做法：严格一把手审批，降低接待标准，不是硬性接待的一律不予接待。</w:t>
      </w:r>
      <w:r>
        <w:rPr>
          <w:rFonts w:hint="eastAsia" w:ascii="仿宋_GB2312" w:hAnsi="仿宋_GB2312" w:eastAsia="仿宋_GB2312" w:cs="仿宋_GB2312"/>
          <w:sz w:val="32"/>
          <w:szCs w:val="32"/>
        </w:rPr>
        <w:t>公务用车运行维护费全年财政控制数1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118120</w:t>
      </w:r>
      <w:r>
        <w:rPr>
          <w:rFonts w:hint="eastAsia" w:ascii="仿宋_GB2312" w:hAnsi="仿宋_GB2312" w:eastAsia="仿宋_GB2312" w:cs="仿宋_GB2312"/>
          <w:sz w:val="32"/>
          <w:szCs w:val="32"/>
        </w:rPr>
        <w:t>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年同期相比增加</w:t>
      </w:r>
      <w:r>
        <w:rPr>
          <w:rFonts w:hint="eastAsia" w:ascii="仿宋_GB2312" w:hAnsi="仿宋_GB2312" w:eastAsia="仿宋_GB2312" w:cs="仿宋_GB2312"/>
          <w:sz w:val="32"/>
          <w:szCs w:val="32"/>
          <w:lang w:val="en-US" w:eastAsia="zh-CN"/>
        </w:rPr>
        <w:t>6250元，增加10.5</w:t>
      </w:r>
      <w:r>
        <w:rPr>
          <w:rFonts w:hint="eastAsia" w:ascii="仿宋_GB2312" w:hAnsi="仿宋_GB2312" w:eastAsia="仿宋_GB2312" w:cs="仿宋_GB2312"/>
          <w:sz w:val="32"/>
          <w:szCs w:val="32"/>
        </w:rPr>
        <w:t>%。主要是公车进行了改革，我单位未留车辆，费用是201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年未结账的扶贫工作租车费用。三公经费开支严格按照相关规定进行把关。</w:t>
      </w:r>
    </w:p>
    <w:p>
      <w:pPr>
        <w:pStyle w:val="9"/>
        <w:keepNext w:val="0"/>
        <w:keepLines w:val="0"/>
        <w:pageBreakBefore w:val="0"/>
        <w:widowControl w:val="0"/>
        <w:tabs>
          <w:tab w:val="left" w:pos="1470"/>
        </w:tabs>
        <w:kinsoku/>
        <w:wordWrap/>
        <w:overflowPunct/>
        <w:topLinePunct w:val="0"/>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三、资产管理情况</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年固定资产总额为</w:t>
      </w:r>
      <w:r>
        <w:rPr>
          <w:rFonts w:hint="eastAsia" w:ascii="仿宋_GB2312" w:hAnsi="仿宋_GB2312" w:eastAsia="仿宋_GB2312" w:cs="仿宋_GB2312"/>
          <w:sz w:val="32"/>
          <w:szCs w:val="32"/>
          <w:lang w:val="en-US" w:eastAsia="zh-CN"/>
        </w:rPr>
        <w:t>421096.52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无单位资产</w:t>
      </w:r>
      <w:r>
        <w:rPr>
          <w:rFonts w:hint="eastAsia" w:ascii="仿宋_GB2312" w:hAnsi="仿宋_GB2312" w:eastAsia="仿宋_GB2312" w:cs="仿宋_GB2312"/>
          <w:sz w:val="32"/>
          <w:szCs w:val="32"/>
          <w:lang w:val="en-US" w:eastAsia="zh-CN"/>
        </w:rPr>
        <w:t>50万元以上的专用设备。</w:t>
      </w:r>
      <w:r>
        <w:rPr>
          <w:rFonts w:hint="eastAsia" w:ascii="仿宋_GB2312" w:hAnsi="仿宋_GB2312" w:eastAsia="仿宋_GB2312" w:cs="仿宋_GB2312"/>
          <w:sz w:val="32"/>
          <w:szCs w:val="32"/>
        </w:rPr>
        <w:t>我局对单位确实需要采购的办公用品经局长审批同意后由局办公室负责采购。在采购过程中必须在财政局规定的采购点进行采购。对资产的处置按照财政有关规定处置程序进行处置。</w:t>
      </w:r>
    </w:p>
    <w:p>
      <w:pPr>
        <w:pStyle w:val="9"/>
        <w:keepNext w:val="0"/>
        <w:keepLines w:val="0"/>
        <w:pageBreakBefore w:val="0"/>
        <w:widowControl w:val="0"/>
        <w:tabs>
          <w:tab w:val="left" w:pos="1470"/>
        </w:tabs>
        <w:kinsoku/>
        <w:wordWrap/>
        <w:overflowPunct/>
        <w:topLinePunct w:val="0"/>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四、部门整体支出绩效情况</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部门整体支出绩效通过自评打分为97分，主要体现在以下工作方面：</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201</w:t>
      </w: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年国民经济和社会发展计划执行情况</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错综复杂的经济形势，我县坚持以习近平新时代中国特色社会主义思想为指导，坚决落实省委、省政府和市委市政府决策部署，在县委的坚强领导和县人大、县政协的监督支持下，经济社会发展保持了总体平稳、稳中有进、稳中向好的态势，较好地完成了县八届人大三次会议确定的各项目标任务。</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)主要经济指标完成情况</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实现地区生产总值</w:t>
      </w:r>
      <w:r>
        <w:rPr>
          <w:rFonts w:hint="eastAsia" w:ascii="仿宋_GB2312" w:hAnsi="仿宋_GB2312" w:eastAsia="仿宋_GB2312" w:cs="仿宋_GB2312"/>
          <w:spacing w:val="3"/>
          <w:sz w:val="32"/>
          <w:szCs w:val="32"/>
        </w:rPr>
        <w:t>101.59</w:t>
      </w:r>
      <w:r>
        <w:rPr>
          <w:rFonts w:hint="eastAsia" w:ascii="仿宋_GB2312" w:hAnsi="仿宋_GB2312" w:eastAsia="仿宋_GB2312" w:cs="仿宋_GB2312"/>
          <w:sz w:val="32"/>
          <w:szCs w:val="32"/>
        </w:rPr>
        <w:t>亿元，增长8.5%；全社会固定资产投资完成72.19亿元，增长10.5%；实现规模工业增加值24.18亿元，增长8.3%；社会消费品零售总额完成51.06亿元，增长10.7%；一般公共预算收入完成8.21亿元，增长12.41%；城镇居民人均可支配收入26246元，增长8.7%；农村居民人均可支配收入9954元，增长10.8%。</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)主要运行特点</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1、农业供给侧结构性改革深入推进。一是优化粮油种植结构。</w:t>
      </w:r>
      <w:r>
        <w:rPr>
          <w:rFonts w:hint="eastAsia" w:ascii="仿宋_GB2312" w:hAnsi="仿宋_GB2312" w:eastAsia="仿宋_GB2312" w:cs="仿宋_GB2312"/>
          <w:sz w:val="32"/>
          <w:szCs w:val="32"/>
        </w:rPr>
        <w:t>粮食作物播面51.8万亩，增长7.3%；油料作物16.97万亩，增长4.4%。</w:t>
      </w:r>
      <w:r>
        <w:rPr>
          <w:rFonts w:hint="eastAsia" w:ascii="仿宋_GB2312" w:hAnsi="仿宋_GB2312" w:eastAsia="仿宋_GB2312" w:cs="仿宋_GB2312"/>
          <w:b/>
          <w:bCs/>
          <w:sz w:val="32"/>
          <w:szCs w:val="32"/>
        </w:rPr>
        <w:t>二是优化</w:t>
      </w:r>
      <w:r>
        <w:rPr>
          <w:rFonts w:hint="eastAsia" w:ascii="仿宋_GB2312" w:hAnsi="仿宋_GB2312" w:eastAsia="仿宋_GB2312" w:cs="仿宋_GB2312"/>
          <w:b/>
          <w:sz w:val="32"/>
          <w:szCs w:val="32"/>
        </w:rPr>
        <w:t>经作产业发展。</w:t>
      </w:r>
      <w:r>
        <w:rPr>
          <w:rFonts w:hint="eastAsia" w:ascii="仿宋_GB2312" w:hAnsi="仿宋_GB2312" w:eastAsia="仿宋_GB2312" w:cs="仿宋_GB2312"/>
          <w:sz w:val="32"/>
          <w:szCs w:val="32"/>
        </w:rPr>
        <w:t>烟叶生产7224亩，下降3.34%；中药材3048亩，增长1.6%；蔬菜播面13.17万亩，增长8.83%；水果种植面积26.65万亩，下降0.6%。</w:t>
      </w:r>
      <w:r>
        <w:rPr>
          <w:rFonts w:hint="eastAsia" w:ascii="仿宋_GB2312" w:hAnsi="仿宋_GB2312" w:eastAsia="仿宋_GB2312" w:cs="仿宋_GB2312"/>
          <w:b/>
          <w:bCs/>
          <w:sz w:val="32"/>
          <w:szCs w:val="32"/>
        </w:rPr>
        <w:t>三是优化传统畜禽养殖。</w:t>
      </w:r>
      <w:r>
        <w:rPr>
          <w:rFonts w:hint="eastAsia" w:ascii="仿宋_GB2312" w:hAnsi="仿宋_GB2312" w:eastAsia="仿宋_GB2312" w:cs="仿宋_GB2312"/>
          <w:sz w:val="32"/>
          <w:szCs w:val="32"/>
        </w:rPr>
        <w:t>受非洲猪瘟影响，全年生猪出栏32.51万头，下降20.8%；家禽出笼802万羽，增长1%；全县水产放养面积3.25万亩，水产品产量9412吨。</w:t>
      </w:r>
      <w:r>
        <w:rPr>
          <w:rFonts w:hint="eastAsia" w:ascii="仿宋_GB2312" w:hAnsi="仿宋_GB2312" w:eastAsia="仿宋_GB2312" w:cs="仿宋_GB2312"/>
          <w:b/>
          <w:bCs/>
          <w:sz w:val="32"/>
          <w:szCs w:val="32"/>
        </w:rPr>
        <w:t>四是优化生产经营模式。</w:t>
      </w:r>
      <w:r>
        <w:rPr>
          <w:rFonts w:hint="eastAsia" w:ascii="仿宋_GB2312" w:hAnsi="仿宋_GB2312" w:eastAsia="仿宋_GB2312" w:cs="仿宋_GB2312"/>
          <w:sz w:val="32"/>
          <w:szCs w:val="32"/>
        </w:rPr>
        <w:t>依托特色产业，积极引导各类农产品加工企业以“企业+基地+农户”产业化经营模式建立农产品原料加工基地，支持农业企业做大做强。</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2、制造业转型升级步伐加快。一是承接产业转移成效初现，工业经济回暖明显。</w:t>
      </w:r>
      <w:r>
        <w:rPr>
          <w:rFonts w:hint="eastAsia" w:ascii="仿宋_GB2312" w:hAnsi="仿宋_GB2312" w:eastAsia="仿宋_GB2312" w:cs="仿宋_GB2312"/>
          <w:sz w:val="32"/>
          <w:szCs w:val="32"/>
        </w:rPr>
        <w:t>抢抓湘西湘南承接产业转移有力契机，大力推进产业及产业园区三年提升行动，县工业集中区获批全省“双创示范基地”，华晨电子获批省级企业技术中心，与台湾年程科技达成合作协议，积成半导体、华兴油业建成投产，信昌工程机械投入运营，实现技工贸收入30亿元，增长30%以上。</w:t>
      </w:r>
      <w:r>
        <w:rPr>
          <w:rFonts w:hint="eastAsia" w:ascii="仿宋_GB2312" w:hAnsi="仿宋_GB2312" w:eastAsia="仿宋_GB2312" w:cs="仿宋_GB2312"/>
          <w:b/>
          <w:bCs/>
          <w:sz w:val="32"/>
          <w:szCs w:val="32"/>
        </w:rPr>
        <w:t>二是培育高新技术企业，促进产业发展。</w:t>
      </w:r>
      <w:r>
        <w:rPr>
          <w:rFonts w:hint="eastAsia" w:ascii="仿宋_GB2312" w:hAnsi="仿宋_GB2312" w:eastAsia="仿宋_GB2312" w:cs="仿宋_GB2312"/>
          <w:color w:val="000000"/>
          <w:sz w:val="32"/>
          <w:szCs w:val="32"/>
        </w:rPr>
        <w:t>大力培育华晨电子、和平光电、杨家将油业等高新技术企业，引领全县高新技术产业发展。</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color w:val="000000"/>
          <w:sz w:val="32"/>
          <w:szCs w:val="32"/>
        </w:rPr>
        <w:t>深化产学研合作，加强创新平台建设</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rPr>
        <w:t>帮助支持企业引进人才，加强企业技术研究中心、科技特派员工作站等研发平台建设，提高企业产学研合作能力。</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3、服务业高质量发展扎实推进。一是电子商务快速发展。</w:t>
      </w:r>
      <w:r>
        <w:rPr>
          <w:rFonts w:hint="eastAsia" w:ascii="仿宋_GB2312" w:hAnsi="仿宋_GB2312" w:eastAsia="仿宋_GB2312" w:cs="仿宋_GB2312"/>
          <w:sz w:val="32"/>
          <w:szCs w:val="32"/>
        </w:rPr>
        <w:t>电商物流服务实现乡镇全覆盖，培育电商主体110家，电商交易突破9千万元；建成阿里巴巴农村淘宝村级服务站38家，完成电商人员培训500余人次。二</w:t>
      </w:r>
      <w:r>
        <w:rPr>
          <w:rFonts w:hint="eastAsia" w:ascii="仿宋_GB2312" w:hAnsi="仿宋_GB2312" w:eastAsia="仿宋_GB2312" w:cs="仿宋_GB2312"/>
          <w:b/>
          <w:bCs/>
          <w:sz w:val="32"/>
          <w:szCs w:val="32"/>
        </w:rPr>
        <w:t>是着力推进全域旅游。</w:t>
      </w:r>
      <w:r>
        <w:rPr>
          <w:rFonts w:hint="eastAsia" w:ascii="仿宋_GB2312" w:hAnsi="仿宋_GB2312" w:eastAsia="仿宋_GB2312" w:cs="仿宋_GB2312"/>
          <w:sz w:val="32"/>
          <w:szCs w:val="32"/>
        </w:rPr>
        <w:t>印发《</w:t>
      </w:r>
      <w:r>
        <w:rPr>
          <w:rFonts w:hint="eastAsia" w:ascii="仿宋_GB2312" w:hAnsi="仿宋_GB2312" w:eastAsia="仿宋_GB2312" w:cs="仿宋_GB2312"/>
          <w:bCs/>
          <w:sz w:val="32"/>
          <w:szCs w:val="32"/>
        </w:rPr>
        <w:t>芷江侗族自治县文化生态旅游产业发展三年行动方案(2019—2021年)</w:t>
      </w:r>
      <w:r>
        <w:rPr>
          <w:rFonts w:hint="eastAsia" w:ascii="仿宋_GB2312" w:hAnsi="仿宋_GB2312" w:eastAsia="仿宋_GB2312" w:cs="仿宋_GB2312"/>
          <w:sz w:val="32"/>
          <w:szCs w:val="32"/>
        </w:rPr>
        <w:t>》，完成飞虎队纪念馆、湖南抗日战争纪念馆、五郎溪林场森林资源等10处国有资源资产的评估归集工作，全年</w:t>
      </w:r>
      <w:r>
        <w:rPr>
          <w:rFonts w:hint="eastAsia" w:ascii="仿宋_GB2312" w:hAnsi="仿宋_GB2312" w:eastAsia="仿宋_GB2312" w:cs="仿宋_GB2312"/>
          <w:kern w:val="0"/>
          <w:sz w:val="32"/>
          <w:szCs w:val="32"/>
        </w:rPr>
        <w:t>旅游经济继续保持增长态势，</w:t>
      </w:r>
      <w:r>
        <w:rPr>
          <w:rFonts w:hint="eastAsia" w:ascii="仿宋_GB2312" w:hAnsi="仿宋_GB2312" w:eastAsia="仿宋_GB2312" w:cs="仿宋_GB2312"/>
          <w:sz w:val="32"/>
          <w:szCs w:val="32"/>
        </w:rPr>
        <w:t>接待游客570万人次、旅游总收入27.8亿元，分别增长5%、5.3%。</w:t>
      </w:r>
      <w:r>
        <w:rPr>
          <w:rFonts w:hint="eastAsia" w:ascii="仿宋_GB2312" w:hAnsi="仿宋_GB2312" w:eastAsia="仿宋_GB2312" w:cs="仿宋_GB2312"/>
          <w:b/>
          <w:sz w:val="32"/>
          <w:szCs w:val="32"/>
        </w:rPr>
        <w:t>三</w:t>
      </w:r>
      <w:r>
        <w:rPr>
          <w:rFonts w:hint="eastAsia" w:ascii="仿宋_GB2312" w:hAnsi="仿宋_GB2312" w:eastAsia="仿宋_GB2312" w:cs="仿宋_GB2312"/>
          <w:b/>
          <w:bCs/>
          <w:sz w:val="32"/>
          <w:szCs w:val="32"/>
        </w:rPr>
        <w:t>是着力改善城市面貌。</w:t>
      </w:r>
      <w:r>
        <w:rPr>
          <w:rFonts w:hint="eastAsia" w:ascii="仿宋_GB2312" w:hAnsi="仿宋_GB2312" w:eastAsia="仿宋_GB2312" w:cs="仿宋_GB2312"/>
          <w:sz w:val="32"/>
          <w:szCs w:val="32"/>
        </w:rPr>
        <w:t>启动“多规合一”村镇规划编制，完成国土空间规划编制“双评价”工作；改造城市道路7条、老旧小区7个，新增楼盘24.1万平米、商品房销售3754套总面积44.61万平米；城市燃气管道项目启动建设，自来水二厂、污水处理二厂建设步伐加快。</w:t>
      </w:r>
      <w:r>
        <w:rPr>
          <w:rFonts w:hint="eastAsia" w:ascii="仿宋_GB2312" w:hAnsi="仿宋_GB2312" w:eastAsia="仿宋_GB2312" w:cs="仿宋_GB2312"/>
          <w:b/>
          <w:bCs/>
          <w:sz w:val="32"/>
          <w:szCs w:val="32"/>
        </w:rPr>
        <w:t>四是着力优化金融生态环境。</w:t>
      </w:r>
      <w:r>
        <w:rPr>
          <w:rFonts w:hint="eastAsia" w:ascii="仿宋_GB2312" w:hAnsi="仿宋_GB2312" w:eastAsia="仿宋_GB2312" w:cs="仿宋_GB2312"/>
          <w:sz w:val="32"/>
          <w:szCs w:val="32"/>
        </w:rPr>
        <w:t>加强货币信贷政策传导，确保稳健货币政策有效落实并取得实效，全县金融机构各项存款余额123.16亿元，增长6.34%；各项贷款余额67.43亿元，增长31.34%，有力地支持了县域经济发展。</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4、争资争项稳步推进成效显著。一是项目建设重点推进。</w:t>
      </w:r>
      <w:r>
        <w:rPr>
          <w:rFonts w:hint="eastAsia" w:ascii="仿宋_GB2312" w:hAnsi="仿宋_GB2312" w:eastAsia="仿宋_GB2312" w:cs="仿宋_GB2312"/>
          <w:sz w:val="32"/>
          <w:szCs w:val="32"/>
        </w:rPr>
        <w:t>18个市级项目全部开工，完成投资22.12亿元。</w:t>
      </w:r>
      <w:r>
        <w:rPr>
          <w:rFonts w:hint="eastAsia" w:ascii="仿宋_GB2312" w:hAnsi="仿宋_GB2312" w:eastAsia="仿宋_GB2312" w:cs="仿宋_GB2312"/>
          <w:b/>
          <w:bCs/>
          <w:sz w:val="32"/>
          <w:szCs w:val="32"/>
        </w:rPr>
        <w:t>二是争资争项效果显著。</w:t>
      </w:r>
      <w:r>
        <w:rPr>
          <w:rFonts w:hint="eastAsia" w:ascii="仿宋_GB2312" w:hAnsi="仿宋_GB2312" w:eastAsia="仿宋_GB2312" w:cs="仿宋_GB2312"/>
          <w:sz w:val="32"/>
          <w:szCs w:val="32"/>
        </w:rPr>
        <w:t>在省、市大力支持下，我县沅州新能源污水处理厂、三道坑景区游服中心及基础设施建设等24个项目获得上级支持，沅州新能源自来水二厂等6个项目获批发行地方政府专项债券，这些资金的注入有效地缓解了我县项目建设资金压力。</w:t>
      </w:r>
      <w:r>
        <w:rPr>
          <w:rFonts w:hint="eastAsia" w:ascii="仿宋_GB2312" w:hAnsi="仿宋_GB2312" w:eastAsia="仿宋_GB2312" w:cs="仿宋_GB2312"/>
          <w:b/>
          <w:bCs/>
          <w:sz w:val="32"/>
          <w:szCs w:val="32"/>
        </w:rPr>
        <w:t>三是招商引资来势较好。</w:t>
      </w:r>
      <w:r>
        <w:rPr>
          <w:rFonts w:hint="eastAsia" w:ascii="仿宋_GB2312" w:hAnsi="仿宋_GB2312" w:eastAsia="仿宋_GB2312" w:cs="仿宋_GB2312"/>
          <w:sz w:val="32"/>
          <w:szCs w:val="32"/>
        </w:rPr>
        <w:t>成功举办第八届海峡两岸(芷江)和平文化之旅，积极参加港洽周等招商活动，合同引资58.86亿元。</w:t>
      </w:r>
    </w:p>
    <w:p>
      <w:pPr>
        <w:keepNext w:val="0"/>
        <w:keepLines w:val="0"/>
        <w:pageBreakBefore w:val="0"/>
        <w:widowControl w:val="0"/>
        <w:kinsoku/>
        <w:wordWrap/>
        <w:overflowPunct/>
        <w:topLinePunct w:val="0"/>
        <w:autoSpaceDE w:val="0"/>
        <w:autoSpaceDN/>
        <w:bidi w:val="0"/>
        <w:adjustRightInd/>
        <w:snapToGrid/>
        <w:spacing w:line="560" w:lineRule="exact"/>
        <w:ind w:left="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5、脱贫攻坚基柱夯实稳扎稳打。</w:t>
      </w:r>
      <w:r>
        <w:rPr>
          <w:rFonts w:hint="eastAsia" w:ascii="仿宋_GB2312" w:hAnsi="仿宋_GB2312" w:eastAsia="仿宋_GB2312" w:cs="仿宋_GB2312"/>
          <w:b/>
          <w:bCs/>
          <w:kern w:val="0"/>
          <w:sz w:val="32"/>
          <w:szCs w:val="32"/>
          <w:shd w:val="clear" w:color="auto" w:fill="FFFFFF"/>
        </w:rPr>
        <w:t>一是扶贫更精准。</w:t>
      </w:r>
      <w:r>
        <w:rPr>
          <w:rFonts w:hint="eastAsia" w:ascii="仿宋_GB2312" w:hAnsi="仿宋_GB2312" w:eastAsia="仿宋_GB2312" w:cs="仿宋_GB2312"/>
          <w:sz w:val="32"/>
          <w:szCs w:val="32"/>
        </w:rPr>
        <w:t>紧紧围绕“两不愁三保障”目标要求，全面落实扶贫政策，全力巩固脱贫成效，贫困发生率降至0.36%，顺利通过国家普查试点和省脱贫攻坚考核验收。</w:t>
      </w:r>
      <w:r>
        <w:rPr>
          <w:rFonts w:hint="eastAsia" w:ascii="仿宋_GB2312" w:hAnsi="仿宋_GB2312" w:eastAsia="仿宋_GB2312" w:cs="仿宋_GB2312"/>
          <w:b/>
          <w:bCs/>
          <w:kern w:val="0"/>
          <w:sz w:val="32"/>
          <w:szCs w:val="32"/>
          <w:shd w:val="clear" w:color="auto" w:fill="FFFFFF"/>
        </w:rPr>
        <w:t>二是帮扶更实在。</w:t>
      </w:r>
      <w:r>
        <w:rPr>
          <w:rFonts w:hint="eastAsia" w:ascii="仿宋_GB2312" w:hAnsi="仿宋_GB2312" w:eastAsia="仿宋_GB2312" w:cs="仿宋_GB2312"/>
          <w:sz w:val="32"/>
          <w:szCs w:val="32"/>
        </w:rPr>
        <w:t>建设“一村一品”产业、电商网络物流设施，继续实施到户到人产业奖补；通过实施易地扶贫搬迁后续产业就业帮扶、危房改造、安全饮水等九大工程，夯实脱贫攻坚实效，改善了群众生产生活条件。</w:t>
      </w:r>
      <w:r>
        <w:rPr>
          <w:rFonts w:hint="eastAsia" w:ascii="仿宋_GB2312" w:hAnsi="仿宋_GB2312" w:eastAsia="仿宋_GB2312" w:cs="仿宋_GB2312"/>
          <w:b/>
          <w:bCs/>
          <w:sz w:val="32"/>
          <w:szCs w:val="32"/>
        </w:rPr>
        <w:t>三是政策更到位。</w:t>
      </w:r>
      <w:r>
        <w:rPr>
          <w:rFonts w:hint="eastAsia" w:ascii="仿宋_GB2312" w:hAnsi="仿宋_GB2312" w:eastAsia="仿宋_GB2312" w:cs="仿宋_GB2312"/>
          <w:sz w:val="32"/>
          <w:szCs w:val="32"/>
        </w:rPr>
        <w:t>通过教育、医疗、就业帮扶、金融扶持等七大政策，特别是干部全覆盖式结对帮扶，97个县直单位对206个村实施包村扶贫，帮助解决村级基础建设和公共服务困难。</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6、民生实事有力推进保障更实。教育事业：</w:t>
      </w:r>
      <w:r>
        <w:rPr>
          <w:rFonts w:hint="eastAsia" w:ascii="仿宋_GB2312" w:hAnsi="仿宋_GB2312" w:eastAsia="仿宋_GB2312" w:cs="仿宋_GB2312"/>
          <w:sz w:val="32"/>
          <w:szCs w:val="32"/>
        </w:rPr>
        <w:t>投入1.58亿元实施校舍建设及维修，完善学校配套设施，消除学校安全隐患；芙蓉学校如期开学，新增学位1350个。</w:t>
      </w:r>
      <w:r>
        <w:rPr>
          <w:rFonts w:hint="eastAsia" w:ascii="仿宋_GB2312" w:hAnsi="仿宋_GB2312" w:eastAsia="仿宋_GB2312" w:cs="仿宋_GB2312"/>
          <w:b/>
          <w:bCs/>
          <w:sz w:val="32"/>
          <w:szCs w:val="32"/>
        </w:rPr>
        <w:t>卫健工作：</w:t>
      </w:r>
      <w:r>
        <w:rPr>
          <w:rFonts w:hint="eastAsia" w:ascii="仿宋_GB2312" w:hAnsi="仿宋_GB2312" w:eastAsia="仿宋_GB2312" w:cs="仿宋_GB2312"/>
          <w:sz w:val="32"/>
          <w:szCs w:val="32"/>
        </w:rPr>
        <w:t>继续加强与市级医院医联体工作；组织家庭医生深入签约家庭，为贫困对象做好常见病诊治、健康知识宣传和健康扶贫政策宣讲工作；</w:t>
      </w:r>
      <w:r>
        <w:rPr>
          <w:rFonts w:hint="eastAsia" w:ascii="仿宋_GB2312" w:hAnsi="仿宋_GB2312" w:eastAsia="仿宋_GB2312" w:cs="仿宋_GB2312"/>
          <w:kern w:val="0"/>
          <w:sz w:val="32"/>
          <w:szCs w:val="32"/>
          <w:shd w:val="clear" w:color="auto" w:fill="FFFFFF"/>
        </w:rPr>
        <w:t>纵深推进医药卫生体制改革，巩固公立医院综合改革成果</w:t>
      </w:r>
      <w:r>
        <w:rPr>
          <w:rFonts w:hint="eastAsia" w:ascii="仿宋_GB2312" w:hAnsi="仿宋_GB2312" w:eastAsia="仿宋_GB2312" w:cs="仿宋_GB2312"/>
          <w:sz w:val="32"/>
          <w:szCs w:val="32"/>
        </w:rPr>
        <w:t>；落实计划生育利益导向政策等利民惠民重点工程。</w:t>
      </w:r>
      <w:r>
        <w:rPr>
          <w:rFonts w:hint="eastAsia" w:ascii="仿宋_GB2312" w:hAnsi="仿宋_GB2312" w:eastAsia="仿宋_GB2312" w:cs="仿宋_GB2312"/>
          <w:b/>
          <w:bCs/>
          <w:sz w:val="32"/>
          <w:szCs w:val="32"/>
        </w:rPr>
        <w:t>社会保障：</w:t>
      </w:r>
      <w:r>
        <w:rPr>
          <w:rFonts w:hint="eastAsia" w:ascii="仿宋_GB2312" w:hAnsi="仿宋_GB2312" w:eastAsia="仿宋_GB2312" w:cs="仿宋_GB2312"/>
          <w:kern w:val="0"/>
          <w:sz w:val="32"/>
          <w:szCs w:val="32"/>
          <w:shd w:val="clear" w:color="auto" w:fill="FFFFFF"/>
        </w:rPr>
        <w:t>全县社会保险覆盖率达到98%以上；</w:t>
      </w:r>
      <w:r>
        <w:rPr>
          <w:rFonts w:hint="eastAsia" w:ascii="仿宋_GB2312" w:hAnsi="仿宋_GB2312" w:eastAsia="仿宋_GB2312" w:cs="仿宋_GB2312"/>
          <w:bCs/>
          <w:sz w:val="32"/>
          <w:szCs w:val="32"/>
        </w:rPr>
        <w:t>精准认定低保对象，提高城乡低保保障标准和特困供养救助标准；</w:t>
      </w:r>
      <w:r>
        <w:rPr>
          <w:rFonts w:hint="eastAsia" w:ascii="仿宋_GB2312" w:hAnsi="仿宋_GB2312" w:eastAsia="仿宋_GB2312" w:cs="仿宋_GB2312"/>
          <w:sz w:val="32"/>
          <w:szCs w:val="32"/>
        </w:rPr>
        <w:t>发放创业担保贷款933万元、低保金2757.68万元。</w:t>
      </w:r>
      <w:r>
        <w:rPr>
          <w:rFonts w:hint="eastAsia" w:ascii="仿宋_GB2312" w:hAnsi="仿宋_GB2312" w:eastAsia="仿宋_GB2312" w:cs="仿宋_GB2312"/>
          <w:b/>
          <w:bCs/>
          <w:sz w:val="32"/>
          <w:szCs w:val="32"/>
        </w:rPr>
        <w:t>重点改革：</w:t>
      </w:r>
      <w:r>
        <w:rPr>
          <w:rFonts w:hint="eastAsia" w:ascii="仿宋_GB2312" w:hAnsi="仿宋_GB2312" w:eastAsia="仿宋_GB2312" w:cs="仿宋_GB2312"/>
          <w:sz w:val="32"/>
          <w:szCs w:val="32"/>
        </w:rPr>
        <w:t>全面推进“放管服”改革，深入推进“一件事一次办”改革，稳步推进“互联网+政务服务”向乡村延伸；深入落实“减税降费”政策，累计减免税费4600万元；全面推进经济体制改革，全力推进农村集体产权制度改革；全面推进“平安芷江”建设，深入开展扫黑除恶专项斗争，城乡治理能力实现新提升；高位推动全民禁毒攻坚战，连续四年荣获“全省禁毒工作”先进单位；信访案件受理率、办结率达100%；荣获全国“七五”普法中期先进县称号。同时，民族宗教、人民武装、应急管理、文化体育、妇女儿童、外事侨务、森林防火、环保、人防、气象、供销、档案、史志、老干和残疾人等各项事业都取得新成效。</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充分肯定成绩的同时，我们也清醒地认识到经济社会发展存在的矛盾和问题：一是经济下行压力大，筹资难筹资贵的问题仍然突出；二是民生短板较多，保障困难群众基本生活还需下更大气力；三是农业基础欠账多，产业化程度低，农民增收渠道还不宽；四是县级可支配财力弱，支出保障难度大等。这些矛盾和问题，有待在今后的工作中认真加以解决。</w:t>
      </w: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附件：1、部门整体支出绩效评价指标表</w:t>
      </w:r>
    </w:p>
    <w:p>
      <w:pPr>
        <w:pStyle w:val="9"/>
        <w:keepNext w:val="0"/>
        <w:keepLines w:val="0"/>
        <w:pageBreakBefore w:val="0"/>
        <w:widowControl w:val="0"/>
        <w:numPr>
          <w:ilvl w:val="0"/>
          <w:numId w:val="1"/>
        </w:numPr>
        <w:kinsoku/>
        <w:wordWrap/>
        <w:overflowPunct/>
        <w:topLinePunct w:val="0"/>
        <w:autoSpaceDN/>
        <w:bidi w:val="0"/>
        <w:adjustRightInd/>
        <w:snapToGrid/>
        <w:spacing w:line="560" w:lineRule="exact"/>
        <w:ind w:left="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部门整体支出绩效评价基础数据表</w:t>
      </w:r>
    </w:p>
    <w:p>
      <w:pPr>
        <w:pStyle w:val="9"/>
        <w:keepNext w:val="0"/>
        <w:keepLines w:val="0"/>
        <w:pageBreakBefore w:val="0"/>
        <w:widowControl w:val="0"/>
        <w:numPr>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pStyle w:val="9"/>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val="0"/>
        <w:autoSpaceDN/>
        <w:bidi w:val="0"/>
        <w:adjustRightInd/>
        <w:snapToGrid/>
        <w:spacing w:line="560" w:lineRule="exact"/>
        <w:ind w:left="0" w:leftChars="0" w:firstLine="4198" w:firstLineChars="131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芷江</w:t>
      </w:r>
      <w:r>
        <w:rPr>
          <w:rFonts w:hint="eastAsia" w:ascii="仿宋_GB2312" w:hAnsi="仿宋_GB2312" w:eastAsia="仿宋_GB2312" w:cs="仿宋_GB2312"/>
          <w:sz w:val="32"/>
          <w:szCs w:val="32"/>
          <w:lang w:eastAsia="zh-CN"/>
        </w:rPr>
        <w:t>侗族自治县</w:t>
      </w:r>
      <w:r>
        <w:rPr>
          <w:rFonts w:hint="eastAsia" w:ascii="仿宋_GB2312" w:hAnsi="仿宋_GB2312" w:eastAsia="仿宋_GB2312" w:cs="仿宋_GB2312"/>
          <w:sz w:val="32"/>
          <w:szCs w:val="32"/>
        </w:rPr>
        <w:t>发展和改革局</w:t>
      </w:r>
    </w:p>
    <w:p>
      <w:pPr>
        <w:pStyle w:val="9"/>
        <w:keepNext w:val="0"/>
        <w:keepLines w:val="0"/>
        <w:pageBreakBefore w:val="0"/>
        <w:widowControl w:val="0"/>
        <w:kinsoku/>
        <w:wordWrap/>
        <w:overflowPunct/>
        <w:topLinePunct w:val="0"/>
        <w:autoSpaceDN/>
        <w:bidi w:val="0"/>
        <w:adjustRightInd/>
        <w:snapToGrid/>
        <w:spacing w:line="560" w:lineRule="exact"/>
        <w:ind w:left="0" w:leftChars="0" w:firstLine="4198" w:firstLineChars="131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月20日</w:t>
      </w:r>
    </w:p>
    <w:p>
      <w:pPr>
        <w:pStyle w:val="9"/>
        <w:keepNext w:val="0"/>
        <w:keepLines w:val="0"/>
        <w:pageBreakBefore w:val="0"/>
        <w:widowControl w:val="0"/>
        <w:kinsoku/>
        <w:wordWrap/>
        <w:overflowPunct/>
        <w:topLinePunct w:val="0"/>
        <w:autoSpaceDN/>
        <w:bidi w:val="0"/>
        <w:adjustRightInd/>
        <w:snapToGrid/>
        <w:spacing w:line="560" w:lineRule="exact"/>
        <w:ind w:left="420" w:firstLine="0" w:firstLineChars="0"/>
        <w:textAlignment w:val="auto"/>
        <w:rPr>
          <w:rFonts w:hint="eastAsia" w:ascii="仿宋_GB2312" w:hAnsi="仿宋_GB2312" w:eastAsia="仿宋_GB2312" w:cs="仿宋_GB2312"/>
          <w:sz w:val="32"/>
          <w:szCs w:val="32"/>
        </w:rPr>
      </w:pPr>
    </w:p>
    <w:p>
      <w:pPr>
        <w:pStyle w:val="9"/>
        <w:ind w:firstLine="0" w:firstLineChars="0"/>
        <w:rPr>
          <w:rFonts w:hint="eastAsia" w:ascii="仿宋_GB2312" w:hAnsi="仿宋_GB2312" w:eastAsia="仿宋_GB2312" w:cs="仿宋_GB2312"/>
          <w:sz w:val="32"/>
          <w:szCs w:val="32"/>
        </w:rPr>
      </w:pPr>
    </w:p>
    <w:p>
      <w:pPr>
        <w:pStyle w:val="9"/>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sz w:val="32"/>
          <w:szCs w:val="32"/>
        </w:rPr>
      </w:pPr>
      <w:r>
        <w:rPr>
          <w:rFonts w:hint="eastAsia" w:ascii="仿宋_GB2312" w:hAnsi="仿宋_GB2312" w:eastAsia="仿宋_GB2312" w:cs="仿宋_GB2312"/>
          <w:color w:val="000000"/>
          <w:kern w:val="0"/>
          <w:sz w:val="32"/>
          <w:szCs w:val="32"/>
        </w:rPr>
        <w:t>附件1</w:t>
      </w:r>
    </w:p>
    <w:p>
      <w:pPr>
        <w:pStyle w:val="2"/>
      </w:pPr>
    </w:p>
    <w:p>
      <w:pPr>
        <w:pStyle w:val="2"/>
        <w:ind w:left="0" w:leftChars="0" w:firstLine="0" w:firstLineChars="0"/>
        <w:jc w:val="center"/>
        <w:rPr>
          <w:rFonts w:hint="eastAsia" w:ascii="黑体" w:hAnsi="黑体" w:eastAsia="黑体" w:cs="黑体"/>
          <w:sz w:val="44"/>
          <w:szCs w:val="44"/>
        </w:rPr>
      </w:pPr>
      <w:r>
        <w:rPr>
          <w:rFonts w:hint="eastAsia" w:ascii="黑体" w:hAnsi="黑体" w:eastAsia="黑体" w:cs="黑体"/>
          <w:b/>
          <w:color w:val="000000"/>
          <w:kern w:val="0"/>
          <w:sz w:val="44"/>
          <w:szCs w:val="44"/>
        </w:rPr>
        <w:t>部门整体支出绩效评价指标表</w:t>
      </w:r>
    </w:p>
    <w:tbl>
      <w:tblPr>
        <w:tblStyle w:val="8"/>
        <w:tblW w:w="9296" w:type="dxa"/>
        <w:jc w:val="center"/>
        <w:tblInd w:w="0" w:type="dxa"/>
        <w:tblLayout w:type="fixed"/>
        <w:tblCellMar>
          <w:top w:w="15" w:type="dxa"/>
          <w:left w:w="15" w:type="dxa"/>
          <w:bottom w:w="15" w:type="dxa"/>
          <w:right w:w="15" w:type="dxa"/>
        </w:tblCellMar>
      </w:tblPr>
      <w:tblGrid>
        <w:gridCol w:w="510"/>
        <w:gridCol w:w="404"/>
        <w:gridCol w:w="672"/>
        <w:gridCol w:w="465"/>
        <w:gridCol w:w="998"/>
        <w:gridCol w:w="465"/>
        <w:gridCol w:w="1845"/>
        <w:gridCol w:w="3202"/>
        <w:gridCol w:w="735"/>
      </w:tblGrid>
      <w:tr>
        <w:tblPrEx>
          <w:tblLayout w:type="fixed"/>
          <w:tblCellMar>
            <w:top w:w="15" w:type="dxa"/>
            <w:left w:w="15" w:type="dxa"/>
            <w:bottom w:w="15" w:type="dxa"/>
            <w:right w:w="15" w:type="dxa"/>
          </w:tblCellMar>
        </w:tblPrEx>
        <w:trPr>
          <w:trHeight w:val="285"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一级指标</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分值</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分</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三级</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分</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值</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评价标准</w:t>
            </w:r>
          </w:p>
        </w:tc>
        <w:tc>
          <w:tcPr>
            <w:tcW w:w="3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指标说明</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得分</w:t>
            </w:r>
          </w:p>
        </w:tc>
      </w:tr>
      <w:tr>
        <w:tblPrEx>
          <w:tblLayout w:type="fixed"/>
          <w:tblCellMar>
            <w:top w:w="15" w:type="dxa"/>
            <w:left w:w="15" w:type="dxa"/>
            <w:bottom w:w="15" w:type="dxa"/>
            <w:right w:w="15" w:type="dxa"/>
          </w:tblCellMar>
        </w:tblPrEx>
        <w:trPr>
          <w:trHeight w:val="285"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kern w:val="0"/>
                <w:sz w:val="21"/>
                <w:szCs w:val="21"/>
              </w:rPr>
              <w:t>指标</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1356"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投入</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13</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配置</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13</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在职人员控制率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Style w:val="16"/>
                <w:rFonts w:hint="eastAsia" w:asciiTheme="minorEastAsia" w:hAnsiTheme="minorEastAsia" w:eastAsiaTheme="minorEastAsia" w:cstheme="minorEastAsia"/>
                <w:sz w:val="21"/>
                <w:szCs w:val="21"/>
              </w:rPr>
              <w:t>以100%为标准。在职人员控制率</w:t>
            </w:r>
            <w:r>
              <w:rPr>
                <w:rFonts w:hint="eastAsia" w:asciiTheme="minorEastAsia" w:hAnsiTheme="minorEastAsia" w:eastAsiaTheme="minorEastAsia" w:cstheme="minorEastAsia"/>
                <w:color w:val="000000"/>
                <w:kern w:val="0"/>
                <w:sz w:val="21"/>
                <w:szCs w:val="21"/>
              </w:rPr>
              <w:t>≦</w:t>
            </w:r>
            <w:r>
              <w:rPr>
                <w:rStyle w:val="16"/>
                <w:rFonts w:hint="eastAsia" w:asciiTheme="minorEastAsia" w:hAnsiTheme="minorEastAsia" w:eastAsiaTheme="minorEastAsia" w:cstheme="minorEastAsia"/>
                <w:sz w:val="21"/>
                <w:szCs w:val="21"/>
              </w:rPr>
              <w:t>100%，计5分；每超过一个百分点扣0.5分，扣完为止。</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在职人员控制率=（在职人员数/编制数）×100%，在职人员数：部门（单位）实际在职人数，以财政厅确定的部门决算编制口径为准。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3</w:t>
            </w:r>
          </w:p>
        </w:tc>
      </w:tr>
      <w:tr>
        <w:tblPrEx>
          <w:tblLayout w:type="fixed"/>
          <w:tblCellMar>
            <w:top w:w="15" w:type="dxa"/>
            <w:left w:w="15" w:type="dxa"/>
            <w:bottom w:w="15" w:type="dxa"/>
            <w:right w:w="15" w:type="dxa"/>
          </w:tblCellMar>
        </w:tblPrEx>
        <w:trPr>
          <w:trHeight w:val="858"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编制数：机构编制部门核定批复的部门（单位）的人员编制数。</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8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“三公经费”变动率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Style w:val="16"/>
                <w:rFonts w:hint="eastAsia" w:asciiTheme="minorEastAsia" w:hAnsiTheme="minorEastAsia" w:eastAsiaTheme="minorEastAsia" w:cstheme="minorEastAsia"/>
                <w:sz w:val="21"/>
                <w:szCs w:val="21"/>
              </w:rPr>
              <w:t>“三公经费”变动率</w:t>
            </w:r>
            <w:r>
              <w:rPr>
                <w:rFonts w:hint="eastAsia" w:asciiTheme="minorEastAsia" w:hAnsiTheme="minorEastAsia" w:eastAsiaTheme="minorEastAsia" w:cstheme="minorEastAsia"/>
                <w:color w:val="000000"/>
                <w:kern w:val="0"/>
                <w:sz w:val="21"/>
                <w:szCs w:val="21"/>
              </w:rPr>
              <w:t>≦</w:t>
            </w:r>
            <w:r>
              <w:rPr>
                <w:rStyle w:val="16"/>
                <w:rFonts w:hint="eastAsia" w:asciiTheme="minorEastAsia" w:hAnsiTheme="minorEastAsia" w:eastAsiaTheme="minorEastAsia" w:cstheme="minorEastAsia"/>
                <w:sz w:val="21"/>
                <w:szCs w:val="21"/>
              </w:rPr>
              <w:t>0,计8分；“三公经费”＞0，每超过一个百分点扣0.8分，扣完为止。</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“三公经费”变动率=[（本年度“三公经费”预算数-上年度“三公经费”预算数）/上年度“三公经费”预算数]×100%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Layout w:type="fixed"/>
          <w:tblCellMar>
            <w:top w:w="15" w:type="dxa"/>
            <w:left w:w="15" w:type="dxa"/>
            <w:bottom w:w="15" w:type="dxa"/>
            <w:right w:w="15" w:type="dxa"/>
          </w:tblCellMar>
        </w:tblPrEx>
        <w:trPr>
          <w:trHeight w:val="435"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过                                                                                                                                       程</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61</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执行</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预算完成率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100%计满分，每低于5%扣2分，扣完为止。</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预算完成率=（上年结转+年初预算+本年追加预算-年末结余）/（上年结转+年初预算+本年追加预算）×100%。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r>
      <w:tr>
        <w:tblPrEx>
          <w:tblLayout w:type="fixed"/>
          <w:tblCellMar>
            <w:top w:w="15" w:type="dxa"/>
            <w:left w:w="15" w:type="dxa"/>
            <w:bottom w:w="15" w:type="dxa"/>
            <w:right w:w="15" w:type="dxa"/>
          </w:tblCellMar>
        </w:tblPrEx>
        <w:trPr>
          <w:trHeight w:val="93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预算控制率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预算控制率=0，计5分；0-10%（含），计4分；10-20%（含），计3分；20-30%（含），计2分；大于30%不得分。</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预算控制率=（本年追加预算/年初预算）×100%。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r>
      <w:tr>
        <w:tblPrEx>
          <w:tblLayout w:type="fixed"/>
          <w:tblCellMar>
            <w:top w:w="15" w:type="dxa"/>
            <w:left w:w="15" w:type="dxa"/>
            <w:bottom w:w="15" w:type="dxa"/>
            <w:right w:w="15" w:type="dxa"/>
          </w:tblCellMar>
        </w:tblPrEx>
        <w:trPr>
          <w:trHeight w:val="64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新建楼堂馆所面积控制率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100%以下（含）计满分，每超出5%扣2分，扣完为止。没有楼堂馆所项目的部门按满分计算。</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楼堂馆所面积控制率=实际建设面积/批准建设面积×100% 。</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r>
      <w:tr>
        <w:tblPrEx>
          <w:tblLayout w:type="fixed"/>
          <w:tblCellMar>
            <w:top w:w="15" w:type="dxa"/>
            <w:left w:w="15" w:type="dxa"/>
            <w:bottom w:w="15" w:type="dxa"/>
            <w:right w:w="15" w:type="dxa"/>
          </w:tblCellMar>
        </w:tblPrEx>
        <w:trPr>
          <w:trHeight w:val="2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该指标以2015年完工的新建楼堂馆所为评价内容。</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6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管理</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公用经费控制率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100%以下（含）计满分，每超出1%扣1分，扣完为止。</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公用经费控制率=（实际支出公用经费总额/预算安排公用经费总额）×100%。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Layout w:type="fixed"/>
          <w:tblCellMar>
            <w:top w:w="15" w:type="dxa"/>
            <w:left w:w="15" w:type="dxa"/>
            <w:bottom w:w="15" w:type="dxa"/>
            <w:right w:w="15" w:type="dxa"/>
          </w:tblCellMar>
        </w:tblPrEx>
        <w:trPr>
          <w:trHeight w:val="972"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“三公经费”控制率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100%以下（含）计满分，每超出1%扣1分，扣完为止。</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“三公经费”控制率-（“三公经费”实际支出数/“三公经费”预算安排数）×100%。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Layout w:type="fixed"/>
          <w:tblCellMar>
            <w:top w:w="15" w:type="dxa"/>
            <w:left w:w="15" w:type="dxa"/>
            <w:bottom w:w="15" w:type="dxa"/>
            <w:right w:w="15" w:type="dxa"/>
          </w:tblCellMar>
        </w:tblPrEx>
        <w:trPr>
          <w:trHeight w:val="1104"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政府采购执行率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100%计满分，每超过（降低）5%扣2分。扣完为止。</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政府采购执行率=（实际政府采购金额/政府采购预算数）×100%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991"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过                                                                                                                                       程</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61</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管理</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管理制度健全性</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①有内部财务管理制度、会计核算制度等管理制度，2分；</w:t>
            </w:r>
          </w:p>
        </w:tc>
        <w:tc>
          <w:tcPr>
            <w:tcW w:w="3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r>
      <w:tr>
        <w:tblPrEx>
          <w:tblLayout w:type="fixed"/>
          <w:tblCellMar>
            <w:top w:w="15" w:type="dxa"/>
            <w:left w:w="15" w:type="dxa"/>
            <w:bottom w:w="15" w:type="dxa"/>
            <w:right w:w="15" w:type="dxa"/>
          </w:tblCellMar>
        </w:tblPrEx>
        <w:trPr>
          <w:trHeight w:val="80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②有本部门厉行节约制度,2分；</w:t>
            </w: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1421"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③相关管理制度合法、合规、完整，2分；④相关管理制度得到有效执行，2分。</w:t>
            </w: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3978"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资金使用合规性</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r>
      <w:tr>
        <w:tblPrEx>
          <w:tblLayout w:type="fixed"/>
          <w:tblCellMar>
            <w:top w:w="15" w:type="dxa"/>
            <w:left w:w="15" w:type="dxa"/>
            <w:bottom w:w="15" w:type="dxa"/>
            <w:right w:w="15" w:type="dxa"/>
          </w:tblCellMar>
        </w:tblPrEx>
        <w:trPr>
          <w:trHeight w:val="1442"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以上情况每出现一例不符合要求的扣1分，扣完为止。</w:t>
            </w: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3596"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预决算信息公开性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预决算信息是指与部门预算、执行、决算、监督、绩效等管理相关的信息。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r>
      <w:tr>
        <w:tblPrEx>
          <w:tblLayout w:type="fixed"/>
          <w:tblCellMar>
            <w:top w:w="15" w:type="dxa"/>
            <w:left w:w="15" w:type="dxa"/>
            <w:bottom w:w="15" w:type="dxa"/>
            <w:right w:w="15" w:type="dxa"/>
          </w:tblCellMar>
        </w:tblPrEx>
        <w:trPr>
          <w:trHeight w:val="1664"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产出及效率</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26</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职责</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履行</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重点工作实际完成率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根据绩效办2015年对各部门为民办实事和部门重点工程与重点工作考核分数折算。</w:t>
            </w:r>
          </w:p>
        </w:tc>
        <w:tc>
          <w:tcPr>
            <w:tcW w:w="3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r>
      <w:tr>
        <w:tblPrEx>
          <w:tblLayout w:type="fixed"/>
          <w:tblCellMar>
            <w:top w:w="15" w:type="dxa"/>
            <w:left w:w="15" w:type="dxa"/>
            <w:bottom w:w="15" w:type="dxa"/>
            <w:right w:w="15" w:type="dxa"/>
          </w:tblCellMar>
        </w:tblPrEx>
        <w:trPr>
          <w:trHeight w:val="1179"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该项得分=（绩效办对应部分考核得分/200）*8</w:t>
            </w: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72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履职 效益</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经济效益</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此两项指标为设置部门整体支出绩效评价指标时必须考虑的共性要素，可根据部门实际情况有选择的进行设置，并将其细化为相应的个性化指标。</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r>
      <w:tr>
        <w:tblPrEx>
          <w:tblLayout w:type="fixed"/>
          <w:tblCellMar>
            <w:top w:w="15" w:type="dxa"/>
            <w:left w:w="15" w:type="dxa"/>
            <w:bottom w:w="15" w:type="dxa"/>
            <w:right w:w="15" w:type="dxa"/>
          </w:tblCellMar>
        </w:tblPrEx>
        <w:trPr>
          <w:trHeight w:val="55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社会效益</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2366"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行政效能</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促进部门改进文风会风，加强经费及资产管理，推动网上办事，提高行政效率，降低行政成本效果较好的计6分；一般3分；无效果或者效果不明显0分。</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根据部门自评材料评定。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43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社会公众或服务对象满意度</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90%（含）以上计6分；</w:t>
            </w:r>
          </w:p>
        </w:tc>
        <w:tc>
          <w:tcPr>
            <w:tcW w:w="3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社会公众或服务对象是指部门（单位）履行职责而影响到的部门、群体或个人，一般采取社会调查的方式。</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42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80%（含）-90%，计4分；</w:t>
            </w: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22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70%（含）-80%，计2分；</w:t>
            </w: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28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低于70%计0分。</w:t>
            </w:r>
          </w:p>
        </w:tc>
        <w:tc>
          <w:tcPr>
            <w:tcW w:w="3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hint="eastAsia" w:asciiTheme="minorEastAsia" w:hAnsiTheme="minorEastAsia" w:eastAsiaTheme="minorEastAsia" w:cstheme="minorEastAsia"/>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539" w:hRule="atLeast"/>
          <w:jc w:val="center"/>
        </w:trPr>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合</w:t>
            </w:r>
          </w:p>
        </w:tc>
        <w:tc>
          <w:tcPr>
            <w:tcW w:w="404" w:type="dxa"/>
            <w:tcBorders>
              <w:top w:val="single" w:color="000000" w:sz="4" w:space="0"/>
              <w:left w:val="nil"/>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w:t>
            </w:r>
          </w:p>
        </w:tc>
        <w:tc>
          <w:tcPr>
            <w:tcW w:w="672" w:type="dxa"/>
            <w:tcBorders>
              <w:top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color w:val="000000"/>
                <w:sz w:val="21"/>
                <w:szCs w:val="21"/>
              </w:rPr>
            </w:pPr>
          </w:p>
        </w:tc>
        <w:tc>
          <w:tcPr>
            <w:tcW w:w="465" w:type="dxa"/>
            <w:tcBorders>
              <w:top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p>
        </w:tc>
        <w:tc>
          <w:tcPr>
            <w:tcW w:w="998" w:type="dxa"/>
            <w:tcBorders>
              <w:top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p>
        </w:tc>
        <w:tc>
          <w:tcPr>
            <w:tcW w:w="465" w:type="dxa"/>
            <w:tcBorders>
              <w:top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p>
        </w:tc>
        <w:tc>
          <w:tcPr>
            <w:tcW w:w="1845" w:type="dxa"/>
            <w:tcBorders>
              <w:top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p>
        </w:tc>
        <w:tc>
          <w:tcPr>
            <w:tcW w:w="3202" w:type="dxa"/>
            <w:tcBorders>
              <w:top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Theme="minorEastAsia" w:hAnsiTheme="minorEastAsia" w:eastAsiaTheme="minorEastAsia" w:cstheme="minorEastAsia"/>
                <w:color w:val="000000"/>
                <w:sz w:val="21"/>
                <w:szCs w:val="21"/>
              </w:rPr>
            </w:pPr>
          </w:p>
        </w:tc>
        <w:tc>
          <w:tcPr>
            <w:tcW w:w="7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97</w:t>
            </w:r>
          </w:p>
        </w:tc>
      </w:tr>
    </w:tbl>
    <w:p>
      <w:pPr>
        <w:pStyle w:val="9"/>
        <w:ind w:firstLine="0" w:firstLineChars="0"/>
        <w:rPr>
          <w:rFonts w:hint="eastAsia" w:ascii="仿宋_GB2312" w:hAnsi="仿宋_GB2312" w:eastAsia="仿宋_GB2312" w:cs="仿宋_GB2312"/>
          <w:sz w:val="32"/>
          <w:szCs w:val="32"/>
        </w:rPr>
      </w:pPr>
    </w:p>
    <w:p>
      <w:pPr>
        <w:pStyle w:val="9"/>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8"/>
        <w:tblW w:w="9643" w:type="dxa"/>
        <w:jc w:val="center"/>
        <w:tblInd w:w="0" w:type="dxa"/>
        <w:tblLayout w:type="fixed"/>
        <w:tblCellMar>
          <w:top w:w="15" w:type="dxa"/>
          <w:left w:w="15" w:type="dxa"/>
          <w:bottom w:w="15" w:type="dxa"/>
          <w:right w:w="15" w:type="dxa"/>
        </w:tblCellMar>
      </w:tblPr>
      <w:tblGrid>
        <w:gridCol w:w="2642"/>
        <w:gridCol w:w="1009"/>
        <w:gridCol w:w="1"/>
        <w:gridCol w:w="1066"/>
        <w:gridCol w:w="1163"/>
        <w:gridCol w:w="1347"/>
        <w:gridCol w:w="949"/>
        <w:gridCol w:w="1466"/>
      </w:tblGrid>
      <w:tr>
        <w:tblPrEx>
          <w:tblLayout w:type="fixed"/>
        </w:tblPrEx>
        <w:trPr>
          <w:trHeight w:val="309" w:hRule="atLeast"/>
          <w:jc w:val="center"/>
        </w:trPr>
        <w:tc>
          <w:tcPr>
            <w:tcW w:w="2642" w:type="dxa"/>
            <w:shd w:val="clear" w:color="auto" w:fill="auto"/>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32"/>
                <w:szCs w:val="32"/>
              </w:rPr>
              <w:t>附件2</w:t>
            </w:r>
          </w:p>
        </w:tc>
        <w:tc>
          <w:tcPr>
            <w:tcW w:w="1009" w:type="dxa"/>
            <w:shd w:val="clear" w:color="auto" w:fill="auto"/>
            <w:vAlign w:val="center"/>
          </w:tcPr>
          <w:p>
            <w:pPr>
              <w:rPr>
                <w:rFonts w:hint="eastAsia" w:ascii="仿宋_GB2312" w:hAnsi="仿宋_GB2312" w:eastAsia="仿宋_GB2312" w:cs="仿宋_GB2312"/>
                <w:color w:val="000000"/>
                <w:sz w:val="24"/>
                <w:szCs w:val="24"/>
              </w:rPr>
            </w:pPr>
          </w:p>
        </w:tc>
        <w:tc>
          <w:tcPr>
            <w:tcW w:w="1067" w:type="dxa"/>
            <w:gridSpan w:val="2"/>
            <w:shd w:val="clear" w:color="auto" w:fill="auto"/>
            <w:vAlign w:val="center"/>
          </w:tcPr>
          <w:p>
            <w:pPr>
              <w:rPr>
                <w:rFonts w:hint="eastAsia" w:ascii="仿宋_GB2312" w:hAnsi="仿宋_GB2312" w:eastAsia="仿宋_GB2312" w:cs="仿宋_GB2312"/>
                <w:color w:val="000000"/>
                <w:sz w:val="24"/>
                <w:szCs w:val="24"/>
              </w:rPr>
            </w:pPr>
          </w:p>
        </w:tc>
        <w:tc>
          <w:tcPr>
            <w:tcW w:w="1163" w:type="dxa"/>
            <w:shd w:val="clear" w:color="auto" w:fill="auto"/>
            <w:vAlign w:val="center"/>
          </w:tcPr>
          <w:p>
            <w:pPr>
              <w:rPr>
                <w:rFonts w:hint="eastAsia" w:ascii="仿宋_GB2312" w:hAnsi="仿宋_GB2312" w:eastAsia="仿宋_GB2312" w:cs="仿宋_GB2312"/>
                <w:color w:val="000000"/>
                <w:sz w:val="24"/>
                <w:szCs w:val="24"/>
              </w:rPr>
            </w:pPr>
          </w:p>
        </w:tc>
        <w:tc>
          <w:tcPr>
            <w:tcW w:w="1347" w:type="dxa"/>
            <w:shd w:val="clear" w:color="auto" w:fill="auto"/>
            <w:vAlign w:val="center"/>
          </w:tcPr>
          <w:p>
            <w:pPr>
              <w:rPr>
                <w:rFonts w:hint="eastAsia" w:ascii="仿宋_GB2312" w:hAnsi="仿宋_GB2312" w:eastAsia="仿宋_GB2312" w:cs="仿宋_GB2312"/>
                <w:color w:val="000000"/>
                <w:sz w:val="24"/>
                <w:szCs w:val="24"/>
              </w:rPr>
            </w:pPr>
          </w:p>
        </w:tc>
        <w:tc>
          <w:tcPr>
            <w:tcW w:w="949" w:type="dxa"/>
            <w:shd w:val="clear" w:color="auto" w:fill="auto"/>
            <w:vAlign w:val="center"/>
          </w:tcPr>
          <w:p>
            <w:pPr>
              <w:rPr>
                <w:rFonts w:hint="eastAsia" w:ascii="仿宋_GB2312" w:hAnsi="仿宋_GB2312" w:eastAsia="仿宋_GB2312" w:cs="仿宋_GB2312"/>
                <w:color w:val="000000"/>
                <w:sz w:val="24"/>
                <w:szCs w:val="24"/>
              </w:rPr>
            </w:pPr>
          </w:p>
        </w:tc>
        <w:tc>
          <w:tcPr>
            <w:tcW w:w="1466" w:type="dxa"/>
            <w:shd w:val="clear" w:color="auto" w:fill="auto"/>
            <w:vAlign w:val="center"/>
          </w:tcPr>
          <w:p>
            <w:pP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530" w:hRule="atLeast"/>
          <w:jc w:val="center"/>
        </w:trPr>
        <w:tc>
          <w:tcPr>
            <w:tcW w:w="9643" w:type="dxa"/>
            <w:gridSpan w:val="8"/>
            <w:shd w:val="clear" w:color="auto" w:fill="auto"/>
            <w:vAlign w:val="center"/>
          </w:tcPr>
          <w:p>
            <w:pPr>
              <w:widowControl/>
              <w:jc w:val="center"/>
              <w:textAlignment w:val="center"/>
              <w:rPr>
                <w:rFonts w:hint="eastAsia" w:ascii="仿宋_GB2312" w:hAnsi="仿宋_GB2312" w:eastAsia="仿宋_GB2312" w:cs="仿宋_GB2312"/>
                <w:b/>
                <w:color w:val="000000"/>
                <w:sz w:val="36"/>
                <w:szCs w:val="36"/>
              </w:rPr>
            </w:pPr>
            <w:r>
              <w:rPr>
                <w:rFonts w:hint="eastAsia" w:ascii="黑体" w:hAnsi="黑体" w:eastAsia="黑体" w:cs="黑体"/>
                <w:b/>
                <w:color w:val="000000"/>
                <w:kern w:val="0"/>
                <w:sz w:val="44"/>
                <w:szCs w:val="44"/>
              </w:rPr>
              <w:t>部门整体支出绩效评价基础数据表</w:t>
            </w:r>
          </w:p>
        </w:tc>
      </w:tr>
      <w:tr>
        <w:tblPrEx>
          <w:tblLayout w:type="fixed"/>
          <w:tblCellMar>
            <w:top w:w="15" w:type="dxa"/>
            <w:left w:w="15" w:type="dxa"/>
            <w:bottom w:w="15" w:type="dxa"/>
            <w:right w:w="15" w:type="dxa"/>
          </w:tblCellMar>
        </w:tblPrEx>
        <w:trPr>
          <w:trHeight w:val="409" w:hRule="atLeast"/>
          <w:jc w:val="center"/>
        </w:trPr>
        <w:tc>
          <w:tcPr>
            <w:tcW w:w="4718" w:type="dxa"/>
            <w:gridSpan w:val="4"/>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填报单位：芷江</w:t>
            </w:r>
            <w:r>
              <w:rPr>
                <w:rFonts w:hint="eastAsia" w:asciiTheme="minorEastAsia" w:hAnsiTheme="minorEastAsia" w:cstheme="minorEastAsia"/>
                <w:color w:val="000000"/>
                <w:kern w:val="0"/>
                <w:sz w:val="21"/>
                <w:szCs w:val="21"/>
                <w:lang w:val="en-US" w:eastAsia="zh-CN"/>
              </w:rPr>
              <w:t>侗族自治</w:t>
            </w:r>
            <w:r>
              <w:rPr>
                <w:rFonts w:hint="eastAsia" w:asciiTheme="minorEastAsia" w:hAnsiTheme="minorEastAsia" w:eastAsiaTheme="minorEastAsia" w:cstheme="minorEastAsia"/>
                <w:color w:val="000000"/>
                <w:kern w:val="0"/>
                <w:sz w:val="21"/>
                <w:szCs w:val="21"/>
              </w:rPr>
              <w:t>县发展和</w:t>
            </w:r>
            <w:r>
              <w:rPr>
                <w:rFonts w:hint="eastAsia" w:asciiTheme="minorEastAsia" w:hAnsiTheme="minorEastAsia" w:eastAsiaTheme="minorEastAsia" w:cstheme="minorEastAsia"/>
                <w:color w:val="000000"/>
                <w:sz w:val="21"/>
                <w:szCs w:val="21"/>
              </w:rPr>
              <w:t>改革局</w:t>
            </w:r>
          </w:p>
        </w:tc>
        <w:tc>
          <w:tcPr>
            <w:tcW w:w="1163"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heme="minorEastAsia" w:hAnsiTheme="minorEastAsia" w:eastAsiaTheme="minorEastAsia" w:cstheme="minorEastAsia"/>
                <w:color w:val="000000"/>
                <w:sz w:val="21"/>
                <w:szCs w:val="21"/>
              </w:rPr>
            </w:pP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heme="minorEastAsia" w:hAnsiTheme="minorEastAsia" w:eastAsiaTheme="minorEastAsia" w:cstheme="minorEastAsia"/>
                <w:color w:val="000000"/>
                <w:sz w:val="21"/>
                <w:szCs w:val="21"/>
              </w:rPr>
            </w:pPr>
          </w:p>
        </w:tc>
        <w:tc>
          <w:tcPr>
            <w:tcW w:w="94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heme="minorEastAsia" w:hAnsiTheme="minorEastAsia" w:eastAsiaTheme="minorEastAsia" w:cstheme="minorEastAsia"/>
                <w:color w:val="000000"/>
                <w:sz w:val="21"/>
                <w:szCs w:val="21"/>
              </w:rPr>
            </w:pPr>
          </w:p>
        </w:tc>
        <w:tc>
          <w:tcPr>
            <w:tcW w:w="146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财政供养人员情况</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编制数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201</w:t>
            </w:r>
            <w:r>
              <w:rPr>
                <w:rFonts w:hint="eastAsia" w:asciiTheme="minorEastAsia" w:hAnsiTheme="minorEastAsia" w:eastAsiaTheme="minorEastAsia" w:cstheme="minorEastAsia"/>
                <w:b/>
                <w:color w:val="000000"/>
                <w:kern w:val="0"/>
                <w:sz w:val="21"/>
                <w:szCs w:val="21"/>
                <w:lang w:val="en-US" w:eastAsia="zh-CN"/>
              </w:rPr>
              <w:t>9</w:t>
            </w:r>
            <w:r>
              <w:rPr>
                <w:rFonts w:hint="eastAsia" w:asciiTheme="minorEastAsia" w:hAnsiTheme="minorEastAsia" w:eastAsiaTheme="minorEastAsia" w:cstheme="minorEastAsia"/>
                <w:b/>
                <w:color w:val="000000"/>
                <w:kern w:val="0"/>
                <w:sz w:val="21"/>
                <w:szCs w:val="21"/>
              </w:rPr>
              <w:t>年实际在职人数</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控制率</w:t>
            </w:r>
          </w:p>
        </w:tc>
      </w:tr>
      <w:tr>
        <w:tblPrEx>
          <w:tblLayout w:type="fixed"/>
          <w:tblCellMar>
            <w:top w:w="15" w:type="dxa"/>
            <w:left w:w="15" w:type="dxa"/>
            <w:bottom w:w="15" w:type="dxa"/>
            <w:right w:w="15" w:type="dxa"/>
          </w:tblCellMar>
        </w:tblPrEx>
        <w:trPr>
          <w:trHeight w:val="433" w:hRule="atLeast"/>
          <w:jc w:val="center"/>
        </w:trPr>
        <w:tc>
          <w:tcPr>
            <w:tcW w:w="2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46</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rPr>
              <w:t>4</w:t>
            </w:r>
            <w:r>
              <w:rPr>
                <w:rFonts w:hint="eastAsia" w:asciiTheme="minorEastAsia" w:hAnsiTheme="minorEastAsia" w:eastAsiaTheme="minorEastAsia" w:cstheme="minorEastAsia"/>
                <w:color w:val="000000"/>
                <w:kern w:val="0"/>
                <w:sz w:val="21"/>
                <w:szCs w:val="21"/>
                <w:lang w:val="en-US" w:eastAsia="zh-CN"/>
              </w:rPr>
              <w:t>9</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经费控制情况</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201</w:t>
            </w:r>
            <w:r>
              <w:rPr>
                <w:rFonts w:hint="eastAsia" w:asciiTheme="minorEastAsia" w:hAnsiTheme="minorEastAsia" w:eastAsiaTheme="minorEastAsia" w:cstheme="minorEastAsia"/>
                <w:b/>
                <w:color w:val="000000"/>
                <w:kern w:val="0"/>
                <w:sz w:val="21"/>
                <w:szCs w:val="21"/>
                <w:lang w:val="en-US" w:eastAsia="zh-CN"/>
              </w:rPr>
              <w:t>8</w:t>
            </w:r>
            <w:r>
              <w:rPr>
                <w:rFonts w:hint="eastAsia" w:asciiTheme="minorEastAsia" w:hAnsiTheme="minorEastAsia" w:eastAsiaTheme="minorEastAsia" w:cstheme="minorEastAsia"/>
                <w:b/>
                <w:color w:val="000000"/>
                <w:kern w:val="0"/>
                <w:sz w:val="21"/>
                <w:szCs w:val="21"/>
              </w:rPr>
              <w:t>年决算数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201</w:t>
            </w:r>
            <w:r>
              <w:rPr>
                <w:rFonts w:hint="eastAsia" w:asciiTheme="minorEastAsia" w:hAnsiTheme="minorEastAsia" w:eastAsiaTheme="minorEastAsia" w:cstheme="minorEastAsia"/>
                <w:b/>
                <w:color w:val="000000"/>
                <w:kern w:val="0"/>
                <w:sz w:val="21"/>
                <w:szCs w:val="21"/>
                <w:lang w:val="en-US" w:eastAsia="zh-CN"/>
              </w:rPr>
              <w:t>9</w:t>
            </w:r>
            <w:r>
              <w:rPr>
                <w:rFonts w:hint="eastAsia" w:asciiTheme="minorEastAsia" w:hAnsiTheme="minorEastAsia" w:eastAsiaTheme="minorEastAsia" w:cstheme="minorEastAsia"/>
                <w:b/>
                <w:color w:val="000000"/>
                <w:kern w:val="0"/>
                <w:sz w:val="21"/>
                <w:szCs w:val="21"/>
              </w:rPr>
              <w:t>年预算数</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201</w:t>
            </w:r>
            <w:r>
              <w:rPr>
                <w:rFonts w:hint="eastAsia" w:asciiTheme="minorEastAsia" w:hAnsiTheme="minorEastAsia" w:eastAsiaTheme="minorEastAsia" w:cstheme="minorEastAsia"/>
                <w:b/>
                <w:color w:val="000000"/>
                <w:kern w:val="0"/>
                <w:sz w:val="21"/>
                <w:szCs w:val="21"/>
                <w:lang w:val="en-US" w:eastAsia="zh-CN"/>
              </w:rPr>
              <w:t>9</w:t>
            </w:r>
            <w:r>
              <w:rPr>
                <w:rFonts w:hint="eastAsia" w:asciiTheme="minorEastAsia" w:hAnsiTheme="minorEastAsia" w:eastAsiaTheme="minorEastAsia" w:cstheme="minorEastAsia"/>
                <w:b/>
                <w:color w:val="000000"/>
                <w:kern w:val="0"/>
                <w:sz w:val="21"/>
                <w:szCs w:val="21"/>
              </w:rPr>
              <w:t>年决算数</w:t>
            </w: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三公经费</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143689</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134801</w:t>
            </w:r>
          </w:p>
        </w:tc>
      </w:tr>
      <w:tr>
        <w:tblPrEx>
          <w:tblLayout w:type="fixed"/>
          <w:tblCellMar>
            <w:top w:w="15" w:type="dxa"/>
            <w:left w:w="15" w:type="dxa"/>
            <w:bottom w:w="15" w:type="dxa"/>
            <w:right w:w="15" w:type="dxa"/>
          </w:tblCellMar>
        </w:tblPrEx>
        <w:trPr>
          <w:trHeight w:val="771"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1、公务用车购置和维护经费</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其中：公车购置</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78"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公车运行维护</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111870</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118120</w:t>
            </w: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2、出国经费</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3、公务接待</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31819</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16681</w:t>
            </w: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项目支出：</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公用经费</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557225.34</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731840.5</w:t>
            </w: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其中：办公经费</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211705.57</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122790</w:t>
            </w: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水费、电费、差旅费</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336234.27</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555410.5</w:t>
            </w: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会议费、培训费</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9285.5</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53640</w:t>
            </w: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政府采购金额</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433"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部门整体支出预算调整 </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r>
      <w:tr>
        <w:tblPrEx>
          <w:tblLayout w:type="fixed"/>
          <w:tblCellMar>
            <w:top w:w="15" w:type="dxa"/>
            <w:left w:w="15" w:type="dxa"/>
            <w:bottom w:w="15" w:type="dxa"/>
            <w:right w:w="15" w:type="dxa"/>
          </w:tblCellMar>
        </w:tblPrEx>
        <w:trPr>
          <w:trHeight w:val="535" w:hRule="atLeast"/>
          <w:jc w:val="center"/>
        </w:trPr>
        <w:tc>
          <w:tcPr>
            <w:tcW w:w="2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楼堂馆所控制情况      （2018年完工项目）</w:t>
            </w:r>
          </w:p>
        </w:tc>
        <w:tc>
          <w:tcPr>
            <w:tcW w:w="1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批复规模（㎡）</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实际规模（㎡）</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规模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控制率</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预算投资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（万元）</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实际投资（万元）</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投资概算</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控制率</w:t>
            </w:r>
          </w:p>
        </w:tc>
      </w:tr>
      <w:tr>
        <w:tblPrEx>
          <w:tblLayout w:type="fixed"/>
          <w:tblCellMar>
            <w:top w:w="15" w:type="dxa"/>
            <w:left w:w="15" w:type="dxa"/>
            <w:bottom w:w="15" w:type="dxa"/>
            <w:right w:w="15" w:type="dxa"/>
          </w:tblCellMar>
        </w:tblPrEx>
        <w:trPr>
          <w:trHeight w:val="312" w:hRule="atLeast"/>
          <w:jc w:val="center"/>
        </w:trPr>
        <w:tc>
          <w:tcPr>
            <w:tcW w:w="2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b/>
                <w:color w:val="000000"/>
                <w:sz w:val="21"/>
                <w:szCs w:val="21"/>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b/>
                <w:color w:val="000000"/>
                <w:sz w:val="21"/>
                <w:szCs w:val="21"/>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b/>
                <w:color w:val="000000"/>
                <w:sz w:val="21"/>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b/>
                <w:color w:val="000000"/>
                <w:sz w:val="21"/>
                <w:szCs w:val="21"/>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b/>
                <w:color w:val="000000"/>
                <w:sz w:val="21"/>
                <w:szCs w:val="21"/>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b/>
                <w:color w:val="000000"/>
                <w:sz w:val="21"/>
                <w:szCs w:val="21"/>
              </w:rPr>
            </w:pPr>
          </w:p>
        </w:tc>
      </w:tr>
      <w:tr>
        <w:tblPrEx>
          <w:tblLayout w:type="fixed"/>
          <w:tblCellMar>
            <w:top w:w="15" w:type="dxa"/>
            <w:left w:w="15" w:type="dxa"/>
            <w:bottom w:w="15" w:type="dxa"/>
            <w:right w:w="15" w:type="dxa"/>
          </w:tblCellMar>
        </w:tblPrEx>
        <w:trPr>
          <w:trHeight w:val="495" w:hRule="atLeast"/>
          <w:jc w:val="center"/>
        </w:trPr>
        <w:tc>
          <w:tcPr>
            <w:tcW w:w="2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heme="minorEastAsia" w:hAnsiTheme="minorEastAsia" w:eastAsiaTheme="minorEastAsia" w:cstheme="minorEastAsia"/>
                <w:color w:val="000000"/>
                <w:sz w:val="21"/>
                <w:szCs w:val="21"/>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w:t>
            </w:r>
          </w:p>
        </w:tc>
      </w:tr>
      <w:tr>
        <w:tblPrEx>
          <w:tblLayout w:type="fixed"/>
          <w:tblCellMar>
            <w:top w:w="15" w:type="dxa"/>
            <w:left w:w="15" w:type="dxa"/>
            <w:bottom w:w="15" w:type="dxa"/>
            <w:right w:w="15" w:type="dxa"/>
          </w:tblCellMar>
        </w:tblPrEx>
        <w:trPr>
          <w:trHeight w:val="581"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厉行节约保障措施</w:t>
            </w:r>
          </w:p>
        </w:tc>
        <w:tc>
          <w:tcPr>
            <w:tcW w:w="70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1、制定了财务管理制度及各项规定制度，2、严格控制三公经费</w:t>
            </w:r>
          </w:p>
        </w:tc>
      </w:tr>
      <w:tr>
        <w:tblPrEx>
          <w:tblLayout w:type="fixed"/>
          <w:tblCellMar>
            <w:top w:w="15" w:type="dxa"/>
            <w:left w:w="15" w:type="dxa"/>
            <w:bottom w:w="15" w:type="dxa"/>
            <w:right w:w="15" w:type="dxa"/>
          </w:tblCellMar>
        </w:tblPrEx>
        <w:trPr>
          <w:trHeight w:val="678" w:hRule="atLeast"/>
          <w:jc w:val="center"/>
        </w:trPr>
        <w:tc>
          <w:tcPr>
            <w:tcW w:w="9643" w:type="dxa"/>
            <w:gridSpan w:val="8"/>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    说明：“项目支出”需要填报除基本支出以外的所有项目情况，包括业务工作项目、运行维护项目等；“公用经费”填报基本支出中的一般商品和服务支出。</w:t>
            </w:r>
          </w:p>
        </w:tc>
      </w:tr>
    </w:tbl>
    <w:p>
      <w:pPr>
        <w:pStyle w:val="9"/>
        <w:keepNext w:val="0"/>
        <w:keepLines w:val="0"/>
        <w:pageBreakBefore w:val="0"/>
        <w:widowControl w:val="0"/>
        <w:kinsoku/>
        <w:wordWrap/>
        <w:overflowPunct/>
        <w:topLinePunct w:val="0"/>
        <w:autoSpaceDE/>
        <w:autoSpaceDN/>
        <w:bidi w:val="0"/>
        <w:adjustRightInd/>
        <w:snapToGrid/>
        <w:spacing w:line="40" w:lineRule="exact"/>
        <w:ind w:firstLine="0" w:firstLineChars="0"/>
        <w:textAlignment w:val="auto"/>
        <w:outlineLvl w:val="9"/>
        <w:rPr>
          <w:rFonts w:hint="eastAsia" w:ascii="仿宋_GB2312" w:hAnsi="仿宋_GB2312" w:eastAsia="仿宋_GB2312" w:cs="仿宋_GB2312"/>
          <w:sz w:val="32"/>
          <w:szCs w:val="32"/>
        </w:rPr>
      </w:pPr>
    </w:p>
    <w:sectPr>
      <w:footerReference r:id="rId3" w:type="default"/>
      <w:pgSz w:w="11906" w:h="16838"/>
      <w:pgMar w:top="1701" w:right="1474" w:bottom="1417" w:left="1644"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A289B"/>
    <w:multiLevelType w:val="singleLevel"/>
    <w:tmpl w:val="9FAA289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AE"/>
    <w:rsid w:val="00011E6C"/>
    <w:rsid w:val="000320D7"/>
    <w:rsid w:val="00047DD4"/>
    <w:rsid w:val="00053AD6"/>
    <w:rsid w:val="00063872"/>
    <w:rsid w:val="00071EC4"/>
    <w:rsid w:val="00075146"/>
    <w:rsid w:val="000A357F"/>
    <w:rsid w:val="000B5DF9"/>
    <w:rsid w:val="000B6B8F"/>
    <w:rsid w:val="000D0B3D"/>
    <w:rsid w:val="000D1CCB"/>
    <w:rsid w:val="000E122B"/>
    <w:rsid w:val="000E2F9E"/>
    <w:rsid w:val="000E4CED"/>
    <w:rsid w:val="001153C9"/>
    <w:rsid w:val="001258EE"/>
    <w:rsid w:val="001475F7"/>
    <w:rsid w:val="001576F4"/>
    <w:rsid w:val="00170523"/>
    <w:rsid w:val="00192A9B"/>
    <w:rsid w:val="001A08F8"/>
    <w:rsid w:val="001C35DC"/>
    <w:rsid w:val="001E4852"/>
    <w:rsid w:val="001F3344"/>
    <w:rsid w:val="00214C2F"/>
    <w:rsid w:val="00217938"/>
    <w:rsid w:val="0022077F"/>
    <w:rsid w:val="00251D80"/>
    <w:rsid w:val="002971B0"/>
    <w:rsid w:val="002B6EF3"/>
    <w:rsid w:val="002D1F08"/>
    <w:rsid w:val="002E12CE"/>
    <w:rsid w:val="002E271B"/>
    <w:rsid w:val="003005B8"/>
    <w:rsid w:val="00307A77"/>
    <w:rsid w:val="00311E8F"/>
    <w:rsid w:val="0031704A"/>
    <w:rsid w:val="00317B38"/>
    <w:rsid w:val="00320DFC"/>
    <w:rsid w:val="0034357C"/>
    <w:rsid w:val="0035514B"/>
    <w:rsid w:val="00376760"/>
    <w:rsid w:val="00377502"/>
    <w:rsid w:val="003869C3"/>
    <w:rsid w:val="003B3659"/>
    <w:rsid w:val="003C3423"/>
    <w:rsid w:val="003D37DD"/>
    <w:rsid w:val="004050F1"/>
    <w:rsid w:val="0041565A"/>
    <w:rsid w:val="00416C35"/>
    <w:rsid w:val="00421D59"/>
    <w:rsid w:val="00427FBE"/>
    <w:rsid w:val="00453046"/>
    <w:rsid w:val="00461AAE"/>
    <w:rsid w:val="004870A2"/>
    <w:rsid w:val="004A0085"/>
    <w:rsid w:val="004A3959"/>
    <w:rsid w:val="004A7023"/>
    <w:rsid w:val="004C177D"/>
    <w:rsid w:val="004D384B"/>
    <w:rsid w:val="004F1134"/>
    <w:rsid w:val="004F5C12"/>
    <w:rsid w:val="00521D23"/>
    <w:rsid w:val="0052232E"/>
    <w:rsid w:val="0053518F"/>
    <w:rsid w:val="00583860"/>
    <w:rsid w:val="005A594B"/>
    <w:rsid w:val="005B4425"/>
    <w:rsid w:val="005B6936"/>
    <w:rsid w:val="005C5AB1"/>
    <w:rsid w:val="00611051"/>
    <w:rsid w:val="006151CB"/>
    <w:rsid w:val="00616376"/>
    <w:rsid w:val="00634518"/>
    <w:rsid w:val="00645297"/>
    <w:rsid w:val="00654A89"/>
    <w:rsid w:val="00670ADB"/>
    <w:rsid w:val="00697F79"/>
    <w:rsid w:val="006A0713"/>
    <w:rsid w:val="006A1D4C"/>
    <w:rsid w:val="006B1013"/>
    <w:rsid w:val="006B4FDB"/>
    <w:rsid w:val="006C202D"/>
    <w:rsid w:val="006E7779"/>
    <w:rsid w:val="00714E35"/>
    <w:rsid w:val="00731229"/>
    <w:rsid w:val="00737660"/>
    <w:rsid w:val="0075719C"/>
    <w:rsid w:val="0075774F"/>
    <w:rsid w:val="007600FE"/>
    <w:rsid w:val="007A021D"/>
    <w:rsid w:val="007A0D40"/>
    <w:rsid w:val="007A2DC6"/>
    <w:rsid w:val="007B01AB"/>
    <w:rsid w:val="007B7139"/>
    <w:rsid w:val="007E229D"/>
    <w:rsid w:val="007E6CD7"/>
    <w:rsid w:val="007E74C2"/>
    <w:rsid w:val="007F4545"/>
    <w:rsid w:val="007F708C"/>
    <w:rsid w:val="007F7FD7"/>
    <w:rsid w:val="0082344C"/>
    <w:rsid w:val="00832CA1"/>
    <w:rsid w:val="00896603"/>
    <w:rsid w:val="008A2D93"/>
    <w:rsid w:val="008B3100"/>
    <w:rsid w:val="008C783F"/>
    <w:rsid w:val="008D0AF9"/>
    <w:rsid w:val="008D3ACE"/>
    <w:rsid w:val="008F1AA9"/>
    <w:rsid w:val="008F2A75"/>
    <w:rsid w:val="008F729C"/>
    <w:rsid w:val="008F7EB7"/>
    <w:rsid w:val="00902A9A"/>
    <w:rsid w:val="00910E77"/>
    <w:rsid w:val="00917758"/>
    <w:rsid w:val="00922D53"/>
    <w:rsid w:val="009245B5"/>
    <w:rsid w:val="00927344"/>
    <w:rsid w:val="0095282F"/>
    <w:rsid w:val="0097368C"/>
    <w:rsid w:val="00997571"/>
    <w:rsid w:val="009B3469"/>
    <w:rsid w:val="009C2507"/>
    <w:rsid w:val="009C6120"/>
    <w:rsid w:val="009E7C2C"/>
    <w:rsid w:val="00A21702"/>
    <w:rsid w:val="00A26AD7"/>
    <w:rsid w:val="00A3035C"/>
    <w:rsid w:val="00A5308F"/>
    <w:rsid w:val="00A86084"/>
    <w:rsid w:val="00A97DC6"/>
    <w:rsid w:val="00AA5BB1"/>
    <w:rsid w:val="00AB70F6"/>
    <w:rsid w:val="00AC7743"/>
    <w:rsid w:val="00AE278C"/>
    <w:rsid w:val="00AF2CAA"/>
    <w:rsid w:val="00B243E7"/>
    <w:rsid w:val="00B644BD"/>
    <w:rsid w:val="00B76E11"/>
    <w:rsid w:val="00B81423"/>
    <w:rsid w:val="00B970D3"/>
    <w:rsid w:val="00BA0AAA"/>
    <w:rsid w:val="00BB0139"/>
    <w:rsid w:val="00BC7D86"/>
    <w:rsid w:val="00BD1F13"/>
    <w:rsid w:val="00BF039D"/>
    <w:rsid w:val="00C04F6A"/>
    <w:rsid w:val="00C3089D"/>
    <w:rsid w:val="00C340C2"/>
    <w:rsid w:val="00C86173"/>
    <w:rsid w:val="00C91C89"/>
    <w:rsid w:val="00CB38F5"/>
    <w:rsid w:val="00CB5DD9"/>
    <w:rsid w:val="00CC0FE7"/>
    <w:rsid w:val="00CE15CD"/>
    <w:rsid w:val="00CE6382"/>
    <w:rsid w:val="00D05D35"/>
    <w:rsid w:val="00D132C7"/>
    <w:rsid w:val="00D14DB5"/>
    <w:rsid w:val="00D23FD5"/>
    <w:rsid w:val="00D42E61"/>
    <w:rsid w:val="00D62F04"/>
    <w:rsid w:val="00DA2BF0"/>
    <w:rsid w:val="00DA7B68"/>
    <w:rsid w:val="00DE294B"/>
    <w:rsid w:val="00DE5E1B"/>
    <w:rsid w:val="00DF4451"/>
    <w:rsid w:val="00E10F25"/>
    <w:rsid w:val="00E21A2A"/>
    <w:rsid w:val="00E262B5"/>
    <w:rsid w:val="00E37132"/>
    <w:rsid w:val="00EA76D4"/>
    <w:rsid w:val="00EC5A72"/>
    <w:rsid w:val="00EF63E9"/>
    <w:rsid w:val="00F025AD"/>
    <w:rsid w:val="00F105F6"/>
    <w:rsid w:val="00F27F06"/>
    <w:rsid w:val="00F350FB"/>
    <w:rsid w:val="00F41854"/>
    <w:rsid w:val="00F67C5A"/>
    <w:rsid w:val="00F85167"/>
    <w:rsid w:val="00FA01C7"/>
    <w:rsid w:val="00FA1CC9"/>
    <w:rsid w:val="00FA6C76"/>
    <w:rsid w:val="00FA7BAC"/>
    <w:rsid w:val="00FB0259"/>
    <w:rsid w:val="00FC47F8"/>
    <w:rsid w:val="00FF3460"/>
    <w:rsid w:val="020B74DC"/>
    <w:rsid w:val="024B63F5"/>
    <w:rsid w:val="024D12C5"/>
    <w:rsid w:val="026F7622"/>
    <w:rsid w:val="046E76A0"/>
    <w:rsid w:val="0B55709B"/>
    <w:rsid w:val="0BBB00DB"/>
    <w:rsid w:val="10172C35"/>
    <w:rsid w:val="15754C94"/>
    <w:rsid w:val="19327907"/>
    <w:rsid w:val="19625517"/>
    <w:rsid w:val="1C270B97"/>
    <w:rsid w:val="1FA06BBF"/>
    <w:rsid w:val="20E743A6"/>
    <w:rsid w:val="23FB1A46"/>
    <w:rsid w:val="263714B6"/>
    <w:rsid w:val="295370A7"/>
    <w:rsid w:val="2BE838F2"/>
    <w:rsid w:val="2FF36CCD"/>
    <w:rsid w:val="31E157E1"/>
    <w:rsid w:val="34736E78"/>
    <w:rsid w:val="355400A9"/>
    <w:rsid w:val="3C2B518D"/>
    <w:rsid w:val="3D547EC1"/>
    <w:rsid w:val="40666D88"/>
    <w:rsid w:val="47363260"/>
    <w:rsid w:val="47AB1782"/>
    <w:rsid w:val="482E5B44"/>
    <w:rsid w:val="49DB0AFF"/>
    <w:rsid w:val="4F565AA8"/>
    <w:rsid w:val="50953F39"/>
    <w:rsid w:val="51945603"/>
    <w:rsid w:val="52CA0A22"/>
    <w:rsid w:val="594C175E"/>
    <w:rsid w:val="5A7560E3"/>
    <w:rsid w:val="62FE2DE2"/>
    <w:rsid w:val="66A75CD7"/>
    <w:rsid w:val="6B395724"/>
    <w:rsid w:val="6E577779"/>
    <w:rsid w:val="752753F4"/>
    <w:rsid w:val="7960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qFormat/>
    <w:uiPriority w:val="99"/>
    <w:pPr>
      <w:ind w:firstLine="420" w:firstLineChars="200"/>
    </w:pPr>
    <w:rPr>
      <w:rFonts w:eastAsia="仿宋_GB231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page number"/>
    <w:basedOn w:val="6"/>
    <w:uiPriority w:val="99"/>
  </w:style>
  <w:style w:type="paragraph" w:customStyle="1" w:styleId="9">
    <w:name w:val="列出段落1"/>
    <w:basedOn w:val="1"/>
    <w:qFormat/>
    <w:uiPriority w:val="34"/>
    <w:pPr>
      <w:ind w:firstLine="420" w:firstLineChars="200"/>
    </w:pPr>
  </w:style>
  <w:style w:type="character" w:customStyle="1" w:styleId="10">
    <w:name w:val="页眉 Char"/>
    <w:basedOn w:val="6"/>
    <w:link w:val="4"/>
    <w:semiHidden/>
    <w:qFormat/>
    <w:uiPriority w:val="99"/>
    <w:rPr>
      <w:kern w:val="2"/>
      <w:sz w:val="18"/>
      <w:szCs w:val="18"/>
    </w:rPr>
  </w:style>
  <w:style w:type="character" w:customStyle="1" w:styleId="11">
    <w:name w:val="页脚 Char"/>
    <w:basedOn w:val="6"/>
    <w:link w:val="3"/>
    <w:semiHidden/>
    <w:qFormat/>
    <w:uiPriority w:val="99"/>
    <w:rPr>
      <w:kern w:val="2"/>
      <w:sz w:val="18"/>
      <w:szCs w:val="18"/>
    </w:rPr>
  </w:style>
  <w:style w:type="character" w:customStyle="1" w:styleId="12">
    <w:name w:val="font11"/>
    <w:basedOn w:val="6"/>
    <w:qFormat/>
    <w:uiPriority w:val="0"/>
    <w:rPr>
      <w:rFonts w:hint="default" w:ascii="Times New Roman" w:hAnsi="Times New Roman" w:cs="Times New Roman"/>
      <w:color w:val="000000"/>
      <w:sz w:val="22"/>
      <w:szCs w:val="22"/>
      <w:u w:val="none"/>
    </w:rPr>
  </w:style>
  <w:style w:type="character" w:customStyle="1" w:styleId="13">
    <w:name w:val="font31"/>
    <w:basedOn w:val="6"/>
    <w:qFormat/>
    <w:uiPriority w:val="0"/>
    <w:rPr>
      <w:rFonts w:hint="eastAsia" w:ascii="宋体" w:hAnsi="宋体" w:eastAsia="宋体" w:cs="宋体"/>
      <w:color w:val="000000"/>
      <w:sz w:val="24"/>
      <w:szCs w:val="24"/>
      <w:u w:val="none"/>
    </w:rPr>
  </w:style>
  <w:style w:type="character" w:customStyle="1" w:styleId="14">
    <w:name w:val="font01"/>
    <w:basedOn w:val="6"/>
    <w:uiPriority w:val="0"/>
    <w:rPr>
      <w:rFonts w:hint="eastAsia" w:ascii="宋体" w:hAnsi="宋体" w:eastAsia="宋体" w:cs="宋体"/>
      <w:color w:val="000000"/>
      <w:sz w:val="22"/>
      <w:szCs w:val="22"/>
      <w:u w:val="none"/>
    </w:rPr>
  </w:style>
  <w:style w:type="paragraph" w:customStyle="1" w:styleId="1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font21"/>
    <w:basedOn w:val="6"/>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1656</Words>
  <Characters>9445</Characters>
  <Lines>78</Lines>
  <Paragraphs>22</Paragraphs>
  <TotalTime>6</TotalTime>
  <ScaleCrop>false</ScaleCrop>
  <LinksUpToDate>false</LinksUpToDate>
  <CharactersWithSpaces>11079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2019-05-21T05:30:00Z</dcterms:created>
  <dc:creator>Administrator</dc:creator>
  <cp:lastModifiedBy>Administrator</cp:lastModifiedBy>
  <cp:lastPrinted>2020-06-28T01:11:25Z</cp:lastPrinted>
  <dcterms:modified xsi:type="dcterms:W3CDTF">2020-06-28T01:14:10Z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