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cs="方正大标宋_GBK"/>
          <w:b/>
          <w:bCs/>
          <w:sz w:val="36"/>
          <w:szCs w:val="36"/>
        </w:rPr>
      </w:pPr>
      <w:r>
        <w:rPr>
          <w:rFonts w:hint="eastAsia" w:ascii="宋体" w:hAnsi="宋体" w:cs="方正大标宋_GBK"/>
          <w:b/>
          <w:bCs/>
          <w:sz w:val="36"/>
          <w:szCs w:val="36"/>
        </w:rPr>
        <w:t>芷江县房产局</w:t>
      </w:r>
      <w:r>
        <w:rPr>
          <w:rFonts w:ascii="宋体" w:hAnsi="宋体" w:cs="方正大标宋_GBK"/>
          <w:b/>
          <w:bCs/>
          <w:sz w:val="36"/>
          <w:szCs w:val="36"/>
        </w:rPr>
        <w:t>20</w:t>
      </w:r>
      <w:r>
        <w:rPr>
          <w:rFonts w:hint="eastAsia" w:ascii="宋体" w:hAnsi="宋体" w:cs="方正大标宋_GBK"/>
          <w:b/>
          <w:bCs/>
          <w:sz w:val="36"/>
          <w:szCs w:val="36"/>
        </w:rPr>
        <w:t>18年部门整体支出绩效自评报告</w:t>
      </w:r>
    </w:p>
    <w:p>
      <w:pPr>
        <w:snapToGrid w:val="0"/>
        <w:spacing w:line="560" w:lineRule="exact"/>
      </w:pPr>
    </w:p>
    <w:p>
      <w:pPr>
        <w:adjustRightInd w:val="0"/>
        <w:snapToGrid w:val="0"/>
        <w:spacing w:line="560" w:lineRule="exact"/>
        <w:ind w:firstLine="600" w:firstLineChars="200"/>
        <w:rPr>
          <w:rFonts w:ascii="??_GB2312" w:hAnsi="??_GB2312" w:cs="??_GB2312"/>
          <w:sz w:val="30"/>
          <w:szCs w:val="30"/>
        </w:rPr>
      </w:pPr>
      <w:r>
        <w:rPr>
          <w:rFonts w:hint="eastAsia" w:ascii="宋体" w:hAnsi="宋体" w:cs="宋体"/>
          <w:sz w:val="30"/>
          <w:szCs w:val="30"/>
        </w:rPr>
        <w:t>根据《预算法》有关</w:t>
      </w:r>
      <w:r>
        <w:rPr>
          <w:rFonts w:ascii="??_GB2312" w:hAnsi="??_GB2312" w:cs="??_GB2312"/>
          <w:sz w:val="30"/>
          <w:szCs w:val="30"/>
        </w:rPr>
        <w:t>“</w:t>
      </w:r>
      <w:r>
        <w:rPr>
          <w:rFonts w:hint="eastAsia" w:ascii="宋体" w:hAnsi="宋体" w:cs="宋体"/>
          <w:sz w:val="30"/>
          <w:szCs w:val="30"/>
        </w:rPr>
        <w:t>各级政府、各部门、各单位应当对预算支出情况开展绩效评价</w:t>
      </w:r>
      <w:r>
        <w:rPr>
          <w:rFonts w:ascii="??_GB2312" w:hAnsi="??_GB2312" w:cs="??_GB2312"/>
          <w:sz w:val="30"/>
          <w:szCs w:val="30"/>
        </w:rPr>
        <w:t>”</w:t>
      </w:r>
      <w:r>
        <w:rPr>
          <w:rFonts w:hint="eastAsia" w:ascii="宋体" w:hAnsi="宋体" w:cs="宋体"/>
          <w:sz w:val="30"/>
          <w:szCs w:val="30"/>
        </w:rPr>
        <w:t>的规定，我单位对部门整体支出进行了绩效评价</w:t>
      </w:r>
      <w:r>
        <w:rPr>
          <w:rFonts w:ascii="??_GB2312" w:hAnsi="??_GB2312" w:cs="??_GB2312"/>
          <w:sz w:val="30"/>
          <w:szCs w:val="30"/>
        </w:rPr>
        <w:t>,</w:t>
      </w:r>
      <w:r>
        <w:rPr>
          <w:rFonts w:hint="eastAsia" w:ascii="宋体" w:hAnsi="宋体" w:cs="宋体"/>
          <w:sz w:val="30"/>
          <w:szCs w:val="30"/>
        </w:rPr>
        <w:t>现将有关情况报告如下：</w:t>
      </w:r>
    </w:p>
    <w:p>
      <w:pPr>
        <w:adjustRightInd w:val="0"/>
        <w:snapToGrid w:val="0"/>
        <w:spacing w:line="560" w:lineRule="exact"/>
        <w:ind w:firstLine="640" w:firstLineChars="200"/>
        <w:rPr>
          <w:rFonts w:ascii="黑体" w:hAnsi="黑体" w:eastAsia="黑体" w:cs="黑体"/>
          <w:b/>
          <w:sz w:val="32"/>
          <w:szCs w:val="32"/>
        </w:rPr>
      </w:pPr>
      <w:r>
        <w:rPr>
          <w:rFonts w:ascii="黑体" w:hAnsi="黑体" w:eastAsia="黑体" w:cs="黑体"/>
          <w:sz w:val="32"/>
          <w:szCs w:val="32"/>
        </w:rPr>
        <w:t xml:space="preserve"> </w:t>
      </w:r>
      <w:r>
        <w:rPr>
          <w:rFonts w:hint="eastAsia" w:ascii="黑体" w:hAnsi="黑体" w:eastAsia="黑体" w:cs="黑体"/>
          <w:b/>
          <w:sz w:val="32"/>
          <w:szCs w:val="32"/>
        </w:rPr>
        <w:t>一、基本情况</w:t>
      </w:r>
    </w:p>
    <w:p>
      <w:pPr>
        <w:adjustRightInd w:val="0"/>
        <w:snapToGrid w:val="0"/>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djustRightInd w:val="0"/>
        <w:snapToGrid w:val="0"/>
        <w:spacing w:line="560" w:lineRule="exact"/>
        <w:ind w:firstLine="600" w:firstLineChars="200"/>
        <w:rPr>
          <w:rFonts w:ascii="??_GB2312" w:hAnsi="??_GB2312" w:cs="??_GB2312"/>
          <w:sz w:val="30"/>
          <w:szCs w:val="30"/>
        </w:rPr>
      </w:pPr>
      <w:r>
        <w:rPr>
          <w:rFonts w:ascii="??_GB2312" w:hAnsi="??_GB2312" w:cs="??_GB2312"/>
          <w:sz w:val="30"/>
          <w:szCs w:val="30"/>
        </w:rPr>
        <w:t>1</w:t>
      </w:r>
      <w:r>
        <w:rPr>
          <w:rFonts w:hint="eastAsia" w:ascii="宋体" w:hAnsi="宋体" w:cs="宋体"/>
          <w:sz w:val="30"/>
          <w:szCs w:val="30"/>
        </w:rPr>
        <w:t>、贯彻执行国家、省、市有关房产管理以及住房制度改革的方针、政策、法律、法规。</w:t>
      </w:r>
    </w:p>
    <w:p>
      <w:pPr>
        <w:adjustRightInd w:val="0"/>
        <w:snapToGrid w:val="0"/>
        <w:spacing w:line="560" w:lineRule="exact"/>
        <w:ind w:firstLine="600" w:firstLineChars="200"/>
        <w:rPr>
          <w:rFonts w:ascii="??_GB2312" w:hAnsi="??_GB2312" w:cs="??_GB2312"/>
          <w:sz w:val="30"/>
          <w:szCs w:val="30"/>
        </w:rPr>
      </w:pPr>
      <w:r>
        <w:rPr>
          <w:rFonts w:ascii="??_GB2312" w:hAnsi="??_GB2312" w:cs="??_GB2312"/>
          <w:sz w:val="30"/>
          <w:szCs w:val="30"/>
        </w:rPr>
        <w:t>2</w:t>
      </w:r>
      <w:r>
        <w:rPr>
          <w:rFonts w:hint="eastAsia" w:ascii="宋体" w:hAnsi="宋体" w:cs="宋体"/>
          <w:sz w:val="30"/>
          <w:szCs w:val="30"/>
        </w:rPr>
        <w:t>、为群众提供房管服务。房屋管理、房地产交易管理及服务、房屋安全鉴定及拆迁、白蚁防治、物业管理、房地产开发经营相关社会服务。</w:t>
      </w:r>
    </w:p>
    <w:p>
      <w:pPr>
        <w:adjustRightInd w:val="0"/>
        <w:snapToGrid w:val="0"/>
        <w:spacing w:line="560" w:lineRule="exact"/>
        <w:ind w:firstLine="600" w:firstLineChars="200"/>
        <w:rPr>
          <w:rFonts w:ascii="??_GB2312" w:hAnsi="??_GB2312" w:cs="??_GB2312"/>
          <w:sz w:val="30"/>
          <w:szCs w:val="30"/>
        </w:rPr>
      </w:pPr>
      <w:r>
        <w:rPr>
          <w:rFonts w:hint="eastAsia" w:ascii="宋体" w:hAnsi="宋体" w:cs="宋体"/>
          <w:sz w:val="30"/>
          <w:szCs w:val="30"/>
        </w:rPr>
        <w:t>（二）、机构人员情况：核定全额行政编制</w:t>
      </w:r>
      <w:r>
        <w:rPr>
          <w:rFonts w:ascii="??_GB2312" w:hAnsi="??_GB2312" w:cs="??_GB2312"/>
          <w:sz w:val="30"/>
          <w:szCs w:val="30"/>
        </w:rPr>
        <w:t>12</w:t>
      </w:r>
      <w:r>
        <w:rPr>
          <w:rFonts w:hint="eastAsia" w:ascii="宋体" w:hAnsi="宋体" w:cs="宋体"/>
          <w:sz w:val="30"/>
          <w:szCs w:val="30"/>
        </w:rPr>
        <w:t>名，事业编制</w:t>
      </w:r>
      <w:r>
        <w:rPr>
          <w:rFonts w:ascii="??_GB2312" w:hAnsi="??_GB2312" w:cs="??_GB2312"/>
          <w:sz w:val="30"/>
          <w:szCs w:val="30"/>
        </w:rPr>
        <w:t>41</w:t>
      </w:r>
      <w:r>
        <w:rPr>
          <w:rFonts w:hint="eastAsia" w:ascii="宋体" w:hAnsi="宋体" w:cs="宋体"/>
          <w:sz w:val="30"/>
          <w:szCs w:val="30"/>
        </w:rPr>
        <w:t>名</w:t>
      </w:r>
      <w:r>
        <w:rPr>
          <w:rFonts w:ascii="??_GB2312" w:hAnsi="??_GB2312" w:cs="??_GB2312"/>
          <w:sz w:val="30"/>
          <w:szCs w:val="30"/>
        </w:rPr>
        <w:t>,</w:t>
      </w:r>
      <w:r>
        <w:rPr>
          <w:rFonts w:hint="eastAsia" w:ascii="宋体" w:hAnsi="宋体" w:cs="宋体"/>
          <w:sz w:val="30"/>
          <w:szCs w:val="30"/>
        </w:rPr>
        <w:t>共</w:t>
      </w:r>
      <w:r>
        <w:rPr>
          <w:rFonts w:ascii="??_GB2312" w:hAnsi="??_GB2312" w:cs="??_GB2312"/>
          <w:sz w:val="30"/>
          <w:szCs w:val="30"/>
        </w:rPr>
        <w:t>53</w:t>
      </w:r>
      <w:r>
        <w:rPr>
          <w:rFonts w:hint="eastAsia" w:ascii="宋体" w:hAnsi="宋体" w:cs="宋体"/>
          <w:sz w:val="30"/>
          <w:szCs w:val="30"/>
        </w:rPr>
        <w:t>名；</w:t>
      </w:r>
      <w:r>
        <w:rPr>
          <w:rFonts w:ascii="??_GB2312" w:hAnsi="??_GB2312" w:cs="??_GB2312"/>
          <w:sz w:val="30"/>
          <w:szCs w:val="30"/>
        </w:rPr>
        <w:t xml:space="preserve"> </w:t>
      </w:r>
      <w:r>
        <w:rPr>
          <w:rFonts w:hint="eastAsia" w:ascii="宋体" w:hAnsi="宋体" w:cs="宋体"/>
          <w:sz w:val="30"/>
          <w:szCs w:val="30"/>
        </w:rPr>
        <w:t>实有人数为</w:t>
      </w:r>
      <w:r>
        <w:rPr>
          <w:rFonts w:hint="eastAsia" w:ascii="??_GB2312" w:hAnsi="??_GB2312" w:cs="??_GB2312"/>
          <w:sz w:val="30"/>
          <w:szCs w:val="30"/>
        </w:rPr>
        <w:t>41</w:t>
      </w:r>
      <w:r>
        <w:rPr>
          <w:rFonts w:hint="eastAsia" w:ascii="宋体" w:hAnsi="宋体" w:cs="宋体"/>
          <w:sz w:val="30"/>
          <w:szCs w:val="30"/>
        </w:rPr>
        <w:t>人。</w:t>
      </w:r>
    </w:p>
    <w:p>
      <w:pPr>
        <w:adjustRightInd w:val="0"/>
        <w:snapToGrid w:val="0"/>
        <w:spacing w:line="560" w:lineRule="exact"/>
        <w:ind w:firstLine="600" w:firstLineChars="200"/>
        <w:rPr>
          <w:rFonts w:ascii="??_GB2312" w:hAnsi="??_GB2312" w:cs="??_GB2312"/>
          <w:sz w:val="30"/>
          <w:szCs w:val="30"/>
        </w:rPr>
      </w:pPr>
      <w:r>
        <w:rPr>
          <w:rFonts w:hint="eastAsia" w:ascii="宋体" w:hAnsi="宋体" w:cs="宋体"/>
          <w:sz w:val="30"/>
          <w:szCs w:val="30"/>
        </w:rPr>
        <w:t>（三）、单位整体支出规模：</w:t>
      </w:r>
      <w:r>
        <w:rPr>
          <w:rFonts w:ascii="??_GB2312" w:hAnsi="??_GB2312" w:cs="??_GB2312"/>
          <w:sz w:val="30"/>
          <w:szCs w:val="30"/>
        </w:rPr>
        <w:t>20</w:t>
      </w:r>
      <w:r>
        <w:rPr>
          <w:rFonts w:hint="eastAsia" w:ascii="??_GB2312" w:hAnsi="??_GB2312" w:cs="??_GB2312"/>
          <w:sz w:val="30"/>
          <w:szCs w:val="30"/>
        </w:rPr>
        <w:t>18</w:t>
      </w:r>
      <w:r>
        <w:rPr>
          <w:rFonts w:hint="eastAsia" w:ascii="宋体" w:hAnsi="宋体" w:cs="宋体"/>
          <w:sz w:val="30"/>
          <w:szCs w:val="30"/>
        </w:rPr>
        <w:t>年财政预算为</w:t>
      </w:r>
      <w:r>
        <w:rPr>
          <w:rFonts w:hint="eastAsia" w:ascii="??_GB2312" w:hAnsi="??_GB2312" w:cs="??_GB2312"/>
          <w:sz w:val="30"/>
          <w:szCs w:val="30"/>
        </w:rPr>
        <w:t>473.72</w:t>
      </w:r>
      <w:r>
        <w:rPr>
          <w:rFonts w:hint="eastAsia" w:ascii="宋体" w:hAnsi="宋体" w:cs="宋体"/>
          <w:sz w:val="30"/>
          <w:szCs w:val="30"/>
        </w:rPr>
        <w:t>万元，主要用于人头经费安排，行政运行的办公费及直管公房维修改造管理费，白蚁防治专项经费。</w:t>
      </w:r>
    </w:p>
    <w:p>
      <w:pPr>
        <w:adjustRightInd w:val="0"/>
        <w:snapToGrid w:val="0"/>
        <w:spacing w:line="560" w:lineRule="exact"/>
        <w:ind w:firstLine="602" w:firstLineChars="200"/>
        <w:rPr>
          <w:rFonts w:ascii="??_GB2312" w:hAnsi="??_GB2312" w:cs="??_GB2312"/>
          <w:b/>
          <w:sz w:val="30"/>
          <w:szCs w:val="30"/>
        </w:rPr>
      </w:pPr>
      <w:r>
        <w:rPr>
          <w:rFonts w:hint="eastAsia" w:ascii="宋体" w:hAnsi="宋体" w:cs="宋体"/>
          <w:b/>
          <w:sz w:val="30"/>
          <w:szCs w:val="30"/>
        </w:rPr>
        <w:t>二、单位整体支出受理及使用情况</w:t>
      </w:r>
    </w:p>
    <w:p>
      <w:pPr>
        <w:adjustRightInd w:val="0"/>
        <w:snapToGrid w:val="0"/>
        <w:spacing w:line="560" w:lineRule="exact"/>
        <w:ind w:firstLine="600" w:firstLineChars="200"/>
        <w:rPr>
          <w:rFonts w:ascii="??_GB2312" w:hAnsi="??_GB2312" w:cs="??_GB2312"/>
          <w:sz w:val="30"/>
          <w:szCs w:val="30"/>
        </w:rPr>
      </w:pPr>
      <w:r>
        <w:rPr>
          <w:rFonts w:hint="eastAsia" w:ascii="宋体" w:hAnsi="宋体" w:cs="宋体"/>
          <w:sz w:val="30"/>
          <w:szCs w:val="30"/>
        </w:rPr>
        <w:t>（一）基本支出：</w:t>
      </w:r>
      <w:r>
        <w:rPr>
          <w:rFonts w:ascii="??_GB2312" w:hAnsi="??_GB2312" w:cs="??_GB2312"/>
          <w:sz w:val="30"/>
          <w:szCs w:val="30"/>
        </w:rPr>
        <w:t>201</w:t>
      </w:r>
      <w:r>
        <w:rPr>
          <w:rFonts w:hint="eastAsia" w:ascii="??_GB2312" w:hAnsi="??_GB2312" w:cs="??_GB2312"/>
          <w:sz w:val="30"/>
          <w:szCs w:val="30"/>
        </w:rPr>
        <w:t>8</w:t>
      </w:r>
      <w:r>
        <w:rPr>
          <w:rFonts w:hint="eastAsia" w:ascii="宋体" w:hAnsi="宋体" w:cs="宋体"/>
          <w:sz w:val="30"/>
          <w:szCs w:val="30"/>
        </w:rPr>
        <w:t>年度我单位支出</w:t>
      </w:r>
      <w:r>
        <w:rPr>
          <w:rFonts w:hint="eastAsia" w:ascii="??_GB2312" w:hAnsi="??_GB2312" w:cs="??_GB2312"/>
          <w:sz w:val="30"/>
          <w:szCs w:val="30"/>
        </w:rPr>
        <w:t>678.10</w:t>
      </w:r>
      <w:r>
        <w:rPr>
          <w:rFonts w:hint="eastAsia" w:ascii="宋体" w:hAnsi="宋体" w:cs="宋体"/>
          <w:sz w:val="30"/>
          <w:szCs w:val="30"/>
        </w:rPr>
        <w:t>万元，其中支出公务接待费</w:t>
      </w:r>
      <w:r>
        <w:rPr>
          <w:rFonts w:hint="eastAsia" w:ascii="??_GB2312" w:hAnsi="??_GB2312" w:cs="??_GB2312"/>
          <w:sz w:val="30"/>
          <w:szCs w:val="30"/>
        </w:rPr>
        <w:t>1.49</w:t>
      </w:r>
      <w:r>
        <w:rPr>
          <w:rFonts w:hint="eastAsia" w:ascii="宋体" w:hAnsi="宋体" w:cs="宋体"/>
          <w:sz w:val="30"/>
          <w:szCs w:val="30"/>
        </w:rPr>
        <w:t>万元，公务用车运行维护</w:t>
      </w:r>
      <w:r>
        <w:rPr>
          <w:rFonts w:hint="eastAsia" w:ascii="??_GB2312" w:hAnsi="??_GB2312" w:cs="??_GB2312"/>
          <w:sz w:val="30"/>
          <w:szCs w:val="30"/>
        </w:rPr>
        <w:t>9.93</w:t>
      </w:r>
      <w:r>
        <w:rPr>
          <w:rFonts w:hint="eastAsia" w:ascii="宋体" w:hAnsi="宋体" w:cs="宋体"/>
          <w:sz w:val="30"/>
          <w:szCs w:val="30"/>
        </w:rPr>
        <w:t>万元，预算的经费主要用于三个方面：</w:t>
      </w:r>
    </w:p>
    <w:p>
      <w:pPr>
        <w:adjustRightInd w:val="0"/>
        <w:snapToGrid w:val="0"/>
        <w:spacing w:line="560" w:lineRule="exact"/>
        <w:ind w:firstLine="600" w:firstLineChars="200"/>
        <w:rPr>
          <w:rFonts w:ascii="??_GB2312" w:hAnsi="??_GB2312" w:cs="??_GB2312"/>
          <w:sz w:val="30"/>
          <w:szCs w:val="30"/>
        </w:rPr>
      </w:pPr>
      <w:r>
        <w:rPr>
          <w:rFonts w:ascii="??_GB2312" w:hAnsi="??_GB2312" w:cs="??_GB2312"/>
          <w:sz w:val="30"/>
          <w:szCs w:val="30"/>
        </w:rPr>
        <w:t>1</w:t>
      </w:r>
      <w:r>
        <w:rPr>
          <w:rFonts w:hint="eastAsia" w:ascii="宋体" w:hAnsi="宋体" w:cs="宋体"/>
          <w:sz w:val="30"/>
          <w:szCs w:val="30"/>
        </w:rPr>
        <w:t>、工资福利支出</w:t>
      </w:r>
      <w:r>
        <w:rPr>
          <w:rFonts w:hint="eastAsia" w:ascii="??_GB2312" w:hAnsi="??_GB2312" w:cs="??_GB2312"/>
          <w:sz w:val="30"/>
          <w:szCs w:val="30"/>
        </w:rPr>
        <w:t>325.94</w:t>
      </w:r>
      <w:r>
        <w:rPr>
          <w:rFonts w:hint="eastAsia" w:ascii="宋体" w:hAnsi="宋体" w:cs="宋体"/>
          <w:sz w:val="30"/>
          <w:szCs w:val="30"/>
        </w:rPr>
        <w:t>万元</w:t>
      </w:r>
      <w:r>
        <w:rPr>
          <w:rFonts w:ascii="??_GB2312" w:hAnsi="??_GB2312" w:cs="??_GB2312"/>
          <w:sz w:val="30"/>
          <w:szCs w:val="30"/>
        </w:rPr>
        <w:t>;</w:t>
      </w:r>
    </w:p>
    <w:p>
      <w:pPr>
        <w:adjustRightInd w:val="0"/>
        <w:snapToGrid w:val="0"/>
        <w:spacing w:line="560" w:lineRule="exact"/>
        <w:ind w:firstLine="600" w:firstLineChars="200"/>
        <w:rPr>
          <w:rFonts w:ascii="??_GB2312" w:hAnsi="??_GB2312" w:cs="??_GB2312"/>
          <w:sz w:val="30"/>
          <w:szCs w:val="30"/>
        </w:rPr>
      </w:pPr>
      <w:r>
        <w:rPr>
          <w:rFonts w:ascii="??_GB2312" w:hAnsi="??_GB2312" w:cs="??_GB2312"/>
          <w:sz w:val="30"/>
          <w:szCs w:val="30"/>
        </w:rPr>
        <w:t>2</w:t>
      </w:r>
      <w:r>
        <w:rPr>
          <w:rFonts w:hint="eastAsia" w:ascii="宋体" w:hAnsi="宋体" w:cs="宋体"/>
          <w:sz w:val="30"/>
          <w:szCs w:val="30"/>
        </w:rPr>
        <w:t>、一般商品和服务支出</w:t>
      </w:r>
      <w:r>
        <w:rPr>
          <w:rFonts w:hint="eastAsia" w:ascii="??_GB2312" w:hAnsi="??_GB2312" w:cs="??_GB2312"/>
          <w:sz w:val="30"/>
          <w:szCs w:val="30"/>
        </w:rPr>
        <w:t>87.56</w:t>
      </w:r>
      <w:r>
        <w:rPr>
          <w:rFonts w:hint="eastAsia" w:ascii="宋体" w:hAnsi="宋体" w:cs="宋体"/>
          <w:sz w:val="30"/>
          <w:szCs w:val="30"/>
        </w:rPr>
        <w:t>万元，其中办公经费</w:t>
      </w:r>
      <w:r>
        <w:rPr>
          <w:rFonts w:hint="eastAsia" w:ascii="??_GB2312" w:hAnsi="??_GB2312" w:cs="??_GB2312"/>
          <w:sz w:val="30"/>
          <w:szCs w:val="30"/>
        </w:rPr>
        <w:t>9.67</w:t>
      </w:r>
      <w:r>
        <w:rPr>
          <w:rFonts w:hint="eastAsia" w:ascii="宋体" w:hAnsi="宋体" w:cs="宋体"/>
          <w:sz w:val="30"/>
          <w:szCs w:val="30"/>
        </w:rPr>
        <w:t>万元，印刷费</w:t>
      </w:r>
      <w:r>
        <w:rPr>
          <w:rFonts w:ascii="??_GB2312" w:hAnsi="??_GB2312" w:cs="??_GB2312"/>
          <w:sz w:val="30"/>
          <w:szCs w:val="30"/>
        </w:rPr>
        <w:t>0.0</w:t>
      </w:r>
      <w:r>
        <w:rPr>
          <w:rFonts w:hint="eastAsia" w:ascii="宋体" w:hAnsi="宋体" w:cs="宋体"/>
          <w:sz w:val="30"/>
          <w:szCs w:val="30"/>
        </w:rPr>
        <w:t>万元，咨询费</w:t>
      </w:r>
      <w:r>
        <w:rPr>
          <w:rFonts w:ascii="宋体" w:hAnsi="宋体" w:cs="宋体"/>
          <w:sz w:val="30"/>
          <w:szCs w:val="30"/>
        </w:rPr>
        <w:t>1</w:t>
      </w:r>
      <w:r>
        <w:rPr>
          <w:rFonts w:hint="eastAsia" w:ascii="宋体" w:hAnsi="宋体" w:cs="宋体"/>
          <w:sz w:val="30"/>
          <w:szCs w:val="30"/>
        </w:rPr>
        <w:t>万元，手续费</w:t>
      </w:r>
      <w:r>
        <w:rPr>
          <w:rFonts w:ascii="??_GB2312" w:hAnsi="??_GB2312" w:cs="??_GB2312"/>
          <w:sz w:val="30"/>
          <w:szCs w:val="30"/>
        </w:rPr>
        <w:t>0</w:t>
      </w:r>
      <w:r>
        <w:rPr>
          <w:rFonts w:hint="eastAsia" w:ascii="宋体" w:hAnsi="宋体" w:cs="宋体"/>
          <w:sz w:val="30"/>
          <w:szCs w:val="30"/>
        </w:rPr>
        <w:t>万元，水电费</w:t>
      </w:r>
      <w:r>
        <w:rPr>
          <w:rFonts w:hint="eastAsia" w:ascii="??_GB2312" w:hAnsi="??_GB2312" w:cs="??_GB2312"/>
          <w:sz w:val="30"/>
          <w:szCs w:val="30"/>
        </w:rPr>
        <w:t>3.30</w:t>
      </w:r>
      <w:r>
        <w:rPr>
          <w:rFonts w:hint="eastAsia" w:ascii="宋体" w:hAnsi="宋体" w:cs="宋体"/>
          <w:sz w:val="30"/>
          <w:szCs w:val="30"/>
        </w:rPr>
        <w:t>万元，邮电费</w:t>
      </w:r>
      <w:r>
        <w:rPr>
          <w:rFonts w:hint="eastAsia" w:ascii="??_GB2312" w:hAnsi="??_GB2312" w:cs="??_GB2312"/>
          <w:sz w:val="30"/>
          <w:szCs w:val="30"/>
        </w:rPr>
        <w:t>2.40</w:t>
      </w:r>
      <w:r>
        <w:rPr>
          <w:rFonts w:hint="eastAsia" w:ascii="宋体" w:hAnsi="宋体" w:cs="宋体"/>
          <w:sz w:val="30"/>
          <w:szCs w:val="30"/>
        </w:rPr>
        <w:t>万元，差旅费</w:t>
      </w:r>
      <w:r>
        <w:rPr>
          <w:rFonts w:hint="eastAsia" w:ascii="??_GB2312" w:hAnsi="??_GB2312" w:cs="??_GB2312"/>
          <w:sz w:val="30"/>
          <w:szCs w:val="30"/>
        </w:rPr>
        <w:t>5.18</w:t>
      </w:r>
      <w:r>
        <w:rPr>
          <w:rFonts w:hint="eastAsia" w:ascii="宋体" w:hAnsi="宋体" w:cs="宋体"/>
          <w:sz w:val="30"/>
          <w:szCs w:val="30"/>
        </w:rPr>
        <w:t>万元，维护费</w:t>
      </w:r>
      <w:r>
        <w:rPr>
          <w:rFonts w:hint="eastAsia" w:ascii="??_GB2312" w:hAnsi="??_GB2312" w:cs="??_GB2312"/>
          <w:sz w:val="30"/>
          <w:szCs w:val="30"/>
        </w:rPr>
        <w:t>10.84</w:t>
      </w:r>
      <w:r>
        <w:rPr>
          <w:rFonts w:hint="eastAsia" w:ascii="宋体" w:hAnsi="宋体" w:cs="宋体"/>
          <w:sz w:val="30"/>
          <w:szCs w:val="30"/>
        </w:rPr>
        <w:t>万元</w:t>
      </w:r>
      <w:r>
        <w:rPr>
          <w:rFonts w:ascii="??_GB2312" w:hAnsi="??_GB2312" w:cs="??_GB2312"/>
          <w:sz w:val="30"/>
          <w:szCs w:val="30"/>
        </w:rPr>
        <w:t>(</w:t>
      </w:r>
      <w:r>
        <w:rPr>
          <w:rFonts w:hint="eastAsia" w:ascii="宋体" w:hAnsi="宋体" w:cs="宋体"/>
          <w:sz w:val="30"/>
          <w:szCs w:val="30"/>
        </w:rPr>
        <w:t>其中直管公房日常维修改造管理费</w:t>
      </w:r>
      <w:r>
        <w:rPr>
          <w:rFonts w:hint="eastAsia" w:ascii="??_GB2312" w:hAnsi="??_GB2312" w:cs="??_GB2312"/>
          <w:sz w:val="30"/>
          <w:szCs w:val="30"/>
        </w:rPr>
        <w:t>10.84</w:t>
      </w:r>
      <w:r>
        <w:rPr>
          <w:rFonts w:hint="eastAsia" w:ascii="宋体" w:hAnsi="宋体" w:cs="宋体"/>
          <w:sz w:val="30"/>
          <w:szCs w:val="30"/>
        </w:rPr>
        <w:t>万元</w:t>
      </w:r>
      <w:r>
        <w:rPr>
          <w:rFonts w:ascii="??_GB2312" w:hAnsi="??_GB2312" w:cs="??_GB2312"/>
          <w:sz w:val="30"/>
          <w:szCs w:val="30"/>
        </w:rPr>
        <w:t>)</w:t>
      </w:r>
      <w:r>
        <w:rPr>
          <w:rFonts w:hint="eastAsia" w:ascii="宋体" w:hAnsi="宋体" w:cs="宋体"/>
          <w:sz w:val="30"/>
          <w:szCs w:val="30"/>
        </w:rPr>
        <w:t>，培训费</w:t>
      </w:r>
      <w:r>
        <w:rPr>
          <w:rFonts w:ascii="??_GB2312" w:hAnsi="??_GB2312" w:cs="??_GB2312"/>
          <w:sz w:val="30"/>
          <w:szCs w:val="30"/>
        </w:rPr>
        <w:t>0.</w:t>
      </w:r>
      <w:r>
        <w:rPr>
          <w:rFonts w:hint="eastAsia" w:ascii="??_GB2312" w:hAnsi="??_GB2312" w:cs="??_GB2312"/>
          <w:sz w:val="30"/>
          <w:szCs w:val="30"/>
        </w:rPr>
        <w:t>10</w:t>
      </w:r>
      <w:r>
        <w:rPr>
          <w:rFonts w:hint="eastAsia" w:ascii="宋体" w:hAnsi="宋体" w:cs="宋体"/>
          <w:sz w:val="30"/>
          <w:szCs w:val="30"/>
        </w:rPr>
        <w:t>万元，公务接待</w:t>
      </w:r>
      <w:r>
        <w:rPr>
          <w:rFonts w:hint="eastAsia" w:ascii="??_GB2312" w:hAnsi="??_GB2312" w:cs="??_GB2312"/>
          <w:sz w:val="30"/>
          <w:szCs w:val="30"/>
        </w:rPr>
        <w:t>1.49</w:t>
      </w:r>
      <w:r>
        <w:rPr>
          <w:rFonts w:hint="eastAsia" w:ascii="宋体" w:hAnsi="宋体" w:cs="宋体"/>
          <w:sz w:val="30"/>
          <w:szCs w:val="30"/>
        </w:rPr>
        <w:t>万元，劳务费</w:t>
      </w:r>
      <w:r>
        <w:rPr>
          <w:rFonts w:hint="eastAsia" w:ascii="??_GB2312" w:hAnsi="??_GB2312" w:cs="??_GB2312"/>
          <w:sz w:val="30"/>
          <w:szCs w:val="30"/>
        </w:rPr>
        <w:t>0.17</w:t>
      </w:r>
      <w:r>
        <w:rPr>
          <w:rFonts w:hint="eastAsia" w:ascii="宋体" w:hAnsi="宋体" w:cs="宋体"/>
          <w:sz w:val="30"/>
          <w:szCs w:val="30"/>
        </w:rPr>
        <w:t>万元，工会经费</w:t>
      </w:r>
      <w:r>
        <w:rPr>
          <w:rFonts w:hint="eastAsia" w:ascii="??_GB2312" w:hAnsi="??_GB2312" w:cs="??_GB2312"/>
          <w:sz w:val="30"/>
          <w:szCs w:val="30"/>
        </w:rPr>
        <w:t>14.39</w:t>
      </w:r>
      <w:r>
        <w:rPr>
          <w:rFonts w:hint="eastAsia" w:ascii="宋体" w:hAnsi="宋体" w:cs="宋体"/>
          <w:sz w:val="30"/>
          <w:szCs w:val="30"/>
        </w:rPr>
        <w:t>万元，公务用车运行维护</w:t>
      </w:r>
      <w:r>
        <w:rPr>
          <w:rFonts w:hint="eastAsia" w:ascii="??_GB2312" w:hAnsi="??_GB2312" w:cs="??_GB2312"/>
          <w:sz w:val="30"/>
          <w:szCs w:val="30"/>
        </w:rPr>
        <w:t>9.93</w:t>
      </w:r>
      <w:r>
        <w:rPr>
          <w:rFonts w:hint="eastAsia" w:ascii="宋体" w:hAnsi="宋体" w:cs="宋体"/>
          <w:sz w:val="30"/>
          <w:szCs w:val="30"/>
        </w:rPr>
        <w:t>万元，党建工作经费</w:t>
      </w:r>
      <w:r>
        <w:rPr>
          <w:rFonts w:hint="eastAsia" w:ascii="宋体" w:cs="宋体"/>
          <w:sz w:val="30"/>
          <w:szCs w:val="30"/>
        </w:rPr>
        <w:t>2</w:t>
      </w:r>
      <w:r>
        <w:rPr>
          <w:rFonts w:hint="eastAsia" w:ascii="宋体" w:hAnsi="宋体" w:cs="宋体"/>
          <w:sz w:val="30"/>
          <w:szCs w:val="30"/>
        </w:rPr>
        <w:t>万元</w:t>
      </w:r>
      <w:r>
        <w:rPr>
          <w:rFonts w:ascii="??_GB2312" w:hAnsi="??_GB2312" w:cs="??_GB2312"/>
          <w:sz w:val="30"/>
          <w:szCs w:val="30"/>
        </w:rPr>
        <w:t>,</w:t>
      </w:r>
      <w:r>
        <w:rPr>
          <w:rFonts w:hint="eastAsia" w:ascii="宋体" w:hAnsi="宋体" w:cs="宋体"/>
          <w:sz w:val="30"/>
          <w:szCs w:val="30"/>
        </w:rPr>
        <w:t>税金及附加费用</w:t>
      </w:r>
      <w:r>
        <w:rPr>
          <w:rFonts w:hint="eastAsia" w:ascii="??_GB2312" w:hAnsi="??_GB2312" w:cs="??_GB2312"/>
          <w:sz w:val="30"/>
          <w:szCs w:val="30"/>
        </w:rPr>
        <w:t>3.46</w:t>
      </w:r>
      <w:r>
        <w:rPr>
          <w:rFonts w:hint="eastAsia" w:ascii="宋体" w:hAnsi="宋体" w:cs="宋体"/>
          <w:sz w:val="30"/>
          <w:szCs w:val="30"/>
        </w:rPr>
        <w:t>万元，其他商口服务支出</w:t>
      </w:r>
      <w:r>
        <w:rPr>
          <w:rFonts w:hint="eastAsia" w:ascii="??_GB2312" w:hAnsi="??_GB2312" w:cs="??_GB2312"/>
          <w:sz w:val="30"/>
          <w:szCs w:val="30"/>
        </w:rPr>
        <w:t>23.63</w:t>
      </w:r>
      <w:r>
        <w:rPr>
          <w:rFonts w:hint="eastAsia" w:ascii="宋体" w:hAnsi="宋体" w:cs="宋体"/>
          <w:sz w:val="30"/>
          <w:szCs w:val="30"/>
        </w:rPr>
        <w:t>万元。</w:t>
      </w:r>
    </w:p>
    <w:p>
      <w:pPr>
        <w:adjustRightInd w:val="0"/>
        <w:snapToGrid w:val="0"/>
        <w:spacing w:line="560" w:lineRule="exact"/>
        <w:ind w:firstLine="600" w:firstLineChars="200"/>
        <w:rPr>
          <w:rFonts w:ascii="??_GB2312" w:hAnsi="??_GB2312" w:cs="??_GB2312"/>
          <w:sz w:val="30"/>
          <w:szCs w:val="30"/>
        </w:rPr>
      </w:pPr>
      <w:r>
        <w:rPr>
          <w:rFonts w:ascii="??_GB2312" w:hAnsi="??_GB2312" w:cs="??_GB2312"/>
          <w:sz w:val="30"/>
          <w:szCs w:val="30"/>
        </w:rPr>
        <w:t>3</w:t>
      </w:r>
      <w:r>
        <w:rPr>
          <w:rFonts w:hint="eastAsia" w:ascii="宋体" w:hAnsi="宋体" w:cs="宋体"/>
          <w:sz w:val="30"/>
          <w:szCs w:val="30"/>
        </w:rPr>
        <w:t>、对个人和家庭的补贴</w:t>
      </w:r>
      <w:r>
        <w:rPr>
          <w:rFonts w:hint="eastAsia" w:ascii="??_GB2312" w:hAnsi="??_GB2312" w:cs="??_GB2312"/>
          <w:sz w:val="30"/>
          <w:szCs w:val="30"/>
        </w:rPr>
        <w:t>143.45</w:t>
      </w:r>
      <w:r>
        <w:rPr>
          <w:rFonts w:hint="eastAsia" w:ascii="宋体" w:hAnsi="宋体" w:cs="宋体"/>
          <w:sz w:val="30"/>
          <w:szCs w:val="30"/>
        </w:rPr>
        <w:t>万元。</w:t>
      </w:r>
    </w:p>
    <w:p>
      <w:pPr>
        <w:adjustRightInd w:val="0"/>
        <w:snapToGrid w:val="0"/>
        <w:spacing w:line="560" w:lineRule="exact"/>
        <w:ind w:firstLine="600" w:firstLineChars="200"/>
        <w:rPr>
          <w:rFonts w:ascii="宋体" w:cs="宋体"/>
          <w:sz w:val="30"/>
          <w:szCs w:val="30"/>
        </w:rPr>
      </w:pPr>
      <w:r>
        <w:rPr>
          <w:rFonts w:ascii="??_GB2312" w:hAnsi="??_GB2312" w:cs="??_GB2312"/>
          <w:sz w:val="30"/>
          <w:szCs w:val="30"/>
        </w:rPr>
        <w:t>4</w:t>
      </w:r>
      <w:r>
        <w:rPr>
          <w:rFonts w:hint="eastAsia" w:ascii="宋体" w:hAnsi="宋体" w:cs="宋体"/>
          <w:sz w:val="30"/>
          <w:szCs w:val="30"/>
        </w:rPr>
        <w:t>、其他资本性支出</w:t>
      </w:r>
      <w:r>
        <w:rPr>
          <w:rFonts w:hint="eastAsia" w:ascii="??_GB2312" w:hAnsi="??_GB2312" w:cs="??_GB2312"/>
          <w:sz w:val="30"/>
          <w:szCs w:val="30"/>
        </w:rPr>
        <w:t>2.43</w:t>
      </w:r>
      <w:r>
        <w:rPr>
          <w:rFonts w:hint="eastAsia" w:ascii="宋体" w:hAnsi="宋体" w:cs="宋体"/>
          <w:sz w:val="30"/>
          <w:szCs w:val="30"/>
        </w:rPr>
        <w:t>万元</w:t>
      </w:r>
      <w:r>
        <w:rPr>
          <w:rFonts w:ascii="??_GB2312" w:hAnsi="??_GB2312" w:cs="??_GB2312"/>
          <w:sz w:val="30"/>
          <w:szCs w:val="30"/>
        </w:rPr>
        <w:t>(</w:t>
      </w:r>
      <w:r>
        <w:rPr>
          <w:rFonts w:hint="eastAsia" w:ascii="宋体" w:hAnsi="宋体" w:cs="宋体"/>
          <w:sz w:val="30"/>
          <w:szCs w:val="30"/>
        </w:rPr>
        <w:t>用于办公设备购置2.43万元</w:t>
      </w:r>
      <w:r>
        <w:rPr>
          <w:rFonts w:ascii="??_GB2312" w:hAnsi="??_GB2312" w:cs="??_GB2312"/>
          <w:sz w:val="30"/>
          <w:szCs w:val="30"/>
        </w:rPr>
        <w:t>)</w:t>
      </w:r>
      <w:r>
        <w:rPr>
          <w:rFonts w:hint="eastAsia" w:ascii="宋体" w:hAnsi="宋体" w:cs="宋体"/>
          <w:sz w:val="30"/>
          <w:szCs w:val="30"/>
        </w:rPr>
        <w:t>。</w:t>
      </w:r>
    </w:p>
    <w:p>
      <w:pPr>
        <w:adjustRightInd w:val="0"/>
        <w:snapToGrid w:val="0"/>
        <w:spacing w:line="560" w:lineRule="exact"/>
        <w:ind w:firstLine="600" w:firstLineChars="200"/>
        <w:rPr>
          <w:rFonts w:ascii="??_GB2312" w:hAnsi="??_GB2312" w:cs="??_GB2312"/>
          <w:sz w:val="30"/>
          <w:szCs w:val="30"/>
        </w:rPr>
      </w:pPr>
      <w:r>
        <w:rPr>
          <w:rFonts w:ascii="宋体" w:hAnsi="宋体" w:cs="宋体"/>
          <w:sz w:val="30"/>
          <w:szCs w:val="30"/>
        </w:rPr>
        <w:t>5</w:t>
      </w:r>
      <w:r>
        <w:rPr>
          <w:rFonts w:hint="eastAsia" w:ascii="宋体" w:hAnsi="宋体" w:cs="宋体"/>
          <w:sz w:val="30"/>
          <w:szCs w:val="30"/>
        </w:rPr>
        <w:t>、住房保障安全工程支出118.73万元。</w:t>
      </w:r>
    </w:p>
    <w:p>
      <w:pPr>
        <w:adjustRightInd w:val="0"/>
        <w:snapToGrid w:val="0"/>
        <w:spacing w:line="560" w:lineRule="exact"/>
        <w:ind w:firstLine="600" w:firstLineChars="200"/>
        <w:rPr>
          <w:rFonts w:ascii="??_GB2312" w:hAnsi="??_GB2312" w:cs="??_GB2312"/>
          <w:sz w:val="30"/>
          <w:szCs w:val="30"/>
        </w:rPr>
      </w:pPr>
      <w:r>
        <w:rPr>
          <w:rFonts w:ascii="??_GB2312" w:hAnsi="??_GB2312" w:cs="??_GB2312"/>
          <w:sz w:val="30"/>
          <w:szCs w:val="30"/>
        </w:rPr>
        <w:t>6</w:t>
      </w:r>
      <w:r>
        <w:rPr>
          <w:rFonts w:hint="eastAsia" w:ascii="宋体" w:hAnsi="宋体" w:cs="宋体"/>
          <w:sz w:val="30"/>
          <w:szCs w:val="30"/>
        </w:rPr>
        <w:t>、在三公经费的使用中</w:t>
      </w:r>
      <w:r>
        <w:rPr>
          <w:rFonts w:ascii="??_GB2312" w:hAnsi="??_GB2312" w:cs="??_GB2312"/>
          <w:sz w:val="30"/>
          <w:szCs w:val="30"/>
        </w:rPr>
        <w:t>,</w:t>
      </w:r>
      <w:r>
        <w:rPr>
          <w:rFonts w:hint="eastAsia" w:ascii="宋体" w:hAnsi="宋体" w:cs="宋体"/>
          <w:sz w:val="30"/>
          <w:szCs w:val="30"/>
        </w:rPr>
        <w:t>我单位在年初核定指标公务用车运行维护费</w:t>
      </w:r>
      <w:r>
        <w:rPr>
          <w:rFonts w:ascii="??_GB2312" w:hAnsi="??_GB2312" w:cs="??_GB2312"/>
          <w:sz w:val="30"/>
          <w:szCs w:val="30"/>
        </w:rPr>
        <w:t>10</w:t>
      </w:r>
      <w:r>
        <w:rPr>
          <w:rFonts w:hint="eastAsia" w:ascii="宋体" w:hAnsi="宋体" w:cs="宋体"/>
          <w:sz w:val="30"/>
          <w:szCs w:val="30"/>
        </w:rPr>
        <w:t>万元和公务接待费</w:t>
      </w:r>
      <w:r>
        <w:rPr>
          <w:rFonts w:ascii="??_GB2312" w:hAnsi="??_GB2312" w:cs="??_GB2312"/>
          <w:sz w:val="30"/>
          <w:szCs w:val="30"/>
        </w:rPr>
        <w:t>10</w:t>
      </w:r>
      <w:r>
        <w:rPr>
          <w:rFonts w:hint="eastAsia" w:ascii="宋体" w:hAnsi="宋体" w:cs="宋体"/>
          <w:sz w:val="30"/>
          <w:szCs w:val="30"/>
        </w:rPr>
        <w:t>万元两项费用，在年终时没有突破，分别占用指标的</w:t>
      </w:r>
      <w:r>
        <w:rPr>
          <w:rFonts w:hint="eastAsia" w:ascii="??_GB2312" w:hAnsi="??_GB2312" w:cs="??_GB2312"/>
          <w:sz w:val="30"/>
          <w:szCs w:val="30"/>
        </w:rPr>
        <w:t>99</w:t>
      </w:r>
      <w:r>
        <w:rPr>
          <w:rFonts w:ascii="??_GB2312" w:hAnsi="??_GB2312" w:cs="??_GB2312"/>
          <w:sz w:val="30"/>
          <w:szCs w:val="30"/>
        </w:rPr>
        <w:t>%</w:t>
      </w:r>
      <w:r>
        <w:rPr>
          <w:rFonts w:hint="eastAsia" w:ascii="宋体" w:hAnsi="宋体" w:cs="宋体"/>
          <w:sz w:val="30"/>
          <w:szCs w:val="30"/>
        </w:rPr>
        <w:t>和</w:t>
      </w:r>
      <w:r>
        <w:rPr>
          <w:rFonts w:hint="eastAsia" w:ascii="??_GB2312" w:hAnsi="??_GB2312" w:cs="??_GB2312"/>
          <w:sz w:val="30"/>
          <w:szCs w:val="30"/>
        </w:rPr>
        <w:t>14</w:t>
      </w:r>
      <w:r>
        <w:rPr>
          <w:rFonts w:ascii="??_GB2312" w:hAnsi="??_GB2312" w:cs="??_GB2312"/>
          <w:sz w:val="30"/>
          <w:szCs w:val="30"/>
        </w:rPr>
        <w:t>%</w:t>
      </w:r>
      <w:r>
        <w:rPr>
          <w:rFonts w:hint="eastAsia" w:ascii="宋体" w:hAnsi="宋体" w:cs="宋体"/>
          <w:sz w:val="30"/>
          <w:szCs w:val="30"/>
        </w:rPr>
        <w:t>。三公经费的管理，我们严格执行上级的相关规定进行操作，明确专人管理。保证资金使和安全性，正确性。</w:t>
      </w:r>
    </w:p>
    <w:p>
      <w:pPr>
        <w:adjustRightInd w:val="0"/>
        <w:snapToGrid w:val="0"/>
        <w:spacing w:line="560" w:lineRule="exact"/>
        <w:ind w:firstLine="602" w:firstLineChars="200"/>
        <w:rPr>
          <w:rFonts w:ascii="??_GB2312" w:hAnsi="??_GB2312" w:cs="??_GB2312"/>
          <w:b/>
          <w:sz w:val="30"/>
          <w:szCs w:val="30"/>
        </w:rPr>
      </w:pPr>
      <w:r>
        <w:rPr>
          <w:rFonts w:hint="eastAsia" w:ascii="宋体" w:hAnsi="宋体" w:cs="宋体"/>
          <w:b/>
          <w:sz w:val="30"/>
          <w:szCs w:val="30"/>
        </w:rPr>
        <w:t>三、资产管理情况</w:t>
      </w:r>
    </w:p>
    <w:p>
      <w:pPr>
        <w:adjustRightInd w:val="0"/>
        <w:snapToGrid w:val="0"/>
        <w:spacing w:line="560" w:lineRule="exact"/>
        <w:ind w:firstLine="600" w:firstLineChars="200"/>
        <w:rPr>
          <w:rFonts w:ascii="宋体" w:cs="??_GB2312"/>
          <w:sz w:val="30"/>
          <w:szCs w:val="30"/>
        </w:rPr>
      </w:pPr>
      <w:r>
        <w:rPr>
          <w:rFonts w:ascii="宋体" w:hAnsi="宋体" w:cs="??_GB2312"/>
          <w:sz w:val="30"/>
          <w:szCs w:val="30"/>
        </w:rPr>
        <w:t>20</w:t>
      </w:r>
      <w:r>
        <w:rPr>
          <w:rFonts w:hint="eastAsia" w:ascii="宋体" w:hAnsi="宋体" w:cs="??_GB2312"/>
          <w:sz w:val="30"/>
          <w:szCs w:val="30"/>
        </w:rPr>
        <w:t>18</w:t>
      </w:r>
      <w:r>
        <w:rPr>
          <w:rFonts w:hint="eastAsia" w:ascii="宋体" w:hAnsi="宋体" w:cs="宋体"/>
          <w:sz w:val="30"/>
          <w:szCs w:val="30"/>
        </w:rPr>
        <w:t>年我单位资产总额为</w:t>
      </w:r>
      <w:r>
        <w:rPr>
          <w:rFonts w:hint="eastAsia" w:ascii="宋体" w:hAnsi="宋体" w:cs="??_GB2312"/>
          <w:sz w:val="30"/>
          <w:szCs w:val="30"/>
        </w:rPr>
        <w:t>4983.53</w:t>
      </w:r>
      <w:r>
        <w:rPr>
          <w:rFonts w:hint="eastAsia" w:ascii="宋体" w:hAnsi="宋体" w:cs="宋体"/>
          <w:sz w:val="30"/>
          <w:szCs w:val="30"/>
        </w:rPr>
        <w:t>万元，其中固定资产额为</w:t>
      </w:r>
      <w:r>
        <w:rPr>
          <w:rFonts w:hint="eastAsia" w:ascii="宋体" w:hAnsi="宋体" w:cs="??_GB2312"/>
          <w:sz w:val="30"/>
          <w:szCs w:val="30"/>
        </w:rPr>
        <w:t>1077.67</w:t>
      </w:r>
      <w:r>
        <w:rPr>
          <w:rFonts w:hint="eastAsia" w:ascii="宋体" w:hAnsi="宋体" w:cs="宋体"/>
          <w:sz w:val="30"/>
          <w:szCs w:val="30"/>
        </w:rPr>
        <w:t>万元，其中一台小车固定资产总额为</w:t>
      </w:r>
      <w:r>
        <w:rPr>
          <w:rFonts w:ascii="宋体" w:hAnsi="宋体" w:cs="??_GB2312"/>
          <w:sz w:val="30"/>
          <w:szCs w:val="30"/>
        </w:rPr>
        <w:t>26.15</w:t>
      </w:r>
      <w:r>
        <w:rPr>
          <w:rFonts w:hint="eastAsia" w:ascii="宋体" w:hAnsi="宋体" w:cs="宋体"/>
          <w:sz w:val="30"/>
          <w:szCs w:val="30"/>
        </w:rPr>
        <w:t>万元。对所有的固定资产我们都进行单项登记造册，并和固定资产受理使用人签订责任制，明确受理职责。</w:t>
      </w:r>
    </w:p>
    <w:p>
      <w:pPr>
        <w:adjustRightInd w:val="0"/>
        <w:snapToGrid w:val="0"/>
        <w:spacing w:line="560" w:lineRule="exact"/>
        <w:ind w:firstLine="602" w:firstLineChars="200"/>
        <w:rPr>
          <w:rFonts w:ascii="宋体" w:cs="??_GB2312"/>
          <w:b/>
          <w:sz w:val="30"/>
          <w:szCs w:val="30"/>
        </w:rPr>
      </w:pPr>
      <w:r>
        <w:rPr>
          <w:rFonts w:hint="eastAsia" w:ascii="宋体" w:hAnsi="宋体" w:cs="宋体"/>
          <w:b/>
          <w:sz w:val="30"/>
          <w:szCs w:val="30"/>
        </w:rPr>
        <w:t>四、整体支出绩效情况</w:t>
      </w:r>
    </w:p>
    <w:p>
      <w:pPr>
        <w:adjustRightInd w:val="0"/>
        <w:snapToGrid w:val="0"/>
        <w:spacing w:line="560" w:lineRule="exact"/>
        <w:ind w:firstLine="600" w:firstLineChars="200"/>
        <w:rPr>
          <w:rFonts w:ascii="宋体" w:cs="??_GB2312"/>
          <w:sz w:val="30"/>
          <w:szCs w:val="30"/>
        </w:rPr>
      </w:pPr>
      <w:r>
        <w:rPr>
          <w:rFonts w:ascii="宋体" w:hAnsi="宋体" w:cs="??_GB2312"/>
          <w:sz w:val="30"/>
          <w:szCs w:val="30"/>
        </w:rPr>
        <w:t>201</w:t>
      </w:r>
      <w:r>
        <w:rPr>
          <w:rFonts w:hint="eastAsia" w:ascii="宋体" w:hAnsi="宋体" w:cs="??_GB2312"/>
          <w:sz w:val="30"/>
          <w:szCs w:val="30"/>
        </w:rPr>
        <w:t>8</w:t>
      </w:r>
      <w:r>
        <w:rPr>
          <w:rFonts w:hint="eastAsia" w:ascii="宋体" w:hAnsi="宋体" w:cs="宋体"/>
          <w:sz w:val="30"/>
          <w:szCs w:val="30"/>
        </w:rPr>
        <w:t>年，我局按照</w:t>
      </w:r>
      <w:r>
        <w:rPr>
          <w:rFonts w:hint="eastAsia" w:ascii="宋体" w:cs="??_GB2312"/>
          <w:sz w:val="30"/>
          <w:szCs w:val="30"/>
        </w:rPr>
        <w:t>“</w:t>
      </w:r>
      <w:r>
        <w:rPr>
          <w:rFonts w:hint="eastAsia" w:ascii="宋体" w:hAnsi="宋体" w:cs="宋体"/>
          <w:sz w:val="30"/>
          <w:szCs w:val="30"/>
        </w:rPr>
        <w:t>外树形象，内求发展</w:t>
      </w:r>
      <w:r>
        <w:rPr>
          <w:rFonts w:hint="eastAsia" w:ascii="宋体" w:cs="??_GB2312"/>
          <w:sz w:val="30"/>
          <w:szCs w:val="30"/>
        </w:rPr>
        <w:t>”</w:t>
      </w:r>
      <w:r>
        <w:rPr>
          <w:rFonts w:hint="eastAsia" w:ascii="宋体" w:hAnsi="宋体" w:cs="宋体"/>
          <w:sz w:val="30"/>
          <w:szCs w:val="30"/>
        </w:rPr>
        <w:t>的工作理念，紧紧围绕为民清廉务实的主题，突出重点抓住房保障、突出规范抓房市监管、突出发展抓财源建设，突出活动抓作风建设，不断深化巩固群众路线教育实践活动成果。</w:t>
      </w:r>
    </w:p>
    <w:p>
      <w:pPr>
        <w:adjustRightInd w:val="0"/>
        <w:snapToGrid w:val="0"/>
        <w:spacing w:line="560" w:lineRule="exact"/>
        <w:ind w:firstLine="600" w:firstLineChars="200"/>
        <w:rPr>
          <w:rFonts w:ascii="宋体" w:cs="??_GB2312"/>
          <w:sz w:val="30"/>
          <w:szCs w:val="30"/>
        </w:rPr>
      </w:pPr>
      <w:r>
        <w:rPr>
          <w:rFonts w:hint="eastAsia" w:ascii="宋体" w:hAnsi="宋体" w:cs="宋体"/>
          <w:sz w:val="30"/>
          <w:szCs w:val="30"/>
        </w:rPr>
        <w:t>（一）以依法行政为重点，加大房地产市场监管力度</w:t>
      </w:r>
    </w:p>
    <w:p>
      <w:pPr>
        <w:spacing w:line="520" w:lineRule="exact"/>
        <w:ind w:firstLine="600" w:firstLineChars="200"/>
        <w:rPr>
          <w:rFonts w:ascii="宋体"/>
          <w:sz w:val="30"/>
          <w:szCs w:val="30"/>
        </w:rPr>
      </w:pPr>
      <w:r>
        <w:rPr>
          <w:rFonts w:hint="eastAsia" w:ascii="宋体" w:hAnsi="宋体" w:cs="宋体"/>
          <w:sz w:val="30"/>
          <w:szCs w:val="30"/>
        </w:rPr>
        <w:t>一是加大房地产市场监管力度。严格预售管理，2018年依法完成商品房预售审批151栋，面积：73万平方米；完成合同备案3500条、40万平方米；资金监管在建项目楼盘17个，账户余额：6800万元；一年来协助县政府及税务局完成销售及建安税收5000余万元、完成契税征收5000余万元；加大住宅专项维修资金归集力度，全年缴存</w:t>
      </w:r>
      <w:r>
        <w:rPr>
          <w:rFonts w:hint="eastAsia" w:ascii="宋体" w:hAnsi="宋体" w:cs="??_GB2312"/>
          <w:sz w:val="30"/>
          <w:szCs w:val="30"/>
        </w:rPr>
        <w:t>1500</w:t>
      </w:r>
      <w:r>
        <w:rPr>
          <w:rFonts w:hint="eastAsia" w:ascii="宋体" w:hAnsi="宋体" w:cs="宋体"/>
          <w:sz w:val="30"/>
          <w:szCs w:val="30"/>
        </w:rPr>
        <w:t>万元，累计归集</w:t>
      </w:r>
      <w:r>
        <w:rPr>
          <w:rFonts w:hint="eastAsia" w:ascii="宋体" w:hAnsi="宋体" w:cs="??_GB2312"/>
          <w:sz w:val="30"/>
          <w:szCs w:val="30"/>
        </w:rPr>
        <w:t>6043</w:t>
      </w:r>
      <w:r>
        <w:rPr>
          <w:rFonts w:hint="eastAsia" w:ascii="宋体" w:hAnsi="宋体" w:cs="宋体"/>
          <w:sz w:val="30"/>
          <w:szCs w:val="30"/>
        </w:rPr>
        <w:t>万元。</w:t>
      </w:r>
    </w:p>
    <w:p>
      <w:pPr>
        <w:tabs>
          <w:tab w:val="left" w:pos="8410"/>
        </w:tabs>
        <w:adjustRightInd w:val="0"/>
        <w:snapToGrid w:val="0"/>
        <w:spacing w:line="560" w:lineRule="exact"/>
        <w:ind w:firstLine="600" w:firstLineChars="200"/>
        <w:rPr>
          <w:rFonts w:ascii="宋体" w:hAnsi="宋体" w:cs="宋体"/>
          <w:sz w:val="30"/>
          <w:szCs w:val="30"/>
        </w:rPr>
      </w:pPr>
      <w:r>
        <w:rPr>
          <w:rFonts w:hint="eastAsia" w:ascii="宋体" w:hAnsi="宋体" w:cs="宋体"/>
          <w:sz w:val="30"/>
          <w:szCs w:val="30"/>
        </w:rPr>
        <w:t>二是加大矛盾纠纷调处力度。协助处理金和佳园破产清算、侗锦苑二期网签、上访等问题；协助异地搬迁办预购商品房整改工作。</w:t>
      </w:r>
    </w:p>
    <w:p>
      <w:pPr>
        <w:spacing w:line="520" w:lineRule="exact"/>
        <w:ind w:firstLine="600" w:firstLineChars="200"/>
        <w:rPr>
          <w:rFonts w:ascii="宋体" w:hAnsi="宋体" w:cs="宋体"/>
          <w:sz w:val="30"/>
          <w:szCs w:val="30"/>
        </w:rPr>
      </w:pPr>
      <w:r>
        <w:rPr>
          <w:rFonts w:hint="eastAsia" w:ascii="宋体" w:hAnsi="宋体" w:cs="宋体"/>
          <w:sz w:val="30"/>
          <w:szCs w:val="30"/>
        </w:rPr>
        <w:t>三是加大规范管理力度。2018年上半年投入2.5万元对房产局信息系统平台进行系统维护，使白蚁防治、危房鉴定、物业维修基金使用审批等工作程序得到进一步规范。全年共鉴定房屋82栋，面积9840㎡，D级房屋31栋，C级房屋51栋；2018年白蚁防治签订合同122份，白蚁预防面积607811.93㎡，白蚁灭治面积16000㎡，白蚁回访面积340000㎡；2018年收取物业维修基金1500万，累计收取6043万；使用维修基金44万元，累计使用200万；2018年新备案物业企业3家，累计备案企业19家。</w:t>
      </w:r>
    </w:p>
    <w:p>
      <w:pPr>
        <w:adjustRightInd w:val="0"/>
        <w:snapToGrid w:val="0"/>
        <w:spacing w:line="560" w:lineRule="exact"/>
        <w:ind w:firstLine="600" w:firstLineChars="200"/>
        <w:rPr>
          <w:rFonts w:ascii="宋体" w:cs="??_GB2312"/>
          <w:sz w:val="30"/>
          <w:szCs w:val="30"/>
        </w:rPr>
      </w:pPr>
      <w:r>
        <w:rPr>
          <w:rFonts w:hint="eastAsia" w:ascii="宋体" w:hAnsi="宋体" w:cs="宋体"/>
          <w:sz w:val="30"/>
          <w:szCs w:val="30"/>
        </w:rPr>
        <w:t>（二）实施保障性安居工程建设和加强直管公房的日常维修改造</w:t>
      </w:r>
    </w:p>
    <w:p>
      <w:pPr>
        <w:spacing w:line="560" w:lineRule="exact"/>
        <w:ind w:firstLine="600" w:firstLineChars="200"/>
        <w:rPr>
          <w:rFonts w:ascii="宋体" w:hAnsi="宋体" w:cs="宋体"/>
          <w:sz w:val="30"/>
          <w:szCs w:val="30"/>
        </w:rPr>
      </w:pPr>
      <w:r>
        <w:rPr>
          <w:rFonts w:hint="eastAsia" w:ascii="宋体" w:hAnsi="宋体" w:cs="宋体"/>
          <w:sz w:val="30"/>
          <w:szCs w:val="30"/>
        </w:rPr>
        <w:t>一是加大棚户区改造工作力度。我县2018年棚户区改造任务1050套，开工780套，序时进度达74.3%，工作进度较慢。现已根据项目情况及时进行调整确保剩余270套棚改任务顺利完成。</w:t>
      </w:r>
    </w:p>
    <w:p>
      <w:pPr>
        <w:spacing w:line="560" w:lineRule="exact"/>
        <w:ind w:firstLine="600" w:firstLineChars="200"/>
        <w:rPr>
          <w:rFonts w:ascii="宋体" w:hAnsi="宋体" w:cs="宋体"/>
          <w:sz w:val="30"/>
          <w:szCs w:val="30"/>
        </w:rPr>
      </w:pPr>
      <w:r>
        <w:rPr>
          <w:rFonts w:hint="eastAsia" w:ascii="宋体" w:hAnsi="宋体" w:cs="宋体"/>
          <w:sz w:val="30"/>
          <w:szCs w:val="30"/>
        </w:rPr>
        <w:t>二是大力开展公租房建设。截止2015年年底（含2015年超额任务）我县共计筹集公租房3147套，其中新建廉租房1301套，新建和改建公共租赁房1599套，收购改造廉租房247套，基础配套设施齐全，现已全部投入使用。2018年根据我县保障性住房需求自筹资金新建保障性住房288套。现已主体竣工，预计年内将投入使用。</w:t>
      </w:r>
    </w:p>
    <w:p>
      <w:pPr>
        <w:pStyle w:val="8"/>
        <w:autoSpaceDN w:val="0"/>
        <w:spacing w:line="520" w:lineRule="exact"/>
        <w:ind w:firstLine="600" w:firstLineChars="200"/>
        <w:rPr>
          <w:rFonts w:ascii="仿宋_GB2312" w:hAnsi="仿宋_GB2312" w:eastAsia="仿宋_GB2312"/>
          <w:sz w:val="30"/>
          <w:szCs w:val="30"/>
        </w:rPr>
      </w:pPr>
      <w:r>
        <w:rPr>
          <w:rFonts w:hint="eastAsia" w:ascii="宋体" w:hAnsi="宋体" w:cs="宋体"/>
          <w:kern w:val="2"/>
          <w:sz w:val="30"/>
          <w:szCs w:val="30"/>
        </w:rPr>
        <w:t>三是切实保障民生资金的发放。2018年 我县已按规定与10月底前完成住房租赁补贴发放194户。</w:t>
      </w:r>
    </w:p>
    <w:p>
      <w:pPr>
        <w:adjustRightInd w:val="0"/>
        <w:snapToGrid w:val="0"/>
        <w:spacing w:line="560" w:lineRule="exact"/>
        <w:ind w:firstLine="602" w:firstLineChars="200"/>
        <w:rPr>
          <w:rFonts w:ascii="??_GB2312" w:hAnsi="??_GB2312" w:cs="??_GB2312"/>
          <w:b/>
          <w:sz w:val="30"/>
          <w:szCs w:val="30"/>
        </w:rPr>
      </w:pPr>
      <w:r>
        <w:rPr>
          <w:rFonts w:hint="eastAsia" w:ascii="宋体" w:hAnsi="宋体" w:cs="宋体"/>
          <w:b/>
          <w:sz w:val="30"/>
          <w:szCs w:val="30"/>
        </w:rPr>
        <w:t>五、整体支出绩效存在的问题</w:t>
      </w:r>
    </w:p>
    <w:p>
      <w:pPr>
        <w:adjustRightInd w:val="0"/>
        <w:snapToGrid w:val="0"/>
        <w:spacing w:line="560" w:lineRule="exact"/>
        <w:ind w:firstLine="600" w:firstLineChars="200"/>
        <w:rPr>
          <w:rFonts w:ascii="??_GB2312" w:hAnsi="??_GB2312" w:cs="??_GB2312"/>
          <w:sz w:val="30"/>
          <w:szCs w:val="30"/>
        </w:rPr>
      </w:pPr>
      <w:r>
        <w:rPr>
          <w:rFonts w:hint="eastAsia" w:ascii="宋体" w:hAnsi="宋体" w:cs="宋体"/>
          <w:sz w:val="30"/>
          <w:szCs w:val="30"/>
        </w:rPr>
        <w:t>一是预算控制率超过</w:t>
      </w:r>
      <w:r>
        <w:rPr>
          <w:rFonts w:ascii="??_GB2312" w:hAnsi="??_GB2312" w:cs="??_GB2312"/>
          <w:sz w:val="30"/>
          <w:szCs w:val="30"/>
        </w:rPr>
        <w:t>30%</w:t>
      </w:r>
      <w:r>
        <w:rPr>
          <w:rFonts w:hint="eastAsia" w:ascii="宋体" w:hAnsi="宋体" w:cs="宋体"/>
          <w:sz w:val="30"/>
          <w:szCs w:val="30"/>
        </w:rPr>
        <w:t>。形成的原因：</w:t>
      </w:r>
    </w:p>
    <w:p>
      <w:pPr>
        <w:adjustRightInd w:val="0"/>
        <w:snapToGrid w:val="0"/>
        <w:spacing w:line="560" w:lineRule="exact"/>
        <w:ind w:firstLine="600" w:firstLineChars="200"/>
        <w:rPr>
          <w:rFonts w:ascii="??_GB2312" w:hAnsi="??_GB2312" w:cs="??_GB2312"/>
          <w:sz w:val="30"/>
          <w:szCs w:val="30"/>
        </w:rPr>
      </w:pPr>
      <w:r>
        <w:rPr>
          <w:rFonts w:hint="eastAsia" w:ascii="宋体" w:hAnsi="宋体" w:cs="宋体"/>
          <w:sz w:val="30"/>
          <w:szCs w:val="30"/>
        </w:rPr>
        <w:t>1、年初人员预算经费不足，工资性支出有所增长。</w:t>
      </w:r>
    </w:p>
    <w:p>
      <w:pPr>
        <w:adjustRightInd w:val="0"/>
        <w:snapToGrid w:val="0"/>
        <w:spacing w:line="560" w:lineRule="exact"/>
        <w:ind w:firstLine="600" w:firstLineChars="200"/>
        <w:rPr>
          <w:rFonts w:ascii="??_GB2312" w:hAnsi="??_GB2312" w:cs="??_GB2312"/>
          <w:sz w:val="30"/>
          <w:szCs w:val="30"/>
        </w:rPr>
      </w:pPr>
      <w:r>
        <w:rPr>
          <w:rFonts w:hint="eastAsia" w:ascii="宋体" w:hAnsi="宋体" w:cs="宋体"/>
          <w:sz w:val="30"/>
          <w:szCs w:val="30"/>
        </w:rPr>
        <w:t>2、扶贫攻坚任务中我局对所挂的扶贫村支出的力度有所加大，资金投入较多。</w:t>
      </w:r>
    </w:p>
    <w:p>
      <w:pPr>
        <w:adjustRightInd w:val="0"/>
        <w:snapToGrid w:val="0"/>
        <w:spacing w:line="560" w:lineRule="exact"/>
        <w:ind w:firstLine="600" w:firstLineChars="200"/>
        <w:rPr>
          <w:rFonts w:ascii="??_GB2312" w:hAnsi="??_GB2312" w:cs="??_GB2312"/>
          <w:sz w:val="30"/>
          <w:szCs w:val="30"/>
        </w:rPr>
      </w:pPr>
      <w:r>
        <w:rPr>
          <w:rFonts w:hint="eastAsia" w:ascii="宋体" w:hAnsi="宋体" w:cs="宋体"/>
          <w:sz w:val="30"/>
          <w:szCs w:val="30"/>
        </w:rPr>
        <w:t>3、直管公房出现老旧，我局对危房进行了改造，维修改造费用有所增长。</w:t>
      </w:r>
    </w:p>
    <w:p>
      <w:pPr>
        <w:adjustRightInd w:val="0"/>
        <w:snapToGrid w:val="0"/>
        <w:spacing w:line="560" w:lineRule="exact"/>
        <w:ind w:firstLine="600" w:firstLineChars="200"/>
        <w:rPr>
          <w:rFonts w:ascii="??_GB2312" w:hAnsi="??_GB2312" w:cs="??_GB2312"/>
          <w:sz w:val="30"/>
          <w:szCs w:val="30"/>
        </w:rPr>
      </w:pPr>
      <w:r>
        <w:rPr>
          <w:rFonts w:hint="eastAsia" w:ascii="宋体" w:hAnsi="宋体" w:cs="宋体"/>
          <w:sz w:val="30"/>
          <w:szCs w:val="30"/>
        </w:rPr>
        <w:t>4、住房保障性住房后期管理费用有所增加。</w:t>
      </w:r>
    </w:p>
    <w:p>
      <w:pPr>
        <w:adjustRightInd w:val="0"/>
        <w:snapToGrid w:val="0"/>
        <w:spacing w:line="560" w:lineRule="exact"/>
        <w:ind w:firstLine="602" w:firstLineChars="200"/>
        <w:rPr>
          <w:rFonts w:ascii="??_GB2312" w:hAnsi="??_GB2312" w:cs="??_GB2312"/>
          <w:b/>
          <w:sz w:val="30"/>
          <w:szCs w:val="30"/>
        </w:rPr>
      </w:pPr>
      <w:r>
        <w:rPr>
          <w:rFonts w:hint="eastAsia" w:ascii="宋体" w:hAnsi="宋体" w:cs="宋体"/>
          <w:b/>
          <w:sz w:val="30"/>
          <w:szCs w:val="30"/>
        </w:rPr>
        <w:t>六、整改措施</w:t>
      </w:r>
    </w:p>
    <w:p>
      <w:pPr>
        <w:spacing w:line="560" w:lineRule="exact"/>
        <w:ind w:firstLine="600" w:firstLineChars="200"/>
        <w:rPr>
          <w:rFonts w:ascii="宋体" w:hAnsi="宋体" w:cs="宋体"/>
          <w:sz w:val="30"/>
          <w:szCs w:val="30"/>
        </w:rPr>
      </w:pPr>
      <w:r>
        <w:rPr>
          <w:rFonts w:hint="eastAsia" w:ascii="宋体" w:hAnsi="宋体" w:cs="宋体"/>
          <w:sz w:val="30"/>
          <w:szCs w:val="30"/>
        </w:rPr>
        <w:t>（二）抓党建促扶贫工作，取得实质性成效</w:t>
      </w:r>
    </w:p>
    <w:p>
      <w:pPr>
        <w:adjustRightInd w:val="0"/>
        <w:snapToGrid w:val="0"/>
        <w:spacing w:line="560" w:lineRule="exact"/>
        <w:ind w:firstLine="600" w:firstLineChars="200"/>
        <w:rPr>
          <w:rFonts w:ascii="??_GB2312" w:hAnsi="??_GB2312" w:cs="??_GB2312"/>
          <w:sz w:val="30"/>
          <w:szCs w:val="30"/>
        </w:rPr>
      </w:pPr>
      <w:r>
        <w:rPr>
          <w:rFonts w:hint="eastAsia" w:ascii="宋体" w:hAnsi="宋体" w:cs="宋体"/>
          <w:sz w:val="30"/>
          <w:szCs w:val="30"/>
        </w:rPr>
        <w:t>共同努力下，紧紧围绕中心，积极配合，服务群众，促进和谐。充分发挥党支部的战斗堡垒作用和党员的先锋模范作用，不断提高党员、干部、职工的政治素养和思想水平。扎实有效的开展党建和扶贫工作，为广大干部、职工干事创新营造良好的工作氛围，以“两学一做”教育常态化、制度化为抓手，全面推进全局党的思想、组织、作风、反腐倡廉和制度建设，全面提高我局服务群众的能力。</w:t>
      </w:r>
    </w:p>
    <w:p>
      <w:pPr>
        <w:adjustRightInd w:val="0"/>
        <w:snapToGrid w:val="0"/>
        <w:spacing w:line="560" w:lineRule="exact"/>
        <w:ind w:firstLine="600" w:firstLineChars="200"/>
        <w:rPr>
          <w:rFonts w:ascii="??_GB2312" w:hAnsi="??_GB2312" w:cs="??_GB2312"/>
          <w:sz w:val="30"/>
          <w:szCs w:val="30"/>
        </w:rPr>
      </w:pPr>
      <w:r>
        <w:rPr>
          <w:rFonts w:hint="eastAsia" w:ascii="宋体" w:hAnsi="宋体" w:cs="宋体"/>
          <w:sz w:val="30"/>
          <w:szCs w:val="30"/>
        </w:rPr>
        <w:t>（二）加强公用经费控制，严格按预算执行</w:t>
      </w:r>
    </w:p>
    <w:p>
      <w:pPr>
        <w:adjustRightInd w:val="0"/>
        <w:snapToGrid w:val="0"/>
        <w:spacing w:line="560" w:lineRule="exact"/>
        <w:ind w:firstLine="600" w:firstLineChars="200"/>
        <w:rPr>
          <w:rFonts w:ascii="??_GB2312" w:hAnsi="??_GB2312" w:cs="??_GB2312"/>
          <w:sz w:val="30"/>
          <w:szCs w:val="30"/>
        </w:rPr>
      </w:pPr>
      <w:r>
        <w:rPr>
          <w:rFonts w:hint="eastAsia" w:ascii="宋体" w:hAnsi="宋体" w:cs="宋体"/>
          <w:sz w:val="30"/>
          <w:szCs w:val="30"/>
        </w:rPr>
        <w:t>做到量入为出，勤俭节约，严格按预算执行公用经费的用途，合理支出。</w:t>
      </w:r>
    </w:p>
    <w:p>
      <w:pPr>
        <w:widowControl/>
        <w:jc w:val="left"/>
        <w:rPr>
          <w:rFonts w:ascii="??_GB2312" w:hAnsi="??_GB2312" w:cs="??_GB2312"/>
          <w:sz w:val="30"/>
          <w:szCs w:val="30"/>
        </w:rPr>
      </w:pPr>
    </w:p>
    <w:p>
      <w:pPr>
        <w:widowControl/>
        <w:jc w:val="left"/>
        <w:rPr>
          <w:rFonts w:ascii="??_GB2312" w:hAnsi="??_GB2312" w:cs="??_GB2312"/>
          <w:sz w:val="30"/>
          <w:szCs w:val="30"/>
        </w:rPr>
      </w:pPr>
    </w:p>
    <w:p>
      <w:pPr>
        <w:widowControl/>
        <w:jc w:val="left"/>
        <w:rPr>
          <w:rFonts w:ascii="??_GB2312" w:hAnsi="??_GB2312" w:cs="??_GB2312"/>
          <w:sz w:val="30"/>
          <w:szCs w:val="30"/>
        </w:rPr>
      </w:pPr>
    </w:p>
    <w:p>
      <w:pPr>
        <w:widowControl/>
        <w:jc w:val="left"/>
        <w:rPr>
          <w:rFonts w:ascii="??_GB2312" w:hAnsi="??_GB2312" w:cs="??_GB2312"/>
          <w:sz w:val="30"/>
          <w:szCs w:val="30"/>
        </w:rPr>
      </w:pPr>
    </w:p>
    <w:p>
      <w:pPr>
        <w:widowControl/>
        <w:jc w:val="left"/>
        <w:rPr>
          <w:rFonts w:ascii="??_GB2312" w:hAnsi="??_GB2312" w:cs="??_GB2312"/>
          <w:sz w:val="30"/>
          <w:szCs w:val="30"/>
        </w:rPr>
      </w:pPr>
    </w:p>
    <w:p>
      <w:pPr>
        <w:widowControl/>
        <w:jc w:val="left"/>
        <w:rPr>
          <w:rFonts w:ascii="??_GB2312" w:hAnsi="??_GB2312" w:cs="??_GB2312"/>
          <w:sz w:val="30"/>
          <w:szCs w:val="30"/>
        </w:rPr>
      </w:pPr>
    </w:p>
    <w:p>
      <w:pPr>
        <w:widowControl/>
        <w:jc w:val="left"/>
        <w:rPr>
          <w:rFonts w:ascii="??_GB2312" w:hAnsi="??_GB2312" w:cs="??_GB2312"/>
          <w:sz w:val="30"/>
          <w:szCs w:val="30"/>
        </w:rPr>
      </w:pPr>
    </w:p>
    <w:tbl>
      <w:tblPr>
        <w:tblW w:w="10185" w:type="dxa"/>
        <w:tblInd w:w="0" w:type="dxa"/>
        <w:shd w:val="clear"/>
        <w:tblLayout w:type="fixed"/>
        <w:tblCellMar>
          <w:top w:w="0" w:type="dxa"/>
          <w:left w:w="0" w:type="dxa"/>
          <w:bottom w:w="0" w:type="dxa"/>
          <w:right w:w="0" w:type="dxa"/>
        </w:tblCellMar>
      </w:tblPr>
      <w:tblGrid>
        <w:gridCol w:w="585"/>
        <w:gridCol w:w="465"/>
        <w:gridCol w:w="480"/>
        <w:gridCol w:w="675"/>
        <w:gridCol w:w="1080"/>
        <w:gridCol w:w="480"/>
        <w:gridCol w:w="2625"/>
        <w:gridCol w:w="3180"/>
        <w:gridCol w:w="615"/>
      </w:tblGrid>
      <w:tr>
        <w:tblPrEx>
          <w:shd w:val="clear"/>
          <w:tblLayout w:type="fixed"/>
          <w:tblCellMar>
            <w:top w:w="0" w:type="dxa"/>
            <w:left w:w="0" w:type="dxa"/>
            <w:bottom w:w="0" w:type="dxa"/>
            <w:right w:w="0" w:type="dxa"/>
          </w:tblCellMar>
        </w:tblPrEx>
        <w:trPr>
          <w:trHeight w:val="675" w:hRule="atLeast"/>
        </w:trPr>
        <w:tc>
          <w:tcPr>
            <w:tcW w:w="10185" w:type="dxa"/>
            <w:gridSpan w:val="9"/>
            <w:tcBorders>
              <w:top w:val="nil"/>
              <w:left w:val="nil"/>
              <w:bottom w:val="single" w:color="000000" w:sz="4" w:space="0"/>
              <w:right w:val="nil"/>
            </w:tcBorders>
            <w:shd w:val="clear"/>
            <w:noWrap/>
            <w:tcMar>
              <w:top w:w="15" w:type="dxa"/>
              <w:left w:w="15" w:type="dxa"/>
              <w:right w:w="15" w:type="dxa"/>
            </w:tcMar>
            <w:vAlign w:val="top"/>
          </w:tcPr>
          <w:p>
            <w:pPr>
              <w:keepNext w:val="0"/>
              <w:keepLines w:val="0"/>
              <w:widowControl/>
              <w:suppressLineNumbers w:val="0"/>
              <w:jc w:val="center"/>
              <w:textAlignment w:val="top"/>
              <w:rPr>
                <w:rFonts w:ascii="方正小标宋_GBK" w:hAnsi="方正小标宋_GBK" w:eastAsia="方正小标宋_GBK" w:cs="方正小标宋_GBK"/>
                <w:b/>
                <w:i w:val="0"/>
                <w:color w:val="000000"/>
                <w:sz w:val="36"/>
                <w:szCs w:val="36"/>
                <w:u w:val="none"/>
              </w:rPr>
            </w:pPr>
            <w:r>
              <w:rPr>
                <w:rFonts w:hint="default" w:ascii="方正小标宋_GBK" w:hAnsi="方正小标宋_GBK" w:eastAsia="方正小标宋_GBK" w:cs="方正小标宋_GBK"/>
                <w:b/>
                <w:i w:val="0"/>
                <w:color w:val="000000"/>
                <w:kern w:val="0"/>
                <w:sz w:val="36"/>
                <w:szCs w:val="36"/>
                <w:u w:val="none"/>
                <w:bdr w:val="none" w:color="auto" w:sz="0" w:space="0"/>
                <w:lang w:val="en-US" w:eastAsia="zh-CN" w:bidi="ar"/>
              </w:rPr>
              <w:t>部门整体支出绩效评价指标表</w:t>
            </w:r>
          </w:p>
        </w:tc>
      </w:tr>
      <w:tr>
        <w:tblPrEx>
          <w:tblLayout w:type="fixed"/>
          <w:tblCellMar>
            <w:top w:w="0" w:type="dxa"/>
            <w:left w:w="0" w:type="dxa"/>
            <w:bottom w:w="0" w:type="dxa"/>
            <w:right w:w="0"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一级指标</w:t>
            </w:r>
          </w:p>
        </w:tc>
        <w:tc>
          <w:tcPr>
            <w:tcW w:w="4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分值</w:t>
            </w: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二级指标</w:t>
            </w:r>
          </w:p>
        </w:tc>
        <w:tc>
          <w:tcPr>
            <w:tcW w:w="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三级</w:t>
            </w: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分值</w:t>
            </w:r>
          </w:p>
        </w:tc>
        <w:tc>
          <w:tcPr>
            <w:tcW w:w="262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评价标准</w:t>
            </w:r>
          </w:p>
        </w:tc>
        <w:tc>
          <w:tcPr>
            <w:tcW w:w="31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指标说明</w:t>
            </w:r>
          </w:p>
        </w:tc>
        <w:tc>
          <w:tcPr>
            <w:tcW w:w="6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得分</w:t>
            </w:r>
          </w:p>
        </w:tc>
      </w:tr>
      <w:tr>
        <w:tblPrEx>
          <w:tblLayout w:type="fixed"/>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指标</w:t>
            </w: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126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投入</w:t>
            </w:r>
          </w:p>
        </w:tc>
        <w:tc>
          <w:tcPr>
            <w:tcW w:w="4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13</w:t>
            </w: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预算配置</w:t>
            </w:r>
          </w:p>
        </w:tc>
        <w:tc>
          <w:tcPr>
            <w:tcW w:w="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13</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在职人员控制率</w:t>
            </w: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5</w:t>
            </w:r>
          </w:p>
        </w:tc>
        <w:tc>
          <w:tcPr>
            <w:tcW w:w="2625" w:type="dxa"/>
            <w:vMerge w:val="restar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以100%为标准。在职人员控制率</w:t>
            </w:r>
            <w:r>
              <w:rPr>
                <w:rFonts w:hint="eastAsia" w:ascii="宋体" w:hAnsi="宋体" w:eastAsia="宋体" w:cs="宋体"/>
                <w:i w:val="0"/>
                <w:color w:val="000000"/>
                <w:kern w:val="0"/>
                <w:sz w:val="20"/>
                <w:szCs w:val="20"/>
                <w:u w:val="none"/>
                <w:bdr w:val="none" w:color="auto" w:sz="0" w:space="0"/>
                <w:lang w:val="en-US" w:eastAsia="zh-CN" w:bidi="ar"/>
              </w:rPr>
              <w:t>≦</w:t>
            </w:r>
            <w:r>
              <w:rPr>
                <w:rFonts w:hint="default" w:ascii="仿宋_GB2312" w:hAnsi="宋体" w:eastAsia="仿宋_GB2312" w:cs="仿宋_GB2312"/>
                <w:i w:val="0"/>
                <w:color w:val="000000"/>
                <w:kern w:val="0"/>
                <w:sz w:val="20"/>
                <w:szCs w:val="20"/>
                <w:u w:val="none"/>
                <w:bdr w:val="none" w:color="auto" w:sz="0" w:space="0"/>
                <w:lang w:val="en-US" w:eastAsia="zh-CN" w:bidi="ar"/>
              </w:rPr>
              <w:t>100%，计5分；每超过一个百分点扣0.5分，扣完为止。</w:t>
            </w:r>
          </w:p>
        </w:tc>
        <w:tc>
          <w:tcPr>
            <w:tcW w:w="31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在职人员控制率=（在职人员数/编制数）×100%，在职人员数：部门（单位）实际在职人数，以财政确定的部门决算编制口径为准。</w:t>
            </w:r>
          </w:p>
        </w:tc>
        <w:tc>
          <w:tcPr>
            <w:tcW w:w="61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r>
      <w:tr>
        <w:tblPrEx>
          <w:tblLayout w:type="fixed"/>
          <w:tblCellMar>
            <w:top w:w="0" w:type="dxa"/>
            <w:left w:w="0" w:type="dxa"/>
            <w:bottom w:w="0" w:type="dxa"/>
            <w:right w:w="0" w:type="dxa"/>
          </w:tblCellMar>
        </w:tblPrEx>
        <w:trPr>
          <w:trHeight w:val="70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625"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318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编制数：机构编制部门核定批复的部门（单位）的人员编制数。</w:t>
            </w:r>
          </w:p>
        </w:tc>
        <w:tc>
          <w:tcPr>
            <w:tcW w:w="61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1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“三公经费”变动率</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8</w:t>
            </w:r>
          </w:p>
        </w:tc>
        <w:tc>
          <w:tcPr>
            <w:tcW w:w="26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“三公经费”变动率</w:t>
            </w:r>
            <w:r>
              <w:rPr>
                <w:rFonts w:hint="eastAsia" w:ascii="宋体" w:hAnsi="宋体" w:eastAsia="宋体" w:cs="宋体"/>
                <w:i w:val="0"/>
                <w:color w:val="000000"/>
                <w:kern w:val="0"/>
                <w:sz w:val="20"/>
                <w:szCs w:val="20"/>
                <w:u w:val="none"/>
                <w:bdr w:val="none" w:color="auto" w:sz="0" w:space="0"/>
                <w:lang w:val="en-US" w:eastAsia="zh-CN" w:bidi="ar"/>
              </w:rPr>
              <w:t>≦</w:t>
            </w:r>
            <w:r>
              <w:rPr>
                <w:rFonts w:hint="default" w:ascii="仿宋_GB2312" w:hAnsi="宋体" w:eastAsia="仿宋_GB2312" w:cs="仿宋_GB2312"/>
                <w:i w:val="0"/>
                <w:color w:val="000000"/>
                <w:kern w:val="0"/>
                <w:sz w:val="20"/>
                <w:szCs w:val="20"/>
                <w:u w:val="none"/>
                <w:bdr w:val="none" w:color="auto" w:sz="0" w:space="0"/>
                <w:lang w:val="en-US" w:eastAsia="zh-CN" w:bidi="ar"/>
              </w:rPr>
              <w:t>0,计8分；“三公经费”＞0，每超过一个百分点扣0.8分，扣完为止。</w:t>
            </w:r>
          </w:p>
        </w:tc>
        <w:tc>
          <w:tcPr>
            <w:tcW w:w="318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“三公经费”变动率=[（本年度“三公经费”预算数-上年度“三公经费”预算数）/上年度“三公经费”预算数]×100%</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r>
      <w:tr>
        <w:tblPrEx>
          <w:tblLayout w:type="fixed"/>
          <w:tblCellMar>
            <w:top w:w="0" w:type="dxa"/>
            <w:left w:w="0" w:type="dxa"/>
            <w:bottom w:w="0" w:type="dxa"/>
            <w:right w:w="0" w:type="dxa"/>
          </w:tblCellMar>
        </w:tblPrEx>
        <w:trPr>
          <w:trHeight w:val="100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过                                                                                                                                       程</w:t>
            </w:r>
          </w:p>
        </w:tc>
        <w:tc>
          <w:tcPr>
            <w:tcW w:w="4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61</w:t>
            </w: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预算执行</w:t>
            </w:r>
          </w:p>
        </w:tc>
        <w:tc>
          <w:tcPr>
            <w:tcW w:w="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预算完成率</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100%计满分，每低于5%扣2分，扣完为止。</w:t>
            </w:r>
          </w:p>
        </w:tc>
        <w:tc>
          <w:tcPr>
            <w:tcW w:w="31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预算完成率=（上年结转+年初预算+本年追加预算-年末结余）/（上年结转+年初预算+本年追加预算）×100%。</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r>
      <w:tr>
        <w:tblPrEx>
          <w:tblLayout w:type="fixed"/>
          <w:tblCellMar>
            <w:top w:w="0" w:type="dxa"/>
            <w:left w:w="0" w:type="dxa"/>
            <w:bottom w:w="0" w:type="dxa"/>
            <w:right w:w="0" w:type="dxa"/>
          </w:tblCellMar>
        </w:tblPrEx>
        <w:trPr>
          <w:trHeight w:val="13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预算控制率</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预算控制率=0，计5分；0-10%（含），计4分；10-20%（含），计3分；20-30%（含），计2分；大于30%不得分。</w:t>
            </w:r>
          </w:p>
        </w:tc>
        <w:tc>
          <w:tcPr>
            <w:tcW w:w="31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预算控制率=（本年追加预算/年初预算）×100%。</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w:t>
            </w:r>
          </w:p>
        </w:tc>
      </w:tr>
      <w:tr>
        <w:tblPrEx>
          <w:tblLayout w:type="fixed"/>
          <w:tblCellMar>
            <w:top w:w="0" w:type="dxa"/>
            <w:left w:w="0" w:type="dxa"/>
            <w:bottom w:w="0" w:type="dxa"/>
            <w:right w:w="0" w:type="dxa"/>
          </w:tblCellMar>
        </w:tblPrEx>
        <w:trPr>
          <w:trHeight w:val="64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新建楼堂馆所面积控制率</w:t>
            </w: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5</w:t>
            </w:r>
          </w:p>
        </w:tc>
        <w:tc>
          <w:tcPr>
            <w:tcW w:w="262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100%以下（含）计满分，每超出5%扣2分，扣完为止。没有楼堂馆所项目的部门按满分计算。</w:t>
            </w:r>
          </w:p>
        </w:tc>
        <w:tc>
          <w:tcPr>
            <w:tcW w:w="31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楼堂馆所面积控制率=实际建设面积/批准建设面积×100% 。</w:t>
            </w:r>
          </w:p>
        </w:tc>
        <w:tc>
          <w:tcPr>
            <w:tcW w:w="6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r>
      <w:tr>
        <w:tblPrEx>
          <w:tblLayout w:type="fixed"/>
          <w:tblCellMar>
            <w:top w:w="0" w:type="dxa"/>
            <w:left w:w="0" w:type="dxa"/>
            <w:bottom w:w="0" w:type="dxa"/>
            <w:right w:w="0" w:type="dxa"/>
          </w:tblCellMar>
        </w:tblPrEx>
        <w:trPr>
          <w:trHeight w:val="4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31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该指标以2017年完工的新建楼堂馆所为评价内容。</w:t>
            </w:r>
          </w:p>
        </w:tc>
        <w:tc>
          <w:tcPr>
            <w:tcW w:w="6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1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新建楼堂馆所投资概算控制率</w:t>
            </w: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5</w:t>
            </w:r>
          </w:p>
        </w:tc>
        <w:tc>
          <w:tcPr>
            <w:tcW w:w="2625" w:type="dxa"/>
            <w:vMerge w:val="restar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100%以下（含）计满分，每超出5%扣2分，扣完为止。</w:t>
            </w:r>
          </w:p>
        </w:tc>
        <w:tc>
          <w:tcPr>
            <w:tcW w:w="31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楼堂馆所投资预算控制率=实际投资金额/批准投资金额×100% 。</w:t>
            </w:r>
          </w:p>
        </w:tc>
        <w:tc>
          <w:tcPr>
            <w:tcW w:w="61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r>
      <w:tr>
        <w:tblPrEx>
          <w:tblLayout w:type="fixed"/>
          <w:tblCellMar>
            <w:top w:w="0" w:type="dxa"/>
            <w:left w:w="0" w:type="dxa"/>
            <w:bottom w:w="0" w:type="dxa"/>
            <w:right w:w="0" w:type="dxa"/>
          </w:tblCellMar>
        </w:tblPrEx>
        <w:trPr>
          <w:trHeight w:val="55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625"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318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该指标以2017年完工的新建楼堂馆所为评价内容。</w:t>
            </w:r>
          </w:p>
        </w:tc>
        <w:tc>
          <w:tcPr>
            <w:tcW w:w="61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预算管理</w:t>
            </w:r>
          </w:p>
        </w:tc>
        <w:tc>
          <w:tcPr>
            <w:tcW w:w="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公用经费控制率</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8</w:t>
            </w:r>
          </w:p>
        </w:tc>
        <w:tc>
          <w:tcPr>
            <w:tcW w:w="26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100%以下（含）计满分，每超出1%扣1分，扣完为止。</w:t>
            </w:r>
          </w:p>
        </w:tc>
        <w:tc>
          <w:tcPr>
            <w:tcW w:w="318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公用经费控制率=（实际支出公用经费总额/预算安排公用经费总额）×100%。</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r>
      <w:tr>
        <w:tblPrEx>
          <w:tblLayout w:type="fixed"/>
          <w:tblCellMar>
            <w:top w:w="0" w:type="dxa"/>
            <w:left w:w="0" w:type="dxa"/>
            <w:bottom w:w="0" w:type="dxa"/>
            <w:right w:w="0" w:type="dxa"/>
          </w:tblCellMar>
        </w:tblPrEx>
        <w:trPr>
          <w:trHeight w:val="7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“三公经费”控制率</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8</w:t>
            </w:r>
          </w:p>
        </w:tc>
        <w:tc>
          <w:tcPr>
            <w:tcW w:w="26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100%以下（含）计满分，每超出1%扣1分，扣完为止。</w:t>
            </w:r>
          </w:p>
        </w:tc>
        <w:tc>
          <w:tcPr>
            <w:tcW w:w="31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“三公经费”控制率-（“三公经费”实际支出数/“三公经费”预算安排数）×100%。</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r>
      <w:tr>
        <w:tblPrEx>
          <w:tblLayout w:type="fixed"/>
          <w:tblCellMar>
            <w:top w:w="0" w:type="dxa"/>
            <w:left w:w="0" w:type="dxa"/>
            <w:bottom w:w="0" w:type="dxa"/>
            <w:right w:w="0" w:type="dxa"/>
          </w:tblCellMar>
        </w:tblPrEx>
        <w:trPr>
          <w:trHeight w:val="5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政府采购执行率</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6</w:t>
            </w:r>
          </w:p>
        </w:tc>
        <w:tc>
          <w:tcPr>
            <w:tcW w:w="26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100%计满分，每超过（降低）5%扣2分。扣完为止。</w:t>
            </w:r>
          </w:p>
        </w:tc>
        <w:tc>
          <w:tcPr>
            <w:tcW w:w="31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政府采购执行率=（实际政府采购金额/政府采购预算数）×100%</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r>
      <w:tr>
        <w:tblPrEx>
          <w:tblLayout w:type="fixed"/>
          <w:tblCellMar>
            <w:top w:w="0" w:type="dxa"/>
            <w:left w:w="0" w:type="dxa"/>
            <w:bottom w:w="0" w:type="dxa"/>
            <w:right w:w="0" w:type="dxa"/>
          </w:tblCellMar>
        </w:tblPrEx>
        <w:trPr>
          <w:trHeight w:val="78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过                                                                                                                                       程</w:t>
            </w:r>
          </w:p>
        </w:tc>
        <w:tc>
          <w:tcPr>
            <w:tcW w:w="4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61</w:t>
            </w: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预算管理</w:t>
            </w: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管理制度健全性</w:t>
            </w:r>
          </w:p>
        </w:tc>
        <w:tc>
          <w:tcPr>
            <w:tcW w:w="480" w:type="dxa"/>
            <w:vMerge w:val="restar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8</w:t>
            </w:r>
          </w:p>
        </w:tc>
        <w:tc>
          <w:tcPr>
            <w:tcW w:w="262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①有内部财务管理制度、会计核算制度等管理制度，2分；</w:t>
            </w:r>
          </w:p>
        </w:tc>
        <w:tc>
          <w:tcPr>
            <w:tcW w:w="3180"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r>
      <w:tr>
        <w:tblPrEx>
          <w:tblLayout w:type="fixed"/>
          <w:tblCellMar>
            <w:top w:w="0" w:type="dxa"/>
            <w:left w:w="0" w:type="dxa"/>
            <w:bottom w:w="0" w:type="dxa"/>
            <w:right w:w="0" w:type="dxa"/>
          </w:tblCellMar>
        </w:tblPrEx>
        <w:trPr>
          <w:trHeight w:val="5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625"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②有本部门厉行节约制度,2分；</w:t>
            </w:r>
          </w:p>
        </w:tc>
        <w:tc>
          <w:tcPr>
            <w:tcW w:w="3180"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00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62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③相关管理制度合法、合规、完整，2分；④相关管理制度得到有效执行，2分。</w:t>
            </w:r>
          </w:p>
        </w:tc>
        <w:tc>
          <w:tcPr>
            <w:tcW w:w="3180"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50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资金使用合规性</w:t>
            </w: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6</w:t>
            </w:r>
          </w:p>
        </w:tc>
        <w:tc>
          <w:tcPr>
            <w:tcW w:w="262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1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r>
      <w:tr>
        <w:tblPrEx>
          <w:tblLayout w:type="fixed"/>
          <w:tblCellMar>
            <w:top w:w="0" w:type="dxa"/>
            <w:left w:w="0" w:type="dxa"/>
            <w:bottom w:w="0" w:type="dxa"/>
            <w:right w:w="0" w:type="dxa"/>
          </w:tblCellMar>
        </w:tblPrEx>
        <w:trPr>
          <w:trHeight w:val="8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以上情况每出现一例不符合要求的扣1分，扣完为止。</w:t>
            </w:r>
          </w:p>
        </w:tc>
        <w:tc>
          <w:tcPr>
            <w:tcW w:w="31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0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预决算信息公开性</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1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预决算信息是指与部门预算、执行、决算、监督、绩效等管理相关的信息。</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r>
      <w:tr>
        <w:tblPrEx>
          <w:tblLayout w:type="fixed"/>
          <w:tblCellMar>
            <w:top w:w="0" w:type="dxa"/>
            <w:left w:w="0" w:type="dxa"/>
            <w:bottom w:w="0" w:type="dxa"/>
            <w:right w:w="0" w:type="dxa"/>
          </w:tblCellMar>
        </w:tblPrEx>
        <w:trPr>
          <w:trHeight w:val="79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产出及效率</w:t>
            </w:r>
          </w:p>
        </w:tc>
        <w:tc>
          <w:tcPr>
            <w:tcW w:w="4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26</w:t>
            </w: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职责履行</w:t>
            </w:r>
          </w:p>
        </w:tc>
        <w:tc>
          <w:tcPr>
            <w:tcW w:w="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8</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重点工作实际完成率</w:t>
            </w:r>
          </w:p>
        </w:tc>
        <w:tc>
          <w:tcPr>
            <w:tcW w:w="480" w:type="dxa"/>
            <w:vMerge w:val="restar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8</w:t>
            </w:r>
          </w:p>
        </w:tc>
        <w:tc>
          <w:tcPr>
            <w:tcW w:w="262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根据绩效办2017年对各部门为民办实事和部门重点工程与重点工作考核分数折算。</w:t>
            </w:r>
          </w:p>
        </w:tc>
        <w:tc>
          <w:tcPr>
            <w:tcW w:w="3180"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r>
      <w:tr>
        <w:tblPrEx>
          <w:tblLayout w:type="fixed"/>
          <w:tblCellMar>
            <w:top w:w="0" w:type="dxa"/>
            <w:left w:w="0" w:type="dxa"/>
            <w:bottom w:w="0" w:type="dxa"/>
            <w:right w:w="0" w:type="dxa"/>
          </w:tblCellMar>
        </w:tblPrEx>
        <w:trPr>
          <w:trHeight w:val="6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62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该项得分=（绩效办对应部分考核得分/200）*8</w:t>
            </w:r>
          </w:p>
        </w:tc>
        <w:tc>
          <w:tcPr>
            <w:tcW w:w="3180"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履职 效益</w:t>
            </w:r>
          </w:p>
        </w:tc>
        <w:tc>
          <w:tcPr>
            <w:tcW w:w="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经济效益</w:t>
            </w:r>
          </w:p>
        </w:tc>
        <w:tc>
          <w:tcPr>
            <w:tcW w:w="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6</w:t>
            </w:r>
          </w:p>
        </w:tc>
        <w:tc>
          <w:tcPr>
            <w:tcW w:w="2625"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此两项指标为设置部门整体支出绩效评价指标时必须考虑的共性要素，可根据部门实际情况有选择的进行设置，并将其细化为相应的个性化指标。</w:t>
            </w:r>
          </w:p>
        </w:tc>
        <w:tc>
          <w:tcPr>
            <w:tcW w:w="31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社会效益</w:t>
            </w: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62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仿宋_GB2312" w:hAnsi="宋体" w:eastAsia="仿宋_GB2312" w:cs="仿宋_GB2312"/>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r>
      <w:tr>
        <w:tblPrEx>
          <w:tblLayout w:type="fixed"/>
          <w:tblCellMar>
            <w:top w:w="0" w:type="dxa"/>
            <w:left w:w="0" w:type="dxa"/>
            <w:bottom w:w="0" w:type="dxa"/>
            <w:right w:w="0" w:type="dxa"/>
          </w:tblCellMar>
        </w:tblPrEx>
        <w:trPr>
          <w:trHeight w:val="1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行政效能</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6</w:t>
            </w:r>
          </w:p>
        </w:tc>
        <w:tc>
          <w:tcPr>
            <w:tcW w:w="262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促进部门改进文风会风，加强经费及资产管理，推动网上办事，提高行政效率，降低行政成本效果较好的计6分；一般3分；无效果或者效果不明显0分。</w:t>
            </w:r>
          </w:p>
        </w:tc>
        <w:tc>
          <w:tcPr>
            <w:tcW w:w="31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根据部门自评材料评定。</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r>
      <w:tr>
        <w:tblPrEx>
          <w:tblLayout w:type="fixed"/>
          <w:tblCellMar>
            <w:top w:w="0" w:type="dxa"/>
            <w:left w:w="0" w:type="dxa"/>
            <w:bottom w:w="0" w:type="dxa"/>
            <w:right w:w="0" w:type="dxa"/>
          </w:tblCellMar>
        </w:tblPrEx>
        <w:trPr>
          <w:trHeight w:val="4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社会公众或服务对象满意度</w:t>
            </w:r>
          </w:p>
        </w:tc>
        <w:tc>
          <w:tcPr>
            <w:tcW w:w="480" w:type="dxa"/>
            <w:vMerge w:val="restar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6</w:t>
            </w:r>
          </w:p>
        </w:tc>
        <w:tc>
          <w:tcPr>
            <w:tcW w:w="262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90%（含）以上计6分；</w:t>
            </w:r>
          </w:p>
        </w:tc>
        <w:tc>
          <w:tcPr>
            <w:tcW w:w="3180"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社会公众或服务对象是指部门（单位）履行职责而影响到的部门、群体或个人，一般采取社会调查的方式。</w:t>
            </w:r>
          </w:p>
        </w:tc>
        <w:tc>
          <w:tcPr>
            <w:tcW w:w="6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r>
      <w:tr>
        <w:tblPrEx>
          <w:tblLayout w:type="fixed"/>
          <w:tblCellMar>
            <w:top w:w="0" w:type="dxa"/>
            <w:left w:w="0" w:type="dxa"/>
            <w:bottom w:w="0" w:type="dxa"/>
            <w:right w:w="0" w:type="dxa"/>
          </w:tblCellMar>
        </w:tblPrEx>
        <w:trPr>
          <w:trHeight w:val="43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625"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80%（含）-90%，计4分；</w:t>
            </w:r>
          </w:p>
        </w:tc>
        <w:tc>
          <w:tcPr>
            <w:tcW w:w="3180"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625"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70%（含）-80%，计2分；</w:t>
            </w:r>
          </w:p>
        </w:tc>
        <w:tc>
          <w:tcPr>
            <w:tcW w:w="3180"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62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低于70%计0分。</w:t>
            </w:r>
          </w:p>
        </w:tc>
        <w:tc>
          <w:tcPr>
            <w:tcW w:w="3180"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left"/>
              <w:rPr>
                <w:rFonts w:hint="default" w:ascii="仿宋_GB2312" w:hAnsi="宋体" w:eastAsia="仿宋_GB2312" w:cs="仿宋_GB2312"/>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75" w:hRule="atLeast"/>
        </w:trPr>
        <w:tc>
          <w:tcPr>
            <w:tcW w:w="9570" w:type="dxa"/>
            <w:gridSpan w:val="8"/>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黑体" w:hAnsi="宋体" w:eastAsia="黑体" w:cs="黑体"/>
                <w:i w:val="0"/>
                <w:color w:val="000000"/>
                <w:sz w:val="28"/>
                <w:szCs w:val="28"/>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95</w:t>
            </w:r>
          </w:p>
        </w:tc>
      </w:tr>
    </w:tbl>
    <w:p>
      <w:pPr>
        <w:widowControl/>
        <w:jc w:val="left"/>
        <w:rPr>
          <w:rFonts w:ascii="??_GB2312" w:hAnsi="??_GB2312" w:cs="??_GB2312"/>
          <w:sz w:val="30"/>
          <w:szCs w:val="30"/>
        </w:rPr>
      </w:pPr>
    </w:p>
    <w:p>
      <w:pPr>
        <w:widowControl/>
        <w:jc w:val="left"/>
        <w:rPr>
          <w:rFonts w:ascii="??_GB2312" w:hAnsi="??_GB2312" w:cs="??_GB2312"/>
          <w:sz w:val="30"/>
          <w:szCs w:val="30"/>
        </w:rPr>
      </w:pPr>
    </w:p>
    <w:tbl>
      <w:tblPr>
        <w:tblW w:w="9930" w:type="dxa"/>
        <w:tblInd w:w="0" w:type="dxa"/>
        <w:shd w:val="clear"/>
        <w:tblLayout w:type="fixed"/>
        <w:tblCellMar>
          <w:top w:w="0" w:type="dxa"/>
          <w:left w:w="0" w:type="dxa"/>
          <w:bottom w:w="0" w:type="dxa"/>
          <w:right w:w="0" w:type="dxa"/>
        </w:tblCellMar>
      </w:tblPr>
      <w:tblGrid>
        <w:gridCol w:w="3150"/>
        <w:gridCol w:w="1080"/>
        <w:gridCol w:w="1155"/>
        <w:gridCol w:w="1080"/>
        <w:gridCol w:w="930"/>
        <w:gridCol w:w="1080"/>
        <w:gridCol w:w="1455"/>
      </w:tblGrid>
      <w:tr>
        <w:tblPrEx>
          <w:shd w:val="clear"/>
          <w:tblLayout w:type="fixed"/>
          <w:tblCellMar>
            <w:top w:w="0" w:type="dxa"/>
            <w:left w:w="0" w:type="dxa"/>
            <w:bottom w:w="0" w:type="dxa"/>
            <w:right w:w="0" w:type="dxa"/>
          </w:tblCellMar>
        </w:tblPrEx>
        <w:trPr>
          <w:trHeight w:val="585" w:hRule="atLeast"/>
        </w:trPr>
        <w:tc>
          <w:tcPr>
            <w:tcW w:w="9930" w:type="dxa"/>
            <w:gridSpan w:val="7"/>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bdr w:val="none" w:color="auto" w:sz="0" w:space="0"/>
                <w:lang w:val="en-US" w:eastAsia="zh-CN" w:bidi="ar"/>
              </w:rPr>
              <w:t>部门整体支出绩效评价基础数据表</w:t>
            </w:r>
          </w:p>
        </w:tc>
      </w:tr>
      <w:tr>
        <w:tblPrEx>
          <w:tblLayout w:type="fixed"/>
          <w:tblCellMar>
            <w:top w:w="0" w:type="dxa"/>
            <w:left w:w="0" w:type="dxa"/>
            <w:bottom w:w="0" w:type="dxa"/>
            <w:right w:w="0" w:type="dxa"/>
          </w:tblCellMar>
        </w:tblPrEx>
        <w:trPr>
          <w:trHeight w:val="360" w:hRule="atLeast"/>
        </w:trPr>
        <w:tc>
          <w:tcPr>
            <w:tcW w:w="3150"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填报单位：</w:t>
            </w:r>
          </w:p>
        </w:tc>
        <w:tc>
          <w:tcPr>
            <w:tcW w:w="1080" w:type="dxa"/>
            <w:tcBorders>
              <w:top w:val="nil"/>
              <w:left w:val="nil"/>
              <w:bottom w:val="nil"/>
              <w:right w:val="nil"/>
            </w:tcBorders>
            <w:shd w:val="clear"/>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155" w:type="dxa"/>
            <w:tcBorders>
              <w:top w:val="nil"/>
              <w:left w:val="nil"/>
              <w:bottom w:val="nil"/>
              <w:right w:val="nil"/>
            </w:tcBorders>
            <w:shd w:val="clear"/>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80" w:type="dxa"/>
            <w:tcBorders>
              <w:top w:val="nil"/>
              <w:left w:val="nil"/>
              <w:bottom w:val="nil"/>
              <w:right w:val="nil"/>
            </w:tcBorders>
            <w:shd w:val="clear"/>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930" w:type="dxa"/>
            <w:tcBorders>
              <w:top w:val="nil"/>
              <w:left w:val="nil"/>
              <w:bottom w:val="nil"/>
              <w:right w:val="nil"/>
            </w:tcBorders>
            <w:shd w:val="clear"/>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80" w:type="dxa"/>
            <w:tcBorders>
              <w:top w:val="nil"/>
              <w:left w:val="nil"/>
              <w:bottom w:val="nil"/>
              <w:right w:val="nil"/>
            </w:tcBorders>
            <w:shd w:val="clear"/>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455" w:type="dxa"/>
            <w:tcBorders>
              <w:top w:val="nil"/>
              <w:left w:val="nil"/>
              <w:bottom w:val="nil"/>
              <w:right w:val="nil"/>
            </w:tcBorders>
            <w:shd w:val="clear"/>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585" w:hRule="atLeast"/>
        </w:trPr>
        <w:tc>
          <w:tcPr>
            <w:tcW w:w="31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财政供养人员情况</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编制数</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2018年实际在职人数</w:t>
            </w: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控制率</w:t>
            </w:r>
          </w:p>
        </w:tc>
      </w:tr>
      <w:tr>
        <w:tblPrEx>
          <w:tblLayout w:type="fixed"/>
          <w:tblCellMar>
            <w:top w:w="0" w:type="dxa"/>
            <w:left w:w="0" w:type="dxa"/>
            <w:bottom w:w="0" w:type="dxa"/>
            <w:right w:w="0" w:type="dxa"/>
          </w:tblCellMar>
        </w:tblPrEx>
        <w:trPr>
          <w:trHeight w:val="465" w:hRule="atLeast"/>
        </w:trPr>
        <w:tc>
          <w:tcPr>
            <w:tcW w:w="31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53</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41</w:t>
            </w: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100%</w:t>
            </w: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经费控制情况</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2017年决算数</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2018年预算数</w:t>
            </w: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2018年决算数</w:t>
            </w: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三公经费</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98349.54</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200000</w:t>
            </w: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114229.88</w:t>
            </w:r>
          </w:p>
        </w:tc>
      </w:tr>
      <w:tr>
        <w:tblPrEx>
          <w:tblLayout w:type="fixed"/>
          <w:tblCellMar>
            <w:top w:w="0" w:type="dxa"/>
            <w:left w:w="0" w:type="dxa"/>
            <w:bottom w:w="0" w:type="dxa"/>
            <w:right w:w="0" w:type="dxa"/>
          </w:tblCellMar>
        </w:tblPrEx>
        <w:trPr>
          <w:trHeight w:val="61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 xml:space="preserve">   1、公务用车购置和维护经费</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72039.54</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100000</w:t>
            </w: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99328.88</w:t>
            </w: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 xml:space="preserve">       其中：公车购置</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 xml:space="preserve">             公车运行维护</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72039.54</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100000</w:t>
            </w: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99328.88</w:t>
            </w: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 xml:space="preserve">   2、出国经费</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 xml:space="preserve">   3、公务接待</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26310</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100000</w:t>
            </w: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14901</w:t>
            </w: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项目支出：</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 xml:space="preserve">    1、直管公房日常维修与改造</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508137</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500000</w:t>
            </w: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108359</w:t>
            </w: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 xml:space="preserve">    2、白蚁防治专项经费</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0</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300000</w:t>
            </w: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300000</w:t>
            </w: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 xml:space="preserve">    3、住房保障性安居工程</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1462400</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1187256.4</w:t>
            </w: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公用经费</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508040.42</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 xml:space="preserve">  其中：办公经费</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FF0000"/>
                <w:sz w:val="24"/>
                <w:szCs w:val="24"/>
                <w:u w:val="none"/>
              </w:rPr>
            </w:pPr>
            <w:r>
              <w:rPr>
                <w:rFonts w:hint="eastAsia" w:ascii="仿宋" w:hAnsi="仿宋" w:eastAsia="仿宋" w:cs="仿宋"/>
                <w:i w:val="0"/>
                <w:color w:val="FF0000"/>
                <w:kern w:val="0"/>
                <w:sz w:val="24"/>
                <w:szCs w:val="24"/>
                <w:u w:val="none"/>
                <w:bdr w:val="none" w:color="auto" w:sz="0" w:space="0"/>
                <w:lang w:val="en-US" w:eastAsia="zh-CN" w:bidi="ar"/>
              </w:rPr>
              <w:t>65333.6</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FF0000"/>
                <w:sz w:val="24"/>
                <w:szCs w:val="24"/>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FF0000"/>
                <w:sz w:val="24"/>
                <w:szCs w:val="24"/>
                <w:u w:val="none"/>
              </w:rPr>
            </w:pP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 xml:space="preserve">       水费、电费、差旅费</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FF0000"/>
                <w:sz w:val="24"/>
                <w:szCs w:val="24"/>
                <w:u w:val="none"/>
              </w:rPr>
            </w:pPr>
            <w:r>
              <w:rPr>
                <w:rFonts w:hint="eastAsia" w:ascii="仿宋" w:hAnsi="仿宋" w:eastAsia="仿宋" w:cs="仿宋"/>
                <w:i w:val="0"/>
                <w:color w:val="FF0000"/>
                <w:kern w:val="0"/>
                <w:sz w:val="24"/>
                <w:szCs w:val="24"/>
                <w:u w:val="none"/>
                <w:bdr w:val="none" w:color="auto" w:sz="0" w:space="0"/>
                <w:lang w:val="en-US" w:eastAsia="zh-CN" w:bidi="ar"/>
              </w:rPr>
              <w:t>96978.77</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FF0000"/>
                <w:sz w:val="24"/>
                <w:szCs w:val="24"/>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FF0000"/>
                <w:sz w:val="24"/>
                <w:szCs w:val="24"/>
                <w:u w:val="none"/>
              </w:rPr>
            </w:pP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 xml:space="preserve">          会议费、培训费</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FF0000"/>
                <w:sz w:val="24"/>
                <w:szCs w:val="24"/>
                <w:u w:val="none"/>
              </w:rPr>
            </w:pPr>
            <w:r>
              <w:rPr>
                <w:rFonts w:hint="eastAsia" w:ascii="仿宋" w:hAnsi="仿宋" w:eastAsia="仿宋" w:cs="仿宋"/>
                <w:i w:val="0"/>
                <w:color w:val="FF0000"/>
                <w:kern w:val="0"/>
                <w:sz w:val="24"/>
                <w:szCs w:val="24"/>
                <w:u w:val="none"/>
                <w:bdr w:val="none" w:color="auto" w:sz="0" w:space="0"/>
                <w:lang w:val="en-US" w:eastAsia="zh-CN" w:bidi="ar"/>
              </w:rPr>
              <w:t>2600</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FF0000"/>
                <w:sz w:val="24"/>
                <w:szCs w:val="24"/>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FF0000"/>
                <w:sz w:val="24"/>
                <w:szCs w:val="24"/>
                <w:u w:val="none"/>
              </w:rPr>
            </w:pP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政府采购金额</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 xml:space="preserve">部门整体支出预算调整 </w:t>
            </w:r>
          </w:p>
        </w:tc>
        <w:tc>
          <w:tcPr>
            <w:tcW w:w="22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735" w:hRule="atLeast"/>
        </w:trPr>
        <w:tc>
          <w:tcPr>
            <w:tcW w:w="31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楼堂馆所控制情况      （2018年完工项目）</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批复规模（㎡）</w:t>
            </w:r>
          </w:p>
        </w:tc>
        <w:tc>
          <w:tcPr>
            <w:tcW w:w="11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实际规模（㎡）</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规模控制率</w:t>
            </w:r>
          </w:p>
        </w:tc>
        <w:tc>
          <w:tcPr>
            <w:tcW w:w="9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预算投资（万元）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实际投资（万元）</w:t>
            </w:r>
          </w:p>
        </w:tc>
        <w:tc>
          <w:tcPr>
            <w:tcW w:w="14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投资概算控制率</w:t>
            </w:r>
          </w:p>
        </w:tc>
      </w:tr>
      <w:tr>
        <w:tblPrEx>
          <w:tblLayout w:type="fixed"/>
          <w:tblCellMar>
            <w:top w:w="0" w:type="dxa"/>
            <w:left w:w="0" w:type="dxa"/>
            <w:bottom w:w="0" w:type="dxa"/>
            <w:right w:w="0" w:type="dxa"/>
          </w:tblCellMar>
        </w:tblPrEx>
        <w:trPr>
          <w:trHeight w:val="570" w:hRule="atLeast"/>
        </w:trPr>
        <w:tc>
          <w:tcPr>
            <w:tcW w:w="31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r>
      <w:tr>
        <w:tblPrEx>
          <w:tblLayout w:type="fixed"/>
          <w:tblCellMar>
            <w:top w:w="0" w:type="dxa"/>
            <w:left w:w="0" w:type="dxa"/>
            <w:bottom w:w="0" w:type="dxa"/>
            <w:right w:w="0" w:type="dxa"/>
          </w:tblCellMar>
        </w:tblPrEx>
        <w:trPr>
          <w:trHeight w:val="450" w:hRule="atLeast"/>
        </w:trPr>
        <w:tc>
          <w:tcPr>
            <w:tcW w:w="31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660" w:hRule="atLeast"/>
        </w:trPr>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厉行节约保障措施</w:t>
            </w:r>
          </w:p>
        </w:tc>
        <w:tc>
          <w:tcPr>
            <w:tcW w:w="6780"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9930" w:type="dxa"/>
            <w:gridSpan w:val="7"/>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 xml:space="preserve">    说明：“项目支出”需要填报除基本支出以外的所有项目情况，包括业务工作项目、运行维护项目等；“公用经费”填报基本支出中的一般商品和服务支出。</w:t>
            </w:r>
          </w:p>
        </w:tc>
      </w:tr>
    </w:tbl>
    <w:p>
      <w:pPr>
        <w:widowControl/>
        <w:jc w:val="left"/>
        <w:rPr>
          <w:rFonts w:ascii="??_GB2312" w:hAnsi="??_GB2312" w:cs="??_GB2312"/>
          <w:sz w:val="30"/>
          <w:szCs w:val="30"/>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大标宋_GBK">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E3D0395"/>
    <w:rsid w:val="000A1B84"/>
    <w:rsid w:val="000B49E5"/>
    <w:rsid w:val="000C5BEA"/>
    <w:rsid w:val="000F44C1"/>
    <w:rsid w:val="00131AD4"/>
    <w:rsid w:val="00142593"/>
    <w:rsid w:val="00156684"/>
    <w:rsid w:val="001774C9"/>
    <w:rsid w:val="00184E31"/>
    <w:rsid w:val="00196C1B"/>
    <w:rsid w:val="001A1195"/>
    <w:rsid w:val="001E2F49"/>
    <w:rsid w:val="00206C82"/>
    <w:rsid w:val="00206FC2"/>
    <w:rsid w:val="002110D3"/>
    <w:rsid w:val="00236B83"/>
    <w:rsid w:val="00257098"/>
    <w:rsid w:val="00261352"/>
    <w:rsid w:val="00281CF0"/>
    <w:rsid w:val="00293045"/>
    <w:rsid w:val="002A6E0E"/>
    <w:rsid w:val="002B1729"/>
    <w:rsid w:val="0030431B"/>
    <w:rsid w:val="00356111"/>
    <w:rsid w:val="00357599"/>
    <w:rsid w:val="00360277"/>
    <w:rsid w:val="0036053E"/>
    <w:rsid w:val="0039032B"/>
    <w:rsid w:val="003C75A6"/>
    <w:rsid w:val="003F7833"/>
    <w:rsid w:val="00417B76"/>
    <w:rsid w:val="00436F59"/>
    <w:rsid w:val="00454B0C"/>
    <w:rsid w:val="00471A98"/>
    <w:rsid w:val="00487F0E"/>
    <w:rsid w:val="004A2101"/>
    <w:rsid w:val="004A2FAA"/>
    <w:rsid w:val="004B0403"/>
    <w:rsid w:val="004B1C16"/>
    <w:rsid w:val="004B643E"/>
    <w:rsid w:val="00517B0E"/>
    <w:rsid w:val="0052651D"/>
    <w:rsid w:val="005B09FE"/>
    <w:rsid w:val="005B3CC5"/>
    <w:rsid w:val="005C2D71"/>
    <w:rsid w:val="00640C4E"/>
    <w:rsid w:val="00675566"/>
    <w:rsid w:val="006A3EB7"/>
    <w:rsid w:val="006D301F"/>
    <w:rsid w:val="006E4DD2"/>
    <w:rsid w:val="00712B99"/>
    <w:rsid w:val="00725E7C"/>
    <w:rsid w:val="00784080"/>
    <w:rsid w:val="00787922"/>
    <w:rsid w:val="0079373C"/>
    <w:rsid w:val="00797631"/>
    <w:rsid w:val="007B7AD8"/>
    <w:rsid w:val="007D62E3"/>
    <w:rsid w:val="007E2BCB"/>
    <w:rsid w:val="00836950"/>
    <w:rsid w:val="008527E0"/>
    <w:rsid w:val="00872869"/>
    <w:rsid w:val="008A176E"/>
    <w:rsid w:val="008C1C36"/>
    <w:rsid w:val="008C51A9"/>
    <w:rsid w:val="008C5467"/>
    <w:rsid w:val="00901B99"/>
    <w:rsid w:val="00924D4D"/>
    <w:rsid w:val="0097246B"/>
    <w:rsid w:val="00982660"/>
    <w:rsid w:val="00982E1B"/>
    <w:rsid w:val="00A053EC"/>
    <w:rsid w:val="00A70EE5"/>
    <w:rsid w:val="00AA3602"/>
    <w:rsid w:val="00AA5BD9"/>
    <w:rsid w:val="00AC758E"/>
    <w:rsid w:val="00AF09D9"/>
    <w:rsid w:val="00B32072"/>
    <w:rsid w:val="00B52C15"/>
    <w:rsid w:val="00B60D26"/>
    <w:rsid w:val="00BE50E2"/>
    <w:rsid w:val="00BF7AB8"/>
    <w:rsid w:val="00C430A0"/>
    <w:rsid w:val="00C44439"/>
    <w:rsid w:val="00C44FF5"/>
    <w:rsid w:val="00C606ED"/>
    <w:rsid w:val="00C73FDD"/>
    <w:rsid w:val="00C82E51"/>
    <w:rsid w:val="00C9225D"/>
    <w:rsid w:val="00C94336"/>
    <w:rsid w:val="00CB536B"/>
    <w:rsid w:val="00CC2968"/>
    <w:rsid w:val="00CE3734"/>
    <w:rsid w:val="00CF32E8"/>
    <w:rsid w:val="00D00367"/>
    <w:rsid w:val="00D075DF"/>
    <w:rsid w:val="00D247BB"/>
    <w:rsid w:val="00D46EE3"/>
    <w:rsid w:val="00D658D3"/>
    <w:rsid w:val="00D75000"/>
    <w:rsid w:val="00D756B1"/>
    <w:rsid w:val="00DE51EE"/>
    <w:rsid w:val="00DE6C26"/>
    <w:rsid w:val="00E00AD4"/>
    <w:rsid w:val="00E20CF0"/>
    <w:rsid w:val="00E358DC"/>
    <w:rsid w:val="00E435FE"/>
    <w:rsid w:val="00E62061"/>
    <w:rsid w:val="00E95E87"/>
    <w:rsid w:val="00E96105"/>
    <w:rsid w:val="00EC7E12"/>
    <w:rsid w:val="00F017BD"/>
    <w:rsid w:val="00F137EA"/>
    <w:rsid w:val="00F25172"/>
    <w:rsid w:val="00F461C8"/>
    <w:rsid w:val="00F562E8"/>
    <w:rsid w:val="00F809E6"/>
    <w:rsid w:val="00F81A2C"/>
    <w:rsid w:val="00FA631C"/>
    <w:rsid w:val="00FF6DC9"/>
    <w:rsid w:val="0359561C"/>
    <w:rsid w:val="051A5A82"/>
    <w:rsid w:val="055B6364"/>
    <w:rsid w:val="07555B19"/>
    <w:rsid w:val="09D51610"/>
    <w:rsid w:val="0AEB3CDC"/>
    <w:rsid w:val="0F321AF0"/>
    <w:rsid w:val="14C341D2"/>
    <w:rsid w:val="1E052DFE"/>
    <w:rsid w:val="1E961730"/>
    <w:rsid w:val="21EC27BE"/>
    <w:rsid w:val="23CC3B29"/>
    <w:rsid w:val="25811298"/>
    <w:rsid w:val="27404D83"/>
    <w:rsid w:val="2C023472"/>
    <w:rsid w:val="2C06088A"/>
    <w:rsid w:val="2E8A477F"/>
    <w:rsid w:val="31B76E1F"/>
    <w:rsid w:val="32B300A6"/>
    <w:rsid w:val="333F7414"/>
    <w:rsid w:val="341C357F"/>
    <w:rsid w:val="3B010E5B"/>
    <w:rsid w:val="3E2C5A83"/>
    <w:rsid w:val="3E3D0395"/>
    <w:rsid w:val="3ECB7418"/>
    <w:rsid w:val="402B6133"/>
    <w:rsid w:val="40CA58CC"/>
    <w:rsid w:val="429569CD"/>
    <w:rsid w:val="43136C92"/>
    <w:rsid w:val="4B7D6E81"/>
    <w:rsid w:val="4D4C2A0D"/>
    <w:rsid w:val="4E262AC7"/>
    <w:rsid w:val="50872F42"/>
    <w:rsid w:val="50B3205F"/>
    <w:rsid w:val="5198136C"/>
    <w:rsid w:val="53134EFD"/>
    <w:rsid w:val="53552BFE"/>
    <w:rsid w:val="55BA51D2"/>
    <w:rsid w:val="55E63642"/>
    <w:rsid w:val="58655F94"/>
    <w:rsid w:val="5961597E"/>
    <w:rsid w:val="597A4748"/>
    <w:rsid w:val="5A8D4912"/>
    <w:rsid w:val="5AB92F66"/>
    <w:rsid w:val="5CBC03EF"/>
    <w:rsid w:val="5D6B654E"/>
    <w:rsid w:val="5DB82ED8"/>
    <w:rsid w:val="5E9123C2"/>
    <w:rsid w:val="5F8E359C"/>
    <w:rsid w:val="5FB377BF"/>
    <w:rsid w:val="6074117D"/>
    <w:rsid w:val="6A5B1941"/>
    <w:rsid w:val="6C0D165E"/>
    <w:rsid w:val="6D6B6477"/>
    <w:rsid w:val="6FF47111"/>
    <w:rsid w:val="74161A99"/>
    <w:rsid w:val="765C18A6"/>
    <w:rsid w:val="777871A3"/>
    <w:rsid w:val="7C645E4D"/>
    <w:rsid w:val="7F597D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customStyle="1" w:styleId="7">
    <w:name w:val="页脚 Char"/>
    <w:basedOn w:val="5"/>
    <w:link w:val="2"/>
    <w:semiHidden/>
    <w:qFormat/>
    <w:locked/>
    <w:uiPriority w:val="99"/>
    <w:rPr>
      <w:rFonts w:cs="Times New Roman"/>
      <w:sz w:val="18"/>
      <w:szCs w:val="18"/>
    </w:rPr>
  </w:style>
  <w:style w:type="paragraph" w:customStyle="1" w:styleId="8">
    <w:name w:val="p0"/>
    <w:basedOn w:val="1"/>
    <w:qFormat/>
    <w:uiPriority w:val="99"/>
    <w:pPr>
      <w:widowControl/>
    </w:pPr>
    <w:rPr>
      <w:kern w:val="0"/>
      <w:szCs w:val="21"/>
    </w:rPr>
  </w:style>
  <w:style w:type="character" w:customStyle="1" w:styleId="9">
    <w:name w:val="font01"/>
    <w:basedOn w:val="5"/>
    <w:qFormat/>
    <w:uiPriority w:val="99"/>
    <w:rPr>
      <w:rFonts w:ascii="宋体" w:hAnsi="宋体" w:eastAsia="宋体" w:cs="宋体"/>
      <w:color w:val="000000"/>
      <w:sz w:val="20"/>
      <w:szCs w:val="20"/>
      <w:u w:val="none"/>
    </w:rPr>
  </w:style>
  <w:style w:type="character" w:customStyle="1" w:styleId="10">
    <w:name w:val="font21"/>
    <w:basedOn w:val="5"/>
    <w:qFormat/>
    <w:uiPriority w:val="99"/>
    <w:rPr>
      <w:rFonts w:ascii="??_GB2312" w:eastAsia="Times New Roman" w:cs="??_GB2312"/>
      <w:color w:val="000000"/>
      <w:sz w:val="20"/>
      <w:szCs w:val="20"/>
      <w:u w:val="none"/>
    </w:rPr>
  </w:style>
  <w:style w:type="character" w:customStyle="1" w:styleId="11">
    <w:name w:val="页眉 Char"/>
    <w:basedOn w:val="5"/>
    <w:link w:val="3"/>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347</Words>
  <Characters>1984</Characters>
  <Lines>16</Lines>
  <Paragraphs>4</Paragraphs>
  <TotalTime>166</TotalTime>
  <ScaleCrop>false</ScaleCrop>
  <LinksUpToDate>false</LinksUpToDate>
  <CharactersWithSpaces>2327</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2019-05-23T02:05:00Z</dcterms:created>
  <dc:creator>Administrator</dc:creator>
  <cp:lastModifiedBy>Administrator</cp:lastModifiedBy>
  <cp:lastPrinted>2016-10-26T02:00:00Z</cp:lastPrinted>
  <dcterms:modified xsi:type="dcterms:W3CDTF">2019-07-18T07:58:57Z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