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hint="eastAsia" w:ascii="宋体" w:hAnsi="宋体" w:eastAsia="宋体" w:cs="宋体"/>
          <w:b/>
          <w:sz w:val="36"/>
          <w:szCs w:val="36"/>
        </w:rPr>
      </w:pPr>
      <w:r>
        <w:rPr>
          <w:rFonts w:hint="eastAsia" w:ascii="宋体" w:hAnsi="宋体" w:cs="宋体"/>
          <w:b/>
          <w:sz w:val="36"/>
          <w:szCs w:val="36"/>
        </w:rPr>
        <w:t>芷江侗族自治县</w:t>
      </w:r>
      <w:r>
        <w:rPr>
          <w:rFonts w:hint="eastAsia" w:ascii="宋体" w:hAnsi="宋体" w:cs="宋体"/>
          <w:b/>
          <w:sz w:val="36"/>
          <w:szCs w:val="36"/>
          <w:lang w:eastAsia="zh-CN"/>
        </w:rPr>
        <w:t>2020</w:t>
      </w:r>
      <w:r>
        <w:rPr>
          <w:rFonts w:hint="eastAsia" w:ascii="宋体" w:hAnsi="宋体" w:eastAsia="宋体" w:cs="宋体"/>
          <w:b/>
          <w:sz w:val="36"/>
          <w:szCs w:val="36"/>
        </w:rPr>
        <w:t>年住建局</w:t>
      </w:r>
      <w:r>
        <w:rPr>
          <w:rFonts w:hint="eastAsia" w:ascii="宋体" w:hAnsi="宋体" w:eastAsia="宋体" w:cs="宋体"/>
          <w:b/>
          <w:bCs/>
          <w:color w:val="333333"/>
          <w:kern w:val="0"/>
          <w:sz w:val="36"/>
          <w:szCs w:val="36"/>
          <w:lang w:val="en-US" w:eastAsia="zh-CN"/>
        </w:rPr>
        <w:t>乡镇污水</w:t>
      </w:r>
      <w:r>
        <w:rPr>
          <w:rFonts w:hint="eastAsia" w:ascii="宋体" w:hAnsi="宋体" w:cs="宋体"/>
          <w:b/>
          <w:bCs/>
          <w:color w:val="333333"/>
          <w:kern w:val="0"/>
          <w:sz w:val="36"/>
          <w:szCs w:val="36"/>
          <w:lang w:val="en-US" w:eastAsia="zh-CN"/>
        </w:rPr>
        <w:t>、垃圾</w:t>
      </w:r>
      <w:r>
        <w:rPr>
          <w:rFonts w:hint="eastAsia" w:ascii="宋体" w:hAnsi="宋体" w:eastAsia="宋体" w:cs="宋体"/>
          <w:b/>
          <w:bCs/>
          <w:color w:val="333333"/>
          <w:kern w:val="0"/>
          <w:sz w:val="36"/>
          <w:szCs w:val="36"/>
          <w:lang w:val="en-US" w:eastAsia="zh-CN"/>
        </w:rPr>
        <w:t>处理</w:t>
      </w:r>
      <w:r>
        <w:rPr>
          <w:rFonts w:hint="eastAsia" w:ascii="宋体" w:hAnsi="宋体" w:cs="宋体"/>
          <w:b/>
          <w:bCs/>
          <w:color w:val="333333"/>
          <w:kern w:val="0"/>
          <w:sz w:val="36"/>
          <w:szCs w:val="36"/>
          <w:lang w:val="en-US" w:eastAsia="zh-CN"/>
        </w:rPr>
        <w:t>等</w:t>
      </w:r>
      <w:r>
        <w:rPr>
          <w:rFonts w:hint="eastAsia" w:ascii="宋体" w:hAnsi="宋体" w:eastAsia="宋体" w:cs="宋体"/>
          <w:b/>
          <w:bCs/>
          <w:color w:val="333333"/>
          <w:kern w:val="0"/>
          <w:sz w:val="36"/>
          <w:szCs w:val="36"/>
          <w:lang w:val="en-US" w:eastAsia="zh-CN"/>
        </w:rPr>
        <w:t>农村人居环境</w:t>
      </w:r>
      <w:r>
        <w:rPr>
          <w:rFonts w:hint="eastAsia" w:ascii="宋体" w:hAnsi="宋体" w:eastAsia="宋体" w:cs="宋体"/>
          <w:b/>
          <w:sz w:val="36"/>
          <w:szCs w:val="36"/>
        </w:rPr>
        <w:t>项目专项资金</w:t>
      </w:r>
    </w:p>
    <w:p>
      <w:pPr>
        <w:adjustRightInd w:val="0"/>
        <w:snapToGrid w:val="0"/>
        <w:spacing w:line="500" w:lineRule="exact"/>
        <w:jc w:val="center"/>
        <w:rPr>
          <w:rFonts w:hint="eastAsia" w:ascii="宋体" w:hAnsi="宋体" w:eastAsia="宋体" w:cs="宋体"/>
          <w:b/>
          <w:sz w:val="36"/>
          <w:szCs w:val="36"/>
        </w:rPr>
      </w:pPr>
      <w:r>
        <w:rPr>
          <w:rFonts w:hint="eastAsia" w:ascii="宋体" w:hAnsi="宋体" w:eastAsia="宋体" w:cs="宋体"/>
          <w:b/>
          <w:sz w:val="36"/>
          <w:szCs w:val="36"/>
        </w:rPr>
        <w:t>绩效评价自评报告</w:t>
      </w:r>
    </w:p>
    <w:p>
      <w:pPr>
        <w:adjustRightInd w:val="0"/>
        <w:snapToGrid w:val="0"/>
        <w:spacing w:line="500" w:lineRule="exact"/>
        <w:jc w:val="center"/>
        <w:rPr>
          <w:rFonts w:eastAsia="楷体_GB2312"/>
          <w:sz w:val="32"/>
          <w:szCs w:val="32"/>
        </w:rPr>
      </w:pPr>
    </w:p>
    <w:p>
      <w:pPr>
        <w:adjustRightInd w:val="0"/>
        <w:snapToGrid w:val="0"/>
        <w:spacing w:line="500" w:lineRule="exact"/>
        <w:jc w:val="center"/>
        <w:rPr>
          <w:rFonts w:eastAsia="楷体_GB2312"/>
          <w:sz w:val="32"/>
          <w:szCs w:val="32"/>
        </w:rPr>
      </w:pPr>
    </w:p>
    <w:p>
      <w:pPr>
        <w:spacing w:line="480" w:lineRule="exact"/>
        <w:ind w:firstLine="640" w:firstLineChars="200"/>
        <w:outlineLvl w:val="0"/>
        <w:rPr>
          <w:rFonts w:eastAsia="黑体"/>
          <w:sz w:val="32"/>
          <w:szCs w:val="32"/>
        </w:rPr>
      </w:pPr>
      <w:r>
        <w:rPr>
          <w:rFonts w:hint="eastAsia" w:eastAsia="黑体"/>
          <w:sz w:val="32"/>
          <w:szCs w:val="32"/>
        </w:rPr>
        <w:t>一、项目基本情况</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（一）项目概况</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住建局</w:t>
      </w:r>
      <w:r>
        <w:rPr>
          <w:rFonts w:hint="eastAsia" w:ascii="仿宋" w:hAnsi="仿宋" w:eastAsia="仿宋" w:cs="仿宋"/>
          <w:sz w:val="32"/>
          <w:szCs w:val="32"/>
        </w:rPr>
        <w:t>的</w:t>
      </w:r>
      <w:r>
        <w:rPr>
          <w:rFonts w:hint="eastAsia" w:ascii="仿宋" w:hAnsi="仿宋" w:eastAsia="仿宋" w:cs="仿宋"/>
          <w:b w:val="0"/>
          <w:bCs w:val="0"/>
          <w:color w:val="333333"/>
          <w:kern w:val="0"/>
          <w:sz w:val="32"/>
          <w:szCs w:val="32"/>
          <w:lang w:val="en-US" w:eastAsia="zh-CN"/>
        </w:rPr>
        <w:t>乡镇污水、垃圾处理等农村人居环境</w:t>
      </w:r>
      <w:r>
        <w:rPr>
          <w:rFonts w:hint="eastAsia" w:ascii="仿宋" w:hAnsi="仿宋" w:eastAsia="仿宋" w:cs="仿宋"/>
          <w:b w:val="0"/>
          <w:bCs w:val="0"/>
          <w:sz w:val="32"/>
          <w:szCs w:val="32"/>
        </w:rPr>
        <w:t>项目</w:t>
      </w:r>
      <w:r>
        <w:rPr>
          <w:rFonts w:hint="eastAsia" w:ascii="仿宋" w:hAnsi="仿宋" w:eastAsia="仿宋" w:cs="仿宋"/>
          <w:sz w:val="32"/>
          <w:szCs w:val="32"/>
        </w:rPr>
        <w:t>等项目是一项惠及千家万户的民生工程。</w:t>
      </w:r>
      <w:r>
        <w:rPr>
          <w:rFonts w:hint="eastAsia" w:ascii="仿宋" w:hAnsi="仿宋" w:eastAsia="仿宋" w:cs="仿宋"/>
          <w:sz w:val="32"/>
          <w:szCs w:val="32"/>
          <w:lang w:val="en-US" w:eastAsia="zh-CN"/>
        </w:rPr>
        <w:t>为</w:t>
      </w:r>
      <w:r>
        <w:rPr>
          <w:rFonts w:hint="eastAsia" w:ascii="仿宋" w:hAnsi="仿宋" w:eastAsia="仿宋" w:cs="仿宋"/>
          <w:sz w:val="32"/>
          <w:szCs w:val="32"/>
        </w:rPr>
        <w:t>充分展示芷江旅游县城</w:t>
      </w:r>
      <w:r>
        <w:rPr>
          <w:rFonts w:hint="eastAsia" w:ascii="仿宋" w:hAnsi="仿宋" w:eastAsia="仿宋" w:cs="仿宋"/>
          <w:sz w:val="32"/>
          <w:szCs w:val="32"/>
          <w:lang w:val="en-US" w:eastAsia="zh-CN"/>
        </w:rPr>
        <w:t>及美丽乡村</w:t>
      </w:r>
      <w:r>
        <w:rPr>
          <w:rFonts w:hint="eastAsia" w:ascii="仿宋" w:hAnsi="仿宋" w:eastAsia="仿宋" w:cs="仿宋"/>
          <w:sz w:val="32"/>
          <w:szCs w:val="32"/>
        </w:rPr>
        <w:t>的美好形象，给</w:t>
      </w:r>
      <w:r>
        <w:rPr>
          <w:rFonts w:hint="eastAsia" w:ascii="仿宋" w:hAnsi="仿宋" w:eastAsia="仿宋" w:cs="仿宋"/>
          <w:sz w:val="32"/>
          <w:szCs w:val="32"/>
          <w:lang w:val="en-US" w:eastAsia="zh-CN"/>
        </w:rPr>
        <w:t>全县百姓</w:t>
      </w:r>
      <w:r>
        <w:rPr>
          <w:rFonts w:hint="eastAsia" w:ascii="仿宋" w:hAnsi="仿宋" w:eastAsia="仿宋" w:cs="仿宋"/>
          <w:sz w:val="32"/>
          <w:szCs w:val="32"/>
        </w:rPr>
        <w:t>及游客创造一个舒适便利的生活环境，按照县委</w:t>
      </w:r>
      <w:r>
        <w:rPr>
          <w:rFonts w:hint="eastAsia" w:ascii="仿宋" w:hAnsi="仿宋" w:eastAsia="仿宋"/>
          <w:sz w:val="32"/>
          <w:szCs w:val="32"/>
        </w:rPr>
        <w:t>政府给我局严格按照上级有关部门对相关工作的一系列要求，由县财政安排，按专项资金使用及管理。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（二）项目绩效目标，主要包括项目绩效总目标和阶段性目标，预期主要的经济、政治和社会效益。</w:t>
      </w:r>
    </w:p>
    <w:p>
      <w:pPr>
        <w:spacing w:line="48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、项目绩效总目标</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以十九大精神为指导，按照生态宜居、社会文明、经济发展、环境优美的城市建设目标，坚持以服务民生为出发点，全面完善公共基础设施、市政设施建设配套规划，切实加快</w:t>
      </w:r>
      <w:r>
        <w:rPr>
          <w:rFonts w:hint="eastAsia" w:ascii="仿宋" w:hAnsi="仿宋" w:eastAsia="仿宋"/>
          <w:sz w:val="32"/>
          <w:szCs w:val="32"/>
          <w:lang w:val="en-US" w:eastAsia="zh-CN"/>
        </w:rPr>
        <w:t>提高</w:t>
      </w:r>
      <w:r>
        <w:rPr>
          <w:rFonts w:hint="eastAsia" w:ascii="仿宋" w:hAnsi="仿宋" w:eastAsia="仿宋" w:cs="仿宋"/>
          <w:b w:val="0"/>
          <w:bCs w:val="0"/>
          <w:color w:val="333333"/>
          <w:kern w:val="0"/>
          <w:sz w:val="32"/>
          <w:szCs w:val="32"/>
          <w:lang w:val="en-US" w:eastAsia="zh-CN"/>
        </w:rPr>
        <w:t>乡镇污水、垃圾处理等农村人居环境</w:t>
      </w:r>
      <w:r>
        <w:rPr>
          <w:rFonts w:hint="eastAsia" w:ascii="仿宋" w:hAnsi="仿宋" w:eastAsia="仿宋" w:cs="仿宋"/>
          <w:b w:val="0"/>
          <w:bCs w:val="0"/>
          <w:sz w:val="32"/>
          <w:szCs w:val="32"/>
        </w:rPr>
        <w:t>项目</w:t>
      </w:r>
      <w:r>
        <w:rPr>
          <w:rFonts w:hint="eastAsia" w:ascii="仿宋" w:hAnsi="仿宋" w:eastAsia="仿宋"/>
          <w:sz w:val="32"/>
          <w:szCs w:val="32"/>
        </w:rPr>
        <w:t>建设，不断改善硬件环境，提高</w:t>
      </w:r>
      <w:r>
        <w:rPr>
          <w:rFonts w:hint="eastAsia" w:ascii="仿宋" w:hAnsi="仿宋" w:eastAsia="仿宋" w:cs="仿宋"/>
          <w:b w:val="0"/>
          <w:bCs w:val="0"/>
          <w:color w:val="333333"/>
          <w:kern w:val="0"/>
          <w:sz w:val="32"/>
          <w:szCs w:val="32"/>
          <w:lang w:val="en-US" w:eastAsia="zh-CN"/>
        </w:rPr>
        <w:t>乡镇污水、垃圾处理等农村人居环境</w:t>
      </w:r>
      <w:r>
        <w:rPr>
          <w:rFonts w:hint="eastAsia" w:ascii="仿宋" w:hAnsi="仿宋" w:eastAsia="仿宋" w:cs="仿宋"/>
          <w:b w:val="0"/>
          <w:bCs w:val="0"/>
          <w:sz w:val="32"/>
          <w:szCs w:val="32"/>
        </w:rPr>
        <w:t>项目</w:t>
      </w:r>
      <w:r>
        <w:rPr>
          <w:rFonts w:hint="eastAsia" w:ascii="仿宋" w:hAnsi="仿宋" w:eastAsia="仿宋"/>
          <w:sz w:val="32"/>
          <w:szCs w:val="32"/>
        </w:rPr>
        <w:t>设施功能。</w:t>
      </w:r>
    </w:p>
    <w:p>
      <w:pPr>
        <w:spacing w:line="4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、绩效目标阶段性目标</w:t>
      </w:r>
    </w:p>
    <w:p>
      <w:pPr>
        <w:spacing w:line="48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w:t>
      </w:r>
      <w:r>
        <w:rPr>
          <w:rFonts w:ascii="仿宋" w:hAnsi="仿宋" w:eastAsia="仿宋"/>
          <w:sz w:val="32"/>
          <w:szCs w:val="32"/>
        </w:rPr>
        <w:t>12</w:t>
      </w:r>
      <w:r>
        <w:rPr>
          <w:rFonts w:hint="eastAsia" w:ascii="仿宋" w:hAnsi="仿宋" w:eastAsia="仿宋"/>
          <w:sz w:val="32"/>
          <w:szCs w:val="32"/>
        </w:rPr>
        <w:t>月开始准备，对</w:t>
      </w:r>
      <w:r>
        <w:rPr>
          <w:rFonts w:hint="eastAsia" w:ascii="仿宋" w:hAnsi="仿宋" w:eastAsia="仿宋" w:cs="仿宋"/>
          <w:b w:val="0"/>
          <w:bCs w:val="0"/>
          <w:color w:val="333333"/>
          <w:kern w:val="0"/>
          <w:sz w:val="32"/>
          <w:szCs w:val="32"/>
          <w:lang w:val="en-US" w:eastAsia="zh-CN"/>
        </w:rPr>
        <w:t>乡镇污水、垃圾处理等农村人居环境</w:t>
      </w:r>
      <w:r>
        <w:rPr>
          <w:rFonts w:hint="eastAsia" w:ascii="仿宋" w:hAnsi="仿宋" w:eastAsia="仿宋" w:cs="仿宋"/>
          <w:b w:val="0"/>
          <w:bCs w:val="0"/>
          <w:sz w:val="32"/>
          <w:szCs w:val="32"/>
        </w:rPr>
        <w:t>项目</w:t>
      </w:r>
      <w:r>
        <w:rPr>
          <w:rFonts w:hint="eastAsia" w:ascii="仿宋" w:hAnsi="仿宋" w:eastAsia="仿宋"/>
          <w:sz w:val="32"/>
          <w:szCs w:val="32"/>
        </w:rPr>
        <w:t>情况摸底调查。</w:t>
      </w:r>
    </w:p>
    <w:p>
      <w:pPr>
        <w:spacing w:line="480" w:lineRule="exact"/>
        <w:ind w:firstLine="640" w:firstLineChars="200"/>
        <w:rPr>
          <w:rFonts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w:t>
      </w:r>
      <w:r>
        <w:rPr>
          <w:rFonts w:ascii="仿宋" w:hAnsi="仿宋" w:eastAsia="仿宋"/>
          <w:sz w:val="32"/>
          <w:szCs w:val="32"/>
        </w:rPr>
        <w:t>-</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月开始对</w:t>
      </w:r>
      <w:r>
        <w:rPr>
          <w:rFonts w:hint="eastAsia" w:ascii="仿宋" w:hAnsi="仿宋" w:eastAsia="仿宋" w:cs="仿宋"/>
          <w:b w:val="0"/>
          <w:bCs w:val="0"/>
          <w:color w:val="333333"/>
          <w:kern w:val="0"/>
          <w:sz w:val="32"/>
          <w:szCs w:val="32"/>
          <w:lang w:val="en-US" w:eastAsia="zh-CN"/>
        </w:rPr>
        <w:t>乡镇污水、垃圾处理等农村人居环境</w:t>
      </w:r>
      <w:r>
        <w:rPr>
          <w:rFonts w:hint="eastAsia" w:ascii="仿宋" w:hAnsi="仿宋" w:eastAsia="仿宋" w:cs="仿宋"/>
          <w:b w:val="0"/>
          <w:bCs w:val="0"/>
          <w:sz w:val="32"/>
          <w:szCs w:val="32"/>
        </w:rPr>
        <w:t>项目</w:t>
      </w:r>
      <w:r>
        <w:rPr>
          <w:rFonts w:hint="eastAsia" w:ascii="仿宋" w:hAnsi="仿宋" w:eastAsia="仿宋"/>
          <w:sz w:val="32"/>
          <w:szCs w:val="32"/>
        </w:rPr>
        <w:t>进行维护维修。</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（三）项目实施情况分析，主要包括项目资金到位、资金使用、资金管理、项目组织和项目管理情况分析</w:t>
      </w:r>
    </w:p>
    <w:p>
      <w:pPr>
        <w:spacing w:line="48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、项目资金到位情况分析</w:t>
      </w:r>
    </w:p>
    <w:p>
      <w:pPr>
        <w:spacing w:line="480" w:lineRule="exact"/>
        <w:ind w:firstLine="640" w:firstLineChars="200"/>
        <w:rPr>
          <w:rFonts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年预算共下达</w:t>
      </w:r>
      <w:r>
        <w:rPr>
          <w:rFonts w:hint="eastAsia" w:ascii="仿宋" w:hAnsi="仿宋" w:eastAsia="仿宋" w:cs="仿宋"/>
          <w:b w:val="0"/>
          <w:bCs w:val="0"/>
          <w:color w:val="333333"/>
          <w:kern w:val="0"/>
          <w:sz w:val="32"/>
          <w:szCs w:val="32"/>
          <w:lang w:val="en-US" w:eastAsia="zh-CN"/>
        </w:rPr>
        <w:t>乡镇污水、垃圾处理等农村人居环境</w:t>
      </w:r>
      <w:r>
        <w:rPr>
          <w:rFonts w:hint="eastAsia" w:ascii="仿宋" w:hAnsi="仿宋" w:eastAsia="仿宋" w:cs="宋体"/>
          <w:color w:val="333333"/>
          <w:kern w:val="0"/>
          <w:sz w:val="32"/>
          <w:szCs w:val="32"/>
          <w:lang w:val="en-US" w:eastAsia="zh-CN"/>
        </w:rPr>
        <w:t>项目5756.13万元</w:t>
      </w:r>
      <w:r>
        <w:rPr>
          <w:rFonts w:hint="eastAsia" w:ascii="仿宋" w:hAnsi="仿宋" w:eastAsia="仿宋"/>
          <w:sz w:val="32"/>
          <w:szCs w:val="32"/>
        </w:rPr>
        <w:t>。资金到位率</w:t>
      </w:r>
      <w:r>
        <w:rPr>
          <w:rFonts w:ascii="仿宋" w:hAnsi="仿宋" w:eastAsia="仿宋"/>
          <w:sz w:val="32"/>
          <w:szCs w:val="32"/>
        </w:rPr>
        <w:t>100%</w:t>
      </w:r>
      <w:r>
        <w:rPr>
          <w:rFonts w:hint="eastAsia" w:ascii="仿宋" w:hAnsi="仿宋" w:eastAsia="仿宋"/>
          <w:sz w:val="32"/>
          <w:szCs w:val="32"/>
        </w:rPr>
        <w:t>，为项目的顺利开展和完成提供了有力保障。</w:t>
      </w:r>
    </w:p>
    <w:p>
      <w:pPr>
        <w:spacing w:line="4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、项目资金使用情况</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截止</w:t>
      </w:r>
      <w:r>
        <w:rPr>
          <w:rFonts w:hint="eastAsia" w:ascii="仿宋" w:hAnsi="仿宋" w:eastAsia="仿宋"/>
          <w:sz w:val="32"/>
          <w:szCs w:val="32"/>
          <w:lang w:eastAsia="zh-CN"/>
        </w:rPr>
        <w:t>2020</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w:t>
      </w:r>
      <w:r>
        <w:rPr>
          <w:rFonts w:hint="eastAsia" w:ascii="仿宋" w:hAnsi="仿宋" w:eastAsia="仿宋" w:cs="仿宋"/>
          <w:b w:val="0"/>
          <w:bCs w:val="0"/>
          <w:color w:val="333333"/>
          <w:kern w:val="0"/>
          <w:sz w:val="32"/>
          <w:szCs w:val="32"/>
          <w:lang w:val="en-US" w:eastAsia="zh-CN"/>
        </w:rPr>
        <w:t>乡镇污水、垃圾处理等农村人居环境</w:t>
      </w:r>
      <w:r>
        <w:rPr>
          <w:rFonts w:hint="eastAsia" w:ascii="仿宋" w:hAnsi="仿宋" w:eastAsia="仿宋" w:cs="仿宋"/>
          <w:b w:val="0"/>
          <w:bCs w:val="0"/>
          <w:sz w:val="32"/>
          <w:szCs w:val="32"/>
        </w:rPr>
        <w:t>项目</w:t>
      </w:r>
      <w:r>
        <w:rPr>
          <w:rFonts w:hint="eastAsia" w:ascii="仿宋" w:hAnsi="仿宋" w:eastAsia="仿宋"/>
          <w:sz w:val="32"/>
          <w:szCs w:val="32"/>
        </w:rPr>
        <w:t>资金实际支出</w:t>
      </w:r>
      <w:r>
        <w:rPr>
          <w:rFonts w:hint="eastAsia" w:ascii="仿宋" w:hAnsi="仿宋" w:eastAsia="仿宋"/>
          <w:sz w:val="32"/>
          <w:szCs w:val="32"/>
          <w:lang w:val="en-US" w:eastAsia="zh-CN"/>
        </w:rPr>
        <w:t>5756.13</w:t>
      </w:r>
      <w:r>
        <w:rPr>
          <w:rFonts w:hint="eastAsia" w:ascii="仿宋" w:hAnsi="仿宋" w:eastAsia="仿宋"/>
          <w:sz w:val="32"/>
          <w:szCs w:val="32"/>
        </w:rPr>
        <w:t>万元。</w:t>
      </w:r>
    </w:p>
    <w:p>
      <w:pPr>
        <w:spacing w:line="48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、资金管理、项目组织和项目管理情况分析</w:t>
      </w:r>
    </w:p>
    <w:p>
      <w:pPr>
        <w:spacing w:line="48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住建局根据国家及地方相关财务规定，结合单位自身特点，制订了相关财务管理制度，对专项经费进行严格管理。在项目执行过程中，严格对项目资金实行专款专用，明确项目管理和实施的具体责任部门和责任人，强化资金使用监督，加强专项资金使用过程的控制和追踪问效，进一步加强资金的专项资金的使用监管。经费付出时，对支出内容的真实、合理、合法性加强审核监督，确保资金的使用效率和项目的正常进行。且大额资金必须有审计出具审计报告，小额资金由局评审小组进行评议审核。</w:t>
      </w:r>
    </w:p>
    <w:p>
      <w:pPr>
        <w:spacing w:line="480" w:lineRule="exact"/>
        <w:ind w:firstLine="643" w:firstLineChars="200"/>
        <w:outlineLvl w:val="0"/>
        <w:rPr>
          <w:rFonts w:ascii="仿宋" w:hAnsi="仿宋" w:eastAsia="仿宋"/>
          <w:b/>
          <w:bCs/>
          <w:sz w:val="32"/>
          <w:szCs w:val="32"/>
        </w:rPr>
      </w:pPr>
      <w:r>
        <w:rPr>
          <w:rFonts w:hint="eastAsia" w:ascii="仿宋" w:hAnsi="仿宋" w:eastAsia="仿宋"/>
          <w:b/>
          <w:bCs/>
          <w:sz w:val="32"/>
          <w:szCs w:val="32"/>
        </w:rPr>
        <w:t>二、绩效评价工作情况</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（一）绩效评价目的</w:t>
      </w:r>
    </w:p>
    <w:p>
      <w:pPr>
        <w:spacing w:line="480" w:lineRule="exact"/>
        <w:ind w:firstLine="640" w:firstLineChars="200"/>
        <w:rPr>
          <w:rFonts w:ascii="仿宋" w:hAnsi="仿宋" w:eastAsia="仿宋"/>
          <w:b/>
          <w:sz w:val="32"/>
          <w:szCs w:val="32"/>
        </w:rPr>
      </w:pPr>
      <w:r>
        <w:rPr>
          <w:rFonts w:hint="eastAsia" w:ascii="仿宋" w:hAnsi="仿宋" w:eastAsia="仿宋"/>
          <w:sz w:val="32"/>
          <w:szCs w:val="32"/>
        </w:rPr>
        <w:t>加强资金的支出管理，建立科学、合理的财政支出绩效评价管理体系，优化资源的配置，控制节约成本，提高财政资金使用效益，提高对社会公众的服务水平。</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（二）绩效评价工作过程，主要包括前期准备、组织实施和分析评价等内容。</w:t>
      </w:r>
    </w:p>
    <w:p>
      <w:pPr>
        <w:spacing w:line="48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、前期准备</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成立住建局绩效评价工作领导小组，确定评价项目及范围，研究讨论并制定绩效评价实施方案，评价指标体系及评价方法。</w:t>
      </w:r>
    </w:p>
    <w:p>
      <w:pPr>
        <w:spacing w:line="4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、组织实施</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先由项目实施单位对专项资金的使用情况进行自查，收齐相关资料，提交局绩效评价工作领导小组，然后局绩效评价领导小组到项目实施现场进行实地考核评价。</w:t>
      </w:r>
    </w:p>
    <w:p>
      <w:pPr>
        <w:spacing w:line="48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、分析评价</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局绩效评价领导小组依据掌握的基础资料及数据，结合现场评价效果，对照评价指标体系进行打分，最终研究讨论综合评价，完成绩效评价报告。</w:t>
      </w:r>
    </w:p>
    <w:p>
      <w:pPr>
        <w:spacing w:line="480" w:lineRule="exact"/>
        <w:ind w:firstLine="643" w:firstLineChars="200"/>
        <w:rPr>
          <w:rFonts w:ascii="仿宋" w:hAnsi="仿宋" w:eastAsia="仿宋"/>
          <w:b/>
          <w:bCs/>
          <w:sz w:val="32"/>
          <w:szCs w:val="32"/>
        </w:rPr>
      </w:pPr>
      <w:r>
        <w:rPr>
          <w:rFonts w:hint="eastAsia" w:ascii="仿宋" w:hAnsi="仿宋" w:eastAsia="仿宋"/>
          <w:b/>
          <w:bCs/>
          <w:sz w:val="32"/>
          <w:szCs w:val="32"/>
        </w:rPr>
        <w:t>三、综合评价情况及评价结论（附相关评分表）</w:t>
      </w:r>
    </w:p>
    <w:p>
      <w:pPr>
        <w:spacing w:line="480" w:lineRule="exact"/>
        <w:ind w:firstLine="640" w:firstLineChars="200"/>
        <w:rPr>
          <w:rFonts w:ascii="仿宋" w:hAnsi="仿宋" w:eastAsia="仿宋"/>
          <w:sz w:val="32"/>
          <w:szCs w:val="32"/>
        </w:rPr>
      </w:pPr>
      <w:r>
        <w:rPr>
          <w:rFonts w:hint="eastAsia" w:ascii="仿宋" w:hAnsi="仿宋" w:eastAsia="仿宋"/>
          <w:sz w:val="32"/>
          <w:szCs w:val="32"/>
          <w:lang w:val="en-US" w:eastAsia="zh-CN"/>
        </w:rPr>
        <w:t>城乡建设股</w:t>
      </w:r>
      <w:r>
        <w:rPr>
          <w:rFonts w:hint="eastAsia" w:ascii="仿宋" w:hAnsi="仿宋" w:eastAsia="仿宋"/>
          <w:sz w:val="32"/>
          <w:szCs w:val="32"/>
        </w:rPr>
        <w:t>负责实施的</w:t>
      </w:r>
      <w:r>
        <w:rPr>
          <w:rFonts w:hint="eastAsia" w:ascii="仿宋" w:hAnsi="仿宋" w:eastAsia="仿宋"/>
          <w:sz w:val="32"/>
          <w:szCs w:val="32"/>
          <w:lang w:eastAsia="zh-CN"/>
        </w:rPr>
        <w:t>2020</w:t>
      </w:r>
      <w:r>
        <w:rPr>
          <w:rFonts w:hint="eastAsia" w:ascii="仿宋" w:hAnsi="仿宋" w:eastAsia="仿宋"/>
          <w:sz w:val="32"/>
          <w:szCs w:val="32"/>
        </w:rPr>
        <w:t>年实施</w:t>
      </w:r>
      <w:r>
        <w:rPr>
          <w:rFonts w:hint="eastAsia" w:ascii="仿宋" w:hAnsi="仿宋" w:eastAsia="仿宋" w:cs="仿宋"/>
          <w:b w:val="0"/>
          <w:bCs w:val="0"/>
          <w:color w:val="333333"/>
          <w:kern w:val="0"/>
          <w:sz w:val="32"/>
          <w:szCs w:val="32"/>
          <w:lang w:val="en-US" w:eastAsia="zh-CN"/>
        </w:rPr>
        <w:t>乡镇污水、垃圾处理等农村人居环境</w:t>
      </w:r>
      <w:r>
        <w:rPr>
          <w:rFonts w:hint="eastAsia" w:ascii="仿宋" w:hAnsi="仿宋" w:eastAsia="仿宋" w:cs="仿宋"/>
          <w:b w:val="0"/>
          <w:bCs w:val="0"/>
          <w:sz w:val="32"/>
          <w:szCs w:val="32"/>
        </w:rPr>
        <w:t>项目</w:t>
      </w:r>
      <w:r>
        <w:rPr>
          <w:rFonts w:hint="eastAsia" w:ascii="仿宋" w:hAnsi="仿宋" w:eastAsia="仿宋"/>
          <w:sz w:val="32"/>
          <w:szCs w:val="32"/>
        </w:rPr>
        <w:t>在项目决策上科学合理，项目管理规范到位，基本达到了预期的绩效目标，取得了良好的社会效益，综合绩效评价结果为“良好”。</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四、项目主要绩效情况分析</w:t>
      </w:r>
    </w:p>
    <w:p>
      <w:pPr>
        <w:spacing w:line="48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、项目经济性分析，主要包括项目成本（预算）控制情况和项目成本（预算）节约情况。</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①、项目成本控制情况。</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为了最大限度的利用有限的资金，</w:t>
      </w:r>
      <w:r>
        <w:rPr>
          <w:rFonts w:hint="eastAsia" w:ascii="仿宋" w:hAnsi="仿宋" w:eastAsia="仿宋"/>
          <w:sz w:val="32"/>
          <w:szCs w:val="32"/>
          <w:lang w:val="en-US" w:eastAsia="zh-CN"/>
        </w:rPr>
        <w:t>村镇建设中心</w:t>
      </w:r>
      <w:r>
        <w:rPr>
          <w:rFonts w:hint="eastAsia" w:ascii="仿宋" w:hAnsi="仿宋" w:eastAsia="仿宋"/>
          <w:sz w:val="32"/>
          <w:szCs w:val="32"/>
        </w:rPr>
        <w:t>想方设法进行成本控制，对每一笔资金都仔细分析斟酌，对每一份合同权衡分析，以最大限度控制活动成本。该项目的资金严格控制，厉行节约。</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②、项目成本节约情况。</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在开展</w:t>
      </w:r>
      <w:r>
        <w:rPr>
          <w:rFonts w:hint="eastAsia" w:ascii="仿宋" w:hAnsi="仿宋" w:eastAsia="仿宋" w:cs="仿宋"/>
          <w:b w:val="0"/>
          <w:bCs w:val="0"/>
          <w:color w:val="333333"/>
          <w:kern w:val="0"/>
          <w:sz w:val="32"/>
          <w:szCs w:val="32"/>
          <w:lang w:val="en-US" w:eastAsia="zh-CN"/>
        </w:rPr>
        <w:t>乡镇污水、垃圾处理等农村人居环境</w:t>
      </w:r>
      <w:r>
        <w:rPr>
          <w:rFonts w:hint="eastAsia" w:ascii="仿宋" w:hAnsi="仿宋" w:eastAsia="仿宋" w:cs="仿宋"/>
          <w:b w:val="0"/>
          <w:bCs w:val="0"/>
          <w:sz w:val="32"/>
          <w:szCs w:val="32"/>
        </w:rPr>
        <w:t>项目</w:t>
      </w:r>
      <w:r>
        <w:rPr>
          <w:rFonts w:hint="eastAsia" w:ascii="仿宋" w:hAnsi="仿宋" w:eastAsia="仿宋"/>
          <w:sz w:val="32"/>
          <w:szCs w:val="32"/>
        </w:rPr>
        <w:t>工作中，本着勤俭节约、简单务实的原则，</w:t>
      </w:r>
      <w:r>
        <w:rPr>
          <w:rFonts w:hint="eastAsia" w:ascii="仿宋" w:hAnsi="仿宋" w:eastAsia="仿宋"/>
          <w:sz w:val="32"/>
          <w:szCs w:val="32"/>
          <w:lang w:val="en-US" w:eastAsia="zh-CN"/>
        </w:rPr>
        <w:t>城乡建设股</w:t>
      </w:r>
      <w:r>
        <w:rPr>
          <w:rFonts w:hint="eastAsia" w:ascii="仿宋" w:hAnsi="仿宋" w:eastAsia="仿宋"/>
          <w:sz w:val="32"/>
          <w:szCs w:val="32"/>
        </w:rPr>
        <w:t>对各项经费进行了不断压缩和精简，有力避免了形式主义和形象工程。</w:t>
      </w:r>
    </w:p>
    <w:p>
      <w:pPr>
        <w:spacing w:line="4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、项目的效率性分析，主要包括项目的实施进度和项目完成质量。</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①、项目的实施进度</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项目的实施进度根据</w:t>
      </w:r>
      <w:r>
        <w:rPr>
          <w:rFonts w:hint="eastAsia" w:ascii="仿宋" w:hAnsi="仿宋" w:eastAsia="仿宋"/>
          <w:sz w:val="32"/>
          <w:szCs w:val="32"/>
          <w:lang w:val="en-US" w:eastAsia="zh-CN"/>
        </w:rPr>
        <w:t>城乡建设股</w:t>
      </w:r>
      <w:r>
        <w:rPr>
          <w:rFonts w:hint="eastAsia" w:ascii="仿宋" w:hAnsi="仿宋" w:eastAsia="仿宋"/>
          <w:sz w:val="32"/>
          <w:szCs w:val="32"/>
        </w:rPr>
        <w:t>按照工作计划，当年的维护维修项目工作按照预定计划完成。</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②、项目完成质量</w:t>
      </w:r>
    </w:p>
    <w:p>
      <w:pPr>
        <w:spacing w:line="480" w:lineRule="exact"/>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项目实施单位和责任人均严格按照方案要求，紧跟项目工作进度，确保项目工作保质保量的完成，均已达到预期效果。</w:t>
      </w:r>
    </w:p>
    <w:p>
      <w:pPr>
        <w:spacing w:line="48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、项目的效益性分析，主要包括项目预期目标完成程度和项目实施对经济和社会的影响等。</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①、项目预期目标完成程度。</w:t>
      </w:r>
    </w:p>
    <w:p>
      <w:pPr>
        <w:widowControl/>
        <w:tabs>
          <w:tab w:val="left" w:pos="380"/>
        </w:tabs>
        <w:spacing w:line="560" w:lineRule="exact"/>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b/>
          <w:bCs/>
          <w:kern w:val="0"/>
          <w:sz w:val="32"/>
          <w:szCs w:val="32"/>
        </w:rPr>
        <w:t>一是</w:t>
      </w:r>
      <w:r>
        <w:rPr>
          <w:rFonts w:hint="eastAsia" w:ascii="仿宋" w:hAnsi="仿宋" w:eastAsia="仿宋" w:cs="宋体"/>
          <w:kern w:val="0"/>
          <w:sz w:val="32"/>
          <w:szCs w:val="32"/>
        </w:rPr>
        <w:t>开启了村镇垃圾处理基础设施建设。目前已完成我县农村生活垃圾清运及无害化处理建设项目(第一期)的招商工作。第一期工程主要完成碧涌镇、洞下场乡、楠木坪镇1</w:t>
      </w:r>
      <w:r>
        <w:rPr>
          <w:rFonts w:hint="eastAsia" w:ascii="仿宋" w:hAnsi="仿宋" w:eastAsia="仿宋" w:cs="宋体"/>
          <w:color w:val="000000" w:themeColor="text1"/>
          <w:kern w:val="0"/>
          <w:sz w:val="32"/>
          <w:szCs w:val="32"/>
          <w14:textFill>
            <w14:solidFill>
              <w14:schemeClr w14:val="tx1"/>
            </w14:solidFill>
          </w14:textFill>
        </w:rPr>
        <w:t>1个乡镇的生活垃圾，采取村组收集、专业公司清运、无害化处理厂处理的方式进行处理。加快农村垃圾中转站建设，现土桥镇垃圾中转站</w:t>
      </w: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楠木坪镇垃圾中转站建设已完工，已完成设备安装；两座中转站</w:t>
      </w:r>
      <w:r>
        <w:rPr>
          <w:rFonts w:hint="eastAsia" w:ascii="仿宋" w:hAnsi="仿宋" w:eastAsia="仿宋" w:cs="宋体"/>
          <w:color w:val="000000" w:themeColor="text1"/>
          <w:kern w:val="0"/>
          <w:sz w:val="32"/>
          <w:szCs w:val="32"/>
          <w:lang w:val="en-US" w:eastAsia="zh-CN"/>
          <w14:textFill>
            <w14:solidFill>
              <w14:schemeClr w14:val="tx1"/>
            </w14:solidFill>
          </w14:textFill>
        </w:rPr>
        <w:t>交付当地乡镇</w:t>
      </w:r>
      <w:r>
        <w:rPr>
          <w:rFonts w:hint="eastAsia" w:ascii="仿宋" w:hAnsi="仿宋" w:eastAsia="仿宋" w:cs="宋体"/>
          <w:color w:val="000000" w:themeColor="text1"/>
          <w:kern w:val="0"/>
          <w:sz w:val="32"/>
          <w:szCs w:val="32"/>
          <w14:textFill>
            <w14:solidFill>
              <w14:schemeClr w14:val="tx1"/>
            </w14:solidFill>
          </w14:textFill>
        </w:rPr>
        <w:t>使用。</w:t>
      </w:r>
    </w:p>
    <w:p>
      <w:pPr>
        <w:widowControl/>
        <w:spacing w:line="560" w:lineRule="exact"/>
        <w:ind w:firstLine="643"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二是</w:t>
      </w:r>
      <w:r>
        <w:rPr>
          <w:rFonts w:hint="eastAsia" w:ascii="仿宋" w:hAnsi="仿宋" w:eastAsia="仿宋" w:cs="宋体"/>
          <w:color w:val="000000" w:themeColor="text1"/>
          <w:kern w:val="0"/>
          <w:sz w:val="32"/>
          <w:szCs w:val="32"/>
          <w14:textFill>
            <w14:solidFill>
              <w14:schemeClr w14:val="tx1"/>
            </w14:solidFill>
          </w14:textFill>
        </w:rPr>
        <w:t>乡镇集镇污水处理厂建设也已步入正轨。目前罗旧、碧涌集镇污水处理厂已</w:t>
      </w:r>
      <w:r>
        <w:rPr>
          <w:rFonts w:hint="eastAsia" w:ascii="仿宋" w:hAnsi="仿宋" w:eastAsia="仿宋" w:cs="宋体"/>
          <w:color w:val="000000" w:themeColor="text1"/>
          <w:kern w:val="0"/>
          <w:sz w:val="32"/>
          <w:szCs w:val="32"/>
          <w:lang w:val="en-US" w:eastAsia="zh-CN"/>
          <w14:textFill>
            <w14:solidFill>
              <w14:schemeClr w14:val="tx1"/>
            </w14:solidFill>
          </w14:textFill>
        </w:rPr>
        <w:t>完成建设，在线监测、运营单位已进场</w:t>
      </w:r>
      <w:r>
        <w:rPr>
          <w:rFonts w:hint="eastAsia" w:ascii="仿宋" w:hAnsi="仿宋" w:eastAsia="仿宋" w:cs="宋体"/>
          <w:color w:val="000000" w:themeColor="text1"/>
          <w:kern w:val="0"/>
          <w:sz w:val="32"/>
          <w:szCs w:val="32"/>
          <w14:textFill>
            <w14:solidFill>
              <w14:schemeClr w14:val="tx1"/>
            </w14:solidFill>
          </w14:textFill>
        </w:rPr>
        <w:t>，其他14个乡镇（芷江镇、岩桥镇除外）的集镇污水处理厂建设已完成立项工作，正在做前期工作，拟采用BOT方式进行建设。</w:t>
      </w:r>
    </w:p>
    <w:p>
      <w:pPr>
        <w:widowControl/>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cs="宋体"/>
          <w:kern w:val="0"/>
          <w:sz w:val="32"/>
          <w:szCs w:val="32"/>
        </w:rPr>
        <w:t>严格落实污水监察管理责任，坚持城区内日常性排污管网的巡查，落实安全预防工作。不定期、不定时对污水处理厂进行督查管理，督促污水处理厂扎实安全生产，做好安全预防，严格操作规程，确保污水处理厂的正常运行，达到节能减排的效果，实现了城镇污水无害化处理目标。</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②、项目实施对经济和社会影响。</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通过</w:t>
      </w:r>
      <w:r>
        <w:rPr>
          <w:rFonts w:hint="eastAsia" w:ascii="仿宋" w:hAnsi="仿宋" w:eastAsia="仿宋" w:cs="仿宋"/>
          <w:b w:val="0"/>
          <w:bCs w:val="0"/>
          <w:color w:val="333333"/>
          <w:kern w:val="0"/>
          <w:sz w:val="32"/>
          <w:szCs w:val="32"/>
          <w:lang w:val="en-US" w:eastAsia="zh-CN"/>
        </w:rPr>
        <w:t>乡镇污水、垃圾处理等农村人居环境</w:t>
      </w:r>
      <w:r>
        <w:rPr>
          <w:rFonts w:hint="eastAsia" w:ascii="仿宋" w:hAnsi="仿宋" w:eastAsia="仿宋" w:cs="仿宋"/>
          <w:b w:val="0"/>
          <w:bCs w:val="0"/>
          <w:sz w:val="32"/>
          <w:szCs w:val="32"/>
        </w:rPr>
        <w:t>项目</w:t>
      </w:r>
      <w:r>
        <w:rPr>
          <w:rFonts w:hint="eastAsia" w:ascii="仿宋" w:hAnsi="仿宋" w:eastAsia="仿宋"/>
          <w:sz w:val="32"/>
          <w:szCs w:val="32"/>
        </w:rPr>
        <w:t>，不断完善了与市民息息相关的基础实施，为芷江</w:t>
      </w:r>
      <w:r>
        <w:rPr>
          <w:rFonts w:hint="eastAsia" w:ascii="仿宋" w:hAnsi="仿宋" w:eastAsia="仿宋"/>
          <w:sz w:val="32"/>
          <w:szCs w:val="32"/>
          <w:lang w:val="en-US" w:eastAsia="zh-CN"/>
        </w:rPr>
        <w:t>人民</w:t>
      </w:r>
      <w:r>
        <w:rPr>
          <w:rFonts w:hint="eastAsia" w:ascii="仿宋" w:hAnsi="仿宋" w:eastAsia="仿宋"/>
          <w:sz w:val="32"/>
          <w:szCs w:val="32"/>
        </w:rPr>
        <w:t>营造了更为舒适的环境，为市民和游客创造了更好的生活和出行环境。</w:t>
      </w:r>
    </w:p>
    <w:p>
      <w:pPr>
        <w:spacing w:line="480" w:lineRule="exact"/>
        <w:ind w:firstLine="643" w:firstLineChars="200"/>
        <w:rPr>
          <w:rFonts w:ascii="仿宋" w:hAnsi="仿宋" w:eastAsia="仿宋"/>
          <w:b/>
          <w:bCs/>
          <w:sz w:val="32"/>
          <w:szCs w:val="32"/>
        </w:rPr>
      </w:pPr>
      <w:r>
        <w:rPr>
          <w:rFonts w:hint="eastAsia" w:ascii="仿宋" w:hAnsi="仿宋" w:eastAsia="仿宋"/>
          <w:b/>
          <w:bCs/>
          <w:sz w:val="32"/>
          <w:szCs w:val="32"/>
        </w:rPr>
        <w:t>四、存在的问题</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1、项目实施时间较长，给居民生产生活出行造成不便。</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2、时间跨度长，项目延续性导致部分资金未能在当年全部结付。</w:t>
      </w:r>
    </w:p>
    <w:p>
      <w:pPr>
        <w:spacing w:line="480" w:lineRule="exact"/>
        <w:ind w:firstLine="643" w:firstLineChars="200"/>
        <w:rPr>
          <w:rFonts w:ascii="仿宋" w:hAnsi="仿宋" w:eastAsia="仿宋"/>
          <w:b/>
          <w:bCs/>
          <w:sz w:val="32"/>
          <w:szCs w:val="32"/>
        </w:rPr>
      </w:pPr>
      <w:r>
        <w:rPr>
          <w:rFonts w:hint="eastAsia" w:ascii="仿宋" w:hAnsi="仿宋" w:eastAsia="仿宋"/>
          <w:b/>
          <w:bCs/>
          <w:sz w:val="32"/>
          <w:szCs w:val="32"/>
        </w:rPr>
        <w:t>五、有关建议</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1、强化全面绩效评价概念，加强事前、事中、事后的绩效管理。</w:t>
      </w:r>
    </w:p>
    <w:p>
      <w:pPr>
        <w:ind w:firstLine="640" w:firstLineChars="200"/>
        <w:rPr>
          <w:rFonts w:ascii="仿宋" w:hAnsi="仿宋" w:eastAsia="仿宋" w:cs="仿宋"/>
          <w:sz w:val="28"/>
          <w:szCs w:val="28"/>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cs="仿宋"/>
          <w:sz w:val="28"/>
          <w:szCs w:val="28"/>
        </w:rPr>
        <w:t>强化对项目的验收，对于未按照方案进行实施的、提供资料不齐全等的项目一律不予通过验收；注重对项目后期的维护管理，提高项目预估及应对自然和外界各种风险的能力，最大程度保障项目长期稳定运行。</w:t>
      </w:r>
    </w:p>
    <w:p>
      <w:pPr>
        <w:spacing w:line="480" w:lineRule="exact"/>
        <w:ind w:firstLine="640" w:firstLineChars="200"/>
        <w:rPr>
          <w:rFonts w:hint="eastAsia" w:ascii="仿宋" w:hAnsi="仿宋" w:eastAsia="仿宋"/>
          <w:sz w:val="32"/>
          <w:szCs w:val="32"/>
        </w:rPr>
      </w:pPr>
    </w:p>
    <w:p>
      <w:pPr>
        <w:spacing w:line="480" w:lineRule="exact"/>
        <w:ind w:firstLine="2880" w:firstLineChars="900"/>
        <w:rPr>
          <w:rFonts w:ascii="仿宋" w:hAnsi="仿宋" w:eastAsia="仿宋"/>
          <w:sz w:val="32"/>
          <w:szCs w:val="32"/>
        </w:rPr>
      </w:pPr>
      <w:r>
        <w:rPr>
          <w:rFonts w:hint="eastAsia" w:ascii="仿宋" w:hAnsi="仿宋" w:eastAsia="仿宋"/>
          <w:sz w:val="32"/>
          <w:szCs w:val="32"/>
        </w:rPr>
        <w:t>芷江侗族自治县住房和城乡建设局</w:t>
      </w:r>
    </w:p>
    <w:p>
      <w:pPr>
        <w:spacing w:line="480" w:lineRule="exact"/>
        <w:ind w:firstLine="3840" w:firstLineChars="1200"/>
        <w:rPr>
          <w:rFonts w:ascii="仿宋" w:hAnsi="仿宋" w:eastAsia="仿宋"/>
        </w:rPr>
      </w:pPr>
      <w:r>
        <w:rPr>
          <w:rFonts w:hint="eastAsia" w:ascii="仿宋" w:hAnsi="仿宋" w:eastAsia="仿宋"/>
          <w:sz w:val="32"/>
          <w:szCs w:val="32"/>
        </w:rPr>
        <w:t>二〇二</w:t>
      </w:r>
      <w:r>
        <w:rPr>
          <w:rFonts w:hint="eastAsia" w:ascii="仿宋" w:hAnsi="仿宋" w:eastAsia="仿宋"/>
          <w:sz w:val="32"/>
          <w:szCs w:val="32"/>
          <w:lang w:val="en-US" w:eastAsia="zh-CN"/>
        </w:rPr>
        <w:t>一</w:t>
      </w:r>
      <w:r>
        <w:rPr>
          <w:rFonts w:hint="eastAsia" w:ascii="仿宋" w:hAnsi="仿宋" w:eastAsia="仿宋"/>
          <w:sz w:val="32"/>
          <w:szCs w:val="32"/>
        </w:rPr>
        <w:t>年七月十</w:t>
      </w:r>
      <w:r>
        <w:rPr>
          <w:rFonts w:hint="eastAsia" w:ascii="仿宋" w:hAnsi="仿宋" w:eastAsia="仿宋"/>
          <w:sz w:val="32"/>
          <w:szCs w:val="32"/>
          <w:lang w:val="en-US" w:eastAsia="zh-CN"/>
        </w:rPr>
        <w:t>二</w:t>
      </w:r>
      <w:r>
        <w:rPr>
          <w:rFonts w:hint="eastAsia" w:ascii="仿宋" w:hAnsi="仿宋" w:eastAsia="仿宋"/>
          <w:sz w:val="32"/>
          <w:szCs w:val="32"/>
        </w:rPr>
        <w:t>日</w:t>
      </w:r>
    </w:p>
    <w:p/>
    <w:p>
      <w:pPr>
        <w:widowControl/>
        <w:jc w:val="center"/>
        <w:textAlignment w:val="center"/>
        <w:rPr>
          <w:rFonts w:ascii="宋体" w:hAnsi="宋体" w:cs="宋体"/>
          <w:b/>
          <w:color w:val="000000"/>
          <w:kern w:val="0"/>
          <w:sz w:val="36"/>
          <w:szCs w:val="36"/>
        </w:rPr>
        <w:sectPr>
          <w:pgSz w:w="11906" w:h="16838"/>
          <w:pgMar w:top="1440" w:right="1800" w:bottom="1440" w:left="1800" w:header="851" w:footer="992" w:gutter="0"/>
          <w:cols w:space="425" w:num="1"/>
          <w:docGrid w:type="lines" w:linePitch="312" w:charSpace="0"/>
        </w:sectPr>
      </w:pPr>
    </w:p>
    <w:tbl>
      <w:tblPr>
        <w:tblStyle w:val="5"/>
        <w:tblW w:w="13482" w:type="dxa"/>
        <w:tblInd w:w="0" w:type="dxa"/>
        <w:tblLayout w:type="fixed"/>
        <w:tblCellMar>
          <w:top w:w="0" w:type="dxa"/>
          <w:left w:w="108" w:type="dxa"/>
          <w:bottom w:w="0" w:type="dxa"/>
          <w:right w:w="108" w:type="dxa"/>
        </w:tblCellMar>
      </w:tblPr>
      <w:tblGrid>
        <w:gridCol w:w="582"/>
        <w:gridCol w:w="426"/>
        <w:gridCol w:w="425"/>
        <w:gridCol w:w="425"/>
        <w:gridCol w:w="567"/>
        <w:gridCol w:w="851"/>
        <w:gridCol w:w="3260"/>
        <w:gridCol w:w="4394"/>
        <w:gridCol w:w="1134"/>
        <w:gridCol w:w="1418"/>
      </w:tblGrid>
      <w:tr>
        <w:tblPrEx>
          <w:tblCellMar>
            <w:top w:w="0" w:type="dxa"/>
            <w:left w:w="108" w:type="dxa"/>
            <w:bottom w:w="0" w:type="dxa"/>
            <w:right w:w="108" w:type="dxa"/>
          </w:tblCellMar>
        </w:tblPrEx>
        <w:trPr>
          <w:trHeight w:val="600" w:hRule="atLeast"/>
        </w:trPr>
        <w:tc>
          <w:tcPr>
            <w:tcW w:w="13482" w:type="dxa"/>
            <w:gridSpan w:val="10"/>
            <w:tcMar>
              <w:top w:w="15" w:type="dxa"/>
              <w:left w:w="15" w:type="dxa"/>
              <w:bottom w:w="15" w:type="dxa"/>
              <w:right w:w="15" w:type="dxa"/>
            </w:tcMar>
            <w:vAlign w:val="center"/>
          </w:tcPr>
          <w:p>
            <w:pPr>
              <w:widowControl/>
              <w:jc w:val="center"/>
              <w:textAlignment w:val="center"/>
              <w:rPr>
                <w:rFonts w:ascii="宋体" w:hAnsi="宋体" w:cs="宋体"/>
                <w:b/>
                <w:sz w:val="36"/>
                <w:szCs w:val="36"/>
              </w:rPr>
            </w:pPr>
            <w:r>
              <w:rPr>
                <w:rFonts w:hint="eastAsia" w:ascii="宋体" w:hAnsi="宋体" w:cs="宋体"/>
                <w:b/>
                <w:color w:val="000000"/>
                <w:kern w:val="0"/>
                <w:sz w:val="36"/>
                <w:szCs w:val="36"/>
              </w:rPr>
              <w:t>芷江侗族自治县</w:t>
            </w:r>
            <w:r>
              <w:rPr>
                <w:rFonts w:hint="eastAsia" w:ascii="宋体" w:hAnsi="宋体" w:cs="宋体"/>
                <w:b/>
                <w:sz w:val="36"/>
                <w:szCs w:val="36"/>
              </w:rPr>
              <w:t>住建局</w:t>
            </w:r>
            <w:r>
              <w:rPr>
                <w:rFonts w:hint="eastAsia" w:ascii="宋体" w:hAnsi="宋体" w:eastAsia="宋体" w:cs="宋体"/>
                <w:b/>
                <w:bCs/>
                <w:color w:val="333333"/>
                <w:kern w:val="0"/>
                <w:sz w:val="36"/>
                <w:szCs w:val="36"/>
                <w:lang w:val="en-US" w:eastAsia="zh-CN"/>
              </w:rPr>
              <w:t>乡镇污水、垃圾处理等农村人居环境</w:t>
            </w:r>
            <w:r>
              <w:rPr>
                <w:rFonts w:hint="eastAsia" w:ascii="宋体" w:hAnsi="宋体" w:cs="宋体"/>
                <w:b/>
                <w:sz w:val="36"/>
                <w:szCs w:val="36"/>
              </w:rPr>
              <w:t>项目专项</w:t>
            </w:r>
          </w:p>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rPr>
              <w:t>资金绩效评价指标</w:t>
            </w:r>
          </w:p>
        </w:tc>
      </w:tr>
      <w:tr>
        <w:tblPrEx>
          <w:tblCellMar>
            <w:top w:w="0" w:type="dxa"/>
            <w:left w:w="108" w:type="dxa"/>
            <w:bottom w:w="0" w:type="dxa"/>
            <w:right w:w="108" w:type="dxa"/>
          </w:tblCellMar>
        </w:tblPrEx>
        <w:trPr>
          <w:trHeight w:val="495" w:hRule="atLeast"/>
        </w:trPr>
        <w:tc>
          <w:tcPr>
            <w:tcW w:w="13482" w:type="dxa"/>
            <w:gridSpan w:val="10"/>
            <w:tcBorders>
              <w:top w:val="nil"/>
              <w:left w:val="nil"/>
              <w:bottom w:val="single" w:color="000000" w:sz="4" w:space="0"/>
              <w:right w:val="nil"/>
            </w:tcBorders>
            <w:tcMar>
              <w:top w:w="15" w:type="dxa"/>
              <w:left w:w="15" w:type="dxa"/>
              <w:bottom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rPr>
              <w:t>填报单位：芷江县住房和城乡建设局</w:t>
            </w:r>
          </w:p>
        </w:tc>
      </w:tr>
      <w:tr>
        <w:tblPrEx>
          <w:tblCellMar>
            <w:top w:w="0" w:type="dxa"/>
            <w:left w:w="108" w:type="dxa"/>
            <w:bottom w:w="0" w:type="dxa"/>
            <w:right w:w="108" w:type="dxa"/>
          </w:tblCellMar>
        </w:tblPrEx>
        <w:trPr>
          <w:trHeight w:val="915"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一级指标</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分值</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二级指标</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分值</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三级指标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分值</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指标解释</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评价标准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评分</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备注</w:t>
            </w:r>
          </w:p>
        </w:tc>
      </w:tr>
      <w:tr>
        <w:tblPrEx>
          <w:tblCellMar>
            <w:top w:w="0" w:type="dxa"/>
            <w:left w:w="108" w:type="dxa"/>
            <w:bottom w:w="0" w:type="dxa"/>
            <w:right w:w="108" w:type="dxa"/>
          </w:tblCellMar>
        </w:tblPrEx>
        <w:trPr>
          <w:trHeight w:val="1320" w:hRule="atLeast"/>
        </w:trPr>
        <w:tc>
          <w:tcPr>
            <w:tcW w:w="582"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投入</w:t>
            </w:r>
          </w:p>
        </w:tc>
        <w:tc>
          <w:tcPr>
            <w:tcW w:w="426"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w:t>
            </w:r>
            <w:r>
              <w:rPr>
                <w:rFonts w:ascii="宋体" w:hAnsi="宋体" w:cs="宋体"/>
                <w:color w:val="000000"/>
                <w:kern w:val="0"/>
                <w:sz w:val="18"/>
                <w:szCs w:val="18"/>
              </w:rPr>
              <w:drawing>
                <wp:inline distT="0" distB="0" distL="0" distR="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4" r:link="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宋体" w:hAnsi="宋体" w:cs="宋体"/>
                <w:color w:val="000000"/>
                <w:kern w:val="0"/>
                <w:sz w:val="18"/>
                <w:szCs w:val="18"/>
              </w:rPr>
              <w:t xml:space="preserve"> </w:t>
            </w:r>
            <w:r>
              <w:rPr>
                <w:rFonts w:ascii="宋体" w:hAnsi="宋体" w:cs="宋体"/>
                <w:color w:val="000000"/>
                <w:kern w:val="0"/>
                <w:sz w:val="18"/>
                <w:szCs w:val="18"/>
              </w:rPr>
              <w:drawing>
                <wp:inline distT="0" distB="0" distL="0" distR="0">
                  <wp:extent cx="9525"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noChangeArrowheads="1"/>
                          </pic:cNvPicPr>
                        </pic:nvPicPr>
                        <pic:blipFill>
                          <a:blip r:embed="rId4" r:link="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9525" cy="9525"/>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noChangeArrowheads="1"/>
                          </pic:cNvPicPr>
                        </pic:nvPicPr>
                        <pic:blipFill>
                          <a:blip r:embed="rId4" r:link="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9525" cy="9525"/>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noChangeArrowheads="1"/>
                          </pic:cNvPicPr>
                        </pic:nvPicPr>
                        <pic:blipFill>
                          <a:blip r:embed="rId4" r:link="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9525" cy="9525"/>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noChangeArrowheads="1"/>
                          </pic:cNvPicPr>
                        </pic:nvPicPr>
                        <pic:blipFill>
                          <a:blip r:embed="rId4" r:link="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9525" cy="9525"/>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noChangeArrowheads="1"/>
                          </pic:cNvPicPr>
                        </pic:nvPicPr>
                        <pic:blipFill>
                          <a:blip r:embed="rId4" r:link="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9525" cy="9525"/>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noChangeArrowheads="1"/>
                          </pic:cNvPicPr>
                        </pic:nvPicPr>
                        <pic:blipFill>
                          <a:blip r:embed="rId4" r:link="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9525" cy="9525"/>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noChangeArrowheads="1"/>
                          </pic:cNvPicPr>
                        </pic:nvPicPr>
                        <pic:blipFill>
                          <a:blip r:embed="rId4" r:link="rId5"/>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项目立项规范性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项目的申请、设立过程是否符合相关要求，用以反映和考核项目立项的规范情况。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650"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绩效目标合理性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项目所设定的绩效目标是否依据充分，是否符合客观实际，用以反映和考核项目绩效目标与项目实施的相符情况。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875"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绩效指标明确性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依据绩效目标设定的绩效指标是否清晰、细化、可衡量等，用以反映和考核项目绩效目标的明细化情况。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795"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资金落实</w:t>
            </w:r>
          </w:p>
        </w:tc>
        <w:tc>
          <w:tcPr>
            <w:tcW w:w="42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资金到位率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资金到位率＝（实际到位资金/计划投入资金）×100%</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资金足额到位记5分，未足额到位按比例计分。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570"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到位及时率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到位及时率＝（及时到位资金/应到位资金）×100%</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资金按时到位记5分，未按时按比例计分。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50" w:hRule="atLeast"/>
        </w:trPr>
        <w:tc>
          <w:tcPr>
            <w:tcW w:w="582"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过程</w:t>
            </w:r>
          </w:p>
        </w:tc>
        <w:tc>
          <w:tcPr>
            <w:tcW w:w="426"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业务管理</w:t>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项目实施单位的业务管理制度是否健全，用以反映和考核业务管理制度对项目顺利实施的保障情况。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①已制定或具有相应的业务管理制度记2.5分， 不制定不记分；                                        ②业务管理制度合法、合规、完整记2.5分；不合法、不合规、不完整不记分。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750"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制度执行有效性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项目实施是否符合相关业务管理规定，用以反映和考核业务管理制度的有效执行情况。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遵守相关法律法规和业务管理规定记5分，否则不记分。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170"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项目质量可控性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项目实施至位是否为达到项目质量要求而采取了必需的措施，用以反映和考核项目实施单位对项目质量的控制情况。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①制定或有相应的项目质量要求或标准记2.5分，否则不记分；                                          ②采取了相应的项目质量检查、验收等必需的控制措施或手段记2.5分，否则不记分。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140"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财务管理</w:t>
            </w:r>
          </w:p>
        </w:tc>
        <w:tc>
          <w:tcPr>
            <w:tcW w:w="42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56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851"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项目实施单位的财务制度是否健全，用以反映和考核财务管理制度对资金规范、安全运行的保障情况。</w:t>
            </w:r>
          </w:p>
        </w:tc>
        <w:tc>
          <w:tcPr>
            <w:tcW w:w="4394"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①已制定或具有相应的项目资金管理办法记2.5分，否则不记分；                                           ②项目资金管理办法符合相关财务会计制定记2.5分，否则不记分。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3</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3540"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资金使用合规性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3366FF"/>
                <w:sz w:val="18"/>
                <w:szCs w:val="18"/>
              </w:rPr>
            </w:pPr>
            <w:r>
              <w:rPr>
                <w:rFonts w:hint="eastAsia" w:ascii="宋体" w:hAnsi="宋体" w:cs="宋体"/>
                <w:color w:val="3366FF"/>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项目资金使用是否符合相关的财务管理制度规定，用以反映和考核项目资金的规范运行情况。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①符合国家财经法规和财务管理制度以及有关专项资金管理办法的规定记1分,否则不记分；                                                           ②资金的拨付有完整的审批程序和手续记1分,否则不记分；                           ③项目的重大开支经过评估认证记1分,否则不记分；                                 ④符合项目预算批复或合同规定的用途记1分,否则不记分；                          ⑤是否存在支出依据不合规、虚列项目支出的情况；是否存在截留、挤占、挪用项目资金情况；是否存在超标准开支情况;资金管理、费用支出等制度是否健全，是否严格执行；会计核算是否规范(1分）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1305"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财务监控有效性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项目单位是否为保障资金的安全、规范运行而采取了必要的监控措施，用以反映和考核项目单位对资金运行的控制情况。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①已制定或具有相应的监控机制记2.5分，否则不记分；                                        ②采取了相应的财务检查等必要的监控措施或手段记2.5分，否则不记分。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155" w:hRule="atLeast"/>
        </w:trPr>
        <w:tc>
          <w:tcPr>
            <w:tcW w:w="582"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w:t>
            </w:r>
          </w:p>
        </w:tc>
        <w:tc>
          <w:tcPr>
            <w:tcW w:w="426"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42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项目产出</w:t>
            </w:r>
          </w:p>
        </w:tc>
        <w:tc>
          <w:tcPr>
            <w:tcW w:w="42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项目建设产出情况</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项目建设产出情况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已投入建设计2分，已产出计5分，未投入产出计0分</w:t>
            </w:r>
            <w:r>
              <w:rPr>
                <w:rFonts w:hint="eastAsia" w:ascii="宋体" w:hAnsi="宋体" w:cs="宋体"/>
                <w:color w:val="000000"/>
                <w:kern w:val="0"/>
                <w:sz w:val="18"/>
                <w:szCs w:val="18"/>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项目进度率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根据项目进度，按要求上报项目开工率、竣工率</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6月份，</w:t>
            </w:r>
            <w:r>
              <w:rPr>
                <w:rFonts w:hint="eastAsia" w:ascii="宋体" w:hAnsi="宋体" w:cs="宋体"/>
                <w:color w:val="000000"/>
                <w:kern w:val="0"/>
                <w:sz w:val="18"/>
                <w:szCs w:val="18"/>
              </w:rPr>
              <w:t>开工率达不到 60%扣2分；9月底前，达不到100%开工扣2分，10月底前，达不到100%竣工扣3分。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45"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纸质档案完整率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申</w:t>
            </w:r>
            <w:r>
              <w:rPr>
                <w:rFonts w:hint="eastAsia" w:ascii="宋体" w:hAnsi="宋体" w:eastAsia="宋体" w:cs="宋体"/>
                <w:color w:val="000000"/>
                <w:kern w:val="0"/>
                <w:sz w:val="18"/>
                <w:szCs w:val="18"/>
              </w:rPr>
              <w:t>报</w:t>
            </w:r>
            <w:r>
              <w:rPr>
                <w:rFonts w:hint="eastAsia" w:ascii="宋体" w:hAnsi="宋体" w:eastAsia="宋体" w:cs="宋体"/>
                <w:b w:val="0"/>
                <w:bCs w:val="0"/>
                <w:color w:val="333333"/>
                <w:kern w:val="0"/>
                <w:sz w:val="18"/>
                <w:szCs w:val="18"/>
                <w:lang w:val="en-US" w:eastAsia="zh-CN"/>
              </w:rPr>
              <w:t>乡镇污水、垃圾处理等农村人居环境</w:t>
            </w:r>
            <w:r>
              <w:rPr>
                <w:rFonts w:hint="eastAsia" w:ascii="宋体" w:hAnsi="宋体" w:eastAsia="宋体" w:cs="宋体"/>
                <w:b w:val="0"/>
                <w:bCs w:val="0"/>
                <w:sz w:val="18"/>
                <w:szCs w:val="18"/>
              </w:rPr>
              <w:t>项目</w:t>
            </w:r>
            <w:r>
              <w:rPr>
                <w:rFonts w:hint="eastAsia" w:ascii="宋体" w:hAnsi="宋体" w:eastAsia="宋体" w:cs="宋体"/>
                <w:color w:val="000000"/>
                <w:kern w:val="0"/>
                <w:sz w:val="18"/>
                <w:szCs w:val="18"/>
              </w:rPr>
              <w:t>所需要的各种</w:t>
            </w:r>
            <w:r>
              <w:rPr>
                <w:rFonts w:hint="eastAsia" w:ascii="宋体" w:hAnsi="宋体" w:cs="宋体"/>
                <w:color w:val="000000"/>
                <w:kern w:val="0"/>
                <w:sz w:val="18"/>
                <w:szCs w:val="18"/>
              </w:rPr>
              <w:t>资料</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纸质档案、审核审批、公示、协议、竣工验收表等村料齐全，差一样扣1分。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350"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资金支付</w:t>
            </w:r>
            <w:r>
              <w:rPr>
                <w:rFonts w:hint="eastAsia" w:ascii="宋体" w:hAnsi="宋体" w:cs="宋体"/>
                <w:color w:val="000000"/>
                <w:kern w:val="0"/>
                <w:sz w:val="18"/>
                <w:szCs w:val="18"/>
              </w:rPr>
              <w:t>及时率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根据</w:t>
            </w:r>
            <w:r>
              <w:rPr>
                <w:rFonts w:hint="eastAsia" w:ascii="宋体" w:hAnsi="宋体" w:eastAsia="宋体" w:cs="宋体"/>
                <w:b w:val="0"/>
                <w:bCs w:val="0"/>
                <w:color w:val="333333"/>
                <w:kern w:val="0"/>
                <w:sz w:val="18"/>
                <w:szCs w:val="18"/>
                <w:lang w:val="en-US" w:eastAsia="zh-CN"/>
              </w:rPr>
              <w:t>乡镇污水、垃圾处理等农村人居环境</w:t>
            </w:r>
            <w:r>
              <w:rPr>
                <w:rFonts w:hint="eastAsia" w:ascii="宋体" w:hAnsi="宋体" w:eastAsia="宋体" w:cs="宋体"/>
                <w:b w:val="0"/>
                <w:bCs w:val="0"/>
                <w:sz w:val="18"/>
                <w:szCs w:val="18"/>
              </w:rPr>
              <w:t>项目</w:t>
            </w:r>
            <w:r>
              <w:rPr>
                <w:rFonts w:hint="eastAsia" w:ascii="宋体" w:hAnsi="宋体" w:cs="宋体"/>
                <w:color w:val="000000"/>
                <w:kern w:val="0"/>
                <w:sz w:val="18"/>
                <w:szCs w:val="18"/>
              </w:rPr>
              <w:t>项目进度</w:t>
            </w:r>
            <w:r>
              <w:rPr>
                <w:rFonts w:hint="eastAsia" w:ascii="宋体" w:hAnsi="宋体" w:cs="宋体"/>
                <w:color w:val="000000"/>
                <w:kern w:val="0"/>
                <w:sz w:val="18"/>
                <w:szCs w:val="18"/>
                <w:lang w:val="en-US" w:eastAsia="zh-CN"/>
              </w:rPr>
              <w:t>支付资金</w:t>
            </w:r>
            <w:bookmarkStart w:id="0" w:name="_GoBack"/>
            <w:bookmarkEnd w:id="0"/>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按项目进度支付资金及时率</w:t>
            </w:r>
            <w:r>
              <w:rPr>
                <w:rFonts w:hint="eastAsia" w:ascii="宋体" w:hAnsi="宋体" w:cs="宋体"/>
                <w:color w:val="000000"/>
                <w:kern w:val="0"/>
                <w:sz w:val="18"/>
                <w:szCs w:val="18"/>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45" w:hRule="atLeast"/>
        </w:trPr>
        <w:tc>
          <w:tcPr>
            <w:tcW w:w="582"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效果</w:t>
            </w:r>
          </w:p>
        </w:tc>
        <w:tc>
          <w:tcPr>
            <w:tcW w:w="42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项目效益</w:t>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7 </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w:t>
            </w:r>
            <w:r>
              <w:rPr>
                <w:rFonts w:hint="eastAsia" w:ascii="宋体" w:hAnsi="宋体" w:eastAsia="宋体" w:cs="宋体"/>
                <w:b w:val="0"/>
                <w:bCs w:val="0"/>
                <w:color w:val="333333"/>
                <w:kern w:val="0"/>
                <w:sz w:val="18"/>
                <w:szCs w:val="18"/>
                <w:lang w:val="en-US" w:eastAsia="zh-CN"/>
              </w:rPr>
              <w:t>乡镇污水、垃圾处理等农村人居环境</w:t>
            </w:r>
            <w:r>
              <w:rPr>
                <w:rFonts w:hint="eastAsia" w:ascii="宋体" w:hAnsi="宋体" w:eastAsia="宋体" w:cs="宋体"/>
                <w:b w:val="0"/>
                <w:bCs w:val="0"/>
                <w:sz w:val="18"/>
                <w:szCs w:val="18"/>
              </w:rPr>
              <w:t>项目</w:t>
            </w:r>
            <w:r>
              <w:rPr>
                <w:rFonts w:hint="eastAsia" w:ascii="宋体" w:hAnsi="宋体" w:cs="宋体"/>
                <w:b w:val="0"/>
                <w:bCs w:val="0"/>
                <w:sz w:val="18"/>
                <w:szCs w:val="18"/>
                <w:lang w:val="en-US" w:eastAsia="zh-CN"/>
              </w:rPr>
              <w:t>产生的经济效益</w:t>
            </w:r>
            <w:r>
              <w:rPr>
                <w:rFonts w:hint="eastAsia" w:ascii="宋体" w:hAnsi="宋体" w:cs="宋体"/>
                <w:color w:val="000000"/>
                <w:kern w:val="0"/>
                <w:sz w:val="18"/>
                <w:szCs w:val="18"/>
              </w:rPr>
              <w:t>。（结合调查问卷）</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100%为7分，每减少一个百分点扣0.2分。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75" w:hRule="atLeast"/>
        </w:trPr>
        <w:tc>
          <w:tcPr>
            <w:tcW w:w="5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条件得到改善等（结合调查问卷）</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100%为7分，每减少一个百分点扣0.2分。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45" w:hRule="atLeast"/>
        </w:trPr>
        <w:tc>
          <w:tcPr>
            <w:tcW w:w="5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项目产出能持续运用；是否开展了有关政策、成效的宣传</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项目实施对人、自然、资源是否带来可持续影响</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5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公众满意度</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农民对</w:t>
            </w:r>
            <w:r>
              <w:rPr>
                <w:rFonts w:hint="eastAsia" w:ascii="宋体" w:hAnsi="宋体" w:eastAsia="宋体" w:cs="宋体"/>
                <w:b w:val="0"/>
                <w:bCs w:val="0"/>
                <w:color w:val="333333"/>
                <w:kern w:val="0"/>
                <w:sz w:val="18"/>
                <w:szCs w:val="18"/>
                <w:lang w:val="en-US" w:eastAsia="zh-CN"/>
              </w:rPr>
              <w:t>乡镇污水、垃圾处理等农村人居环境</w:t>
            </w:r>
            <w:r>
              <w:rPr>
                <w:rFonts w:hint="eastAsia" w:ascii="宋体" w:hAnsi="宋体" w:eastAsia="宋体" w:cs="宋体"/>
                <w:b w:val="0"/>
                <w:bCs w:val="0"/>
                <w:sz w:val="18"/>
                <w:szCs w:val="18"/>
              </w:rPr>
              <w:t>项目</w:t>
            </w:r>
            <w:r>
              <w:rPr>
                <w:rFonts w:hint="eastAsia" w:ascii="宋体" w:hAnsi="宋体" w:cs="宋体"/>
                <w:color w:val="000000"/>
                <w:kern w:val="0"/>
                <w:sz w:val="20"/>
                <w:szCs w:val="20"/>
              </w:rPr>
              <w:t>的满意度（问卷调查）</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sz w:val="18"/>
                <w:szCs w:val="18"/>
              </w:rPr>
            </w:pPr>
            <w:r>
              <w:rPr>
                <w:rFonts w:hint="eastAsia" w:ascii="宋体" w:hAnsi="宋体" w:cs="仿宋_GB2312"/>
                <w:color w:val="000000"/>
                <w:kern w:val="0"/>
                <w:sz w:val="18"/>
                <w:szCs w:val="18"/>
              </w:rPr>
              <w:t>通过问卷调查，公众非常满意记7分，一般满意记4分，不满意不记分</w:t>
            </w:r>
            <w:r>
              <w:rPr>
                <w:rFonts w:hint="eastAsia" w:ascii="仿宋_GB2312" w:hAnsi="宋体" w:eastAsia="仿宋_GB2312" w:cs="仿宋_GB2312"/>
                <w:color w:val="000000"/>
                <w:kern w:val="0"/>
                <w:sz w:val="18"/>
                <w:szCs w:val="18"/>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90"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总分</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b/>
                <w:color w:val="000000"/>
                <w:sz w:val="24"/>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b/>
                <w:color w:val="000000"/>
                <w:sz w:val="24"/>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b/>
                <w:color w:val="000000"/>
                <w:sz w:val="24"/>
              </w:rPr>
            </w:pP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b/>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r>
              <w:rPr>
                <w:rFonts w:ascii="宋体" w:hAnsi="宋体" w:cs="宋体"/>
                <w:color w:val="000000"/>
                <w:kern w:val="0"/>
                <w:sz w:val="18"/>
                <w:szCs w:val="18"/>
              </w:rPr>
              <w:t>9</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bl>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1A"/>
    <w:rsid w:val="00026E1A"/>
    <w:rsid w:val="000750B0"/>
    <w:rsid w:val="00293BBB"/>
    <w:rsid w:val="003447E1"/>
    <w:rsid w:val="006916C5"/>
    <w:rsid w:val="00705558"/>
    <w:rsid w:val="0075128B"/>
    <w:rsid w:val="007C3FC8"/>
    <w:rsid w:val="00990EE8"/>
    <w:rsid w:val="00B354CC"/>
    <w:rsid w:val="00CA42AF"/>
    <w:rsid w:val="00E02075"/>
    <w:rsid w:val="00E30F04"/>
    <w:rsid w:val="00FD1CAD"/>
    <w:rsid w:val="33DF6A0E"/>
    <w:rsid w:val="3F005E35"/>
    <w:rsid w:val="471936F5"/>
    <w:rsid w:val="53B132B0"/>
    <w:rsid w:val="64530D47"/>
    <w:rsid w:val="73311160"/>
    <w:rsid w:val="741A08D4"/>
    <w:rsid w:val="79152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file:///C:\Users\ADMINI~1\AppData\Local\Temp\ksohtml\clip_image1096.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D3F51-BDE8-4E2E-9164-6890CF667B15}">
  <ds:schemaRefs/>
</ds:datastoreItem>
</file>

<file path=docProps/app.xml><?xml version="1.0" encoding="utf-8"?>
<Properties xmlns="http://schemas.openxmlformats.org/officeDocument/2006/extended-properties" xmlns:vt="http://schemas.openxmlformats.org/officeDocument/2006/docPropsVTypes">
  <Template>Normal</Template>
  <Pages>9</Pages>
  <Words>858</Words>
  <Characters>4893</Characters>
  <Lines>40</Lines>
  <Paragraphs>11</Paragraphs>
  <TotalTime>3</TotalTime>
  <ScaleCrop>false</ScaleCrop>
  <LinksUpToDate>false</LinksUpToDate>
  <CharactersWithSpaces>5740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2019-06-18T08:26:00Z</dcterms:created>
  <dc:creator>yi shu</dc:creator>
  <cp:lastModifiedBy>大浪淘沙</cp:lastModifiedBy>
  <cp:lastPrinted>2020-07-16T01:45:00Z</cp:lastPrinted>
  <dcterms:modified xsi:type="dcterms:W3CDTF">2021-07-12T09:23:31Z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885A35BA5E04468B9AD18E658B9DC817</vt:lpwstr>
  </property>
</Properties>
</file>