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97" w:rsidRDefault="00745297" w:rsidP="00745297">
      <w:pPr>
        <w:spacing w:line="500" w:lineRule="exact"/>
        <w:jc w:val="center"/>
        <w:rPr>
          <w:rFonts w:ascii="宋体" w:hint="eastAsia"/>
          <w:b/>
          <w:color w:val="000000"/>
          <w:sz w:val="40"/>
          <w:szCs w:val="40"/>
        </w:rPr>
      </w:pPr>
      <w:r>
        <w:rPr>
          <w:rFonts w:ascii="宋体" w:cs="宋体" w:hint="eastAsia"/>
          <w:b/>
          <w:bCs/>
          <w:color w:val="000000"/>
          <w:sz w:val="40"/>
          <w:szCs w:val="40"/>
        </w:rPr>
        <w:t>芷江侗族自治县卫生和计划生育局</w:t>
      </w:r>
      <w:r>
        <w:rPr>
          <w:rFonts w:ascii="宋体" w:hint="eastAsia"/>
          <w:b/>
          <w:color w:val="000000"/>
          <w:sz w:val="40"/>
          <w:szCs w:val="40"/>
        </w:rPr>
        <w:t>2018年</w:t>
      </w:r>
    </w:p>
    <w:p w:rsidR="00745297" w:rsidRDefault="00745297" w:rsidP="00745297">
      <w:pPr>
        <w:spacing w:line="500" w:lineRule="exact"/>
        <w:jc w:val="center"/>
        <w:rPr>
          <w:rFonts w:ascii="仿宋_GB2312" w:eastAsia="仿宋_GB2312" w:hint="eastAsia"/>
          <w:b/>
          <w:color w:val="000000"/>
          <w:sz w:val="30"/>
          <w:szCs w:val="30"/>
        </w:rPr>
      </w:pPr>
      <w:r>
        <w:rPr>
          <w:rFonts w:ascii="宋体" w:hint="eastAsia"/>
          <w:b/>
          <w:color w:val="000000"/>
          <w:sz w:val="40"/>
          <w:szCs w:val="40"/>
        </w:rPr>
        <w:t>计生公益金绩效自评报告</w:t>
      </w:r>
    </w:p>
    <w:p w:rsidR="00745297" w:rsidRPr="00745297" w:rsidRDefault="00745297" w:rsidP="00745297">
      <w:pPr>
        <w:rPr>
          <w:rFonts w:ascii="仿宋_GB2312" w:eastAsia="仿宋_GB2312" w:hint="eastAsia"/>
          <w:sz w:val="32"/>
          <w:szCs w:val="32"/>
        </w:rPr>
      </w:pPr>
    </w:p>
    <w:p w:rsidR="00745297" w:rsidRDefault="00745297" w:rsidP="00745297">
      <w:pPr>
        <w:rPr>
          <w:rFonts w:ascii="仿宋_GB2312" w:eastAsia="仿宋_GB2312" w:hint="eastAsia"/>
          <w:sz w:val="32"/>
          <w:szCs w:val="32"/>
        </w:rPr>
      </w:pPr>
    </w:p>
    <w:p w:rsidR="00745297" w:rsidRPr="00D21112" w:rsidRDefault="00745297" w:rsidP="00745297">
      <w:pPr>
        <w:rPr>
          <w:rFonts w:ascii="宋体" w:hAnsi="宋体" w:hint="eastAsia"/>
          <w:b/>
          <w:sz w:val="32"/>
          <w:szCs w:val="32"/>
        </w:rPr>
      </w:pPr>
      <w:r>
        <w:rPr>
          <w:rFonts w:ascii="仿宋_GB2312" w:eastAsia="仿宋_GB2312" w:hint="eastAsia"/>
          <w:sz w:val="32"/>
          <w:szCs w:val="32"/>
        </w:rPr>
        <w:t xml:space="preserve"> </w:t>
      </w:r>
      <w:r w:rsidRPr="00D21112">
        <w:rPr>
          <w:rFonts w:ascii="仿宋_GB2312" w:eastAsia="仿宋_GB2312" w:hint="eastAsia"/>
          <w:b/>
          <w:sz w:val="32"/>
          <w:szCs w:val="32"/>
        </w:rPr>
        <w:t xml:space="preserve"> </w:t>
      </w:r>
      <w:r w:rsidRPr="00D21112">
        <w:rPr>
          <w:rFonts w:ascii="宋体" w:hAnsi="宋体" w:hint="eastAsia"/>
          <w:b/>
          <w:sz w:val="32"/>
          <w:szCs w:val="32"/>
        </w:rPr>
        <w:t>一、项目基本情况</w:t>
      </w:r>
    </w:p>
    <w:p w:rsidR="00745297" w:rsidRPr="00D21112" w:rsidRDefault="00745297" w:rsidP="00745297">
      <w:pPr>
        <w:ind w:firstLine="645"/>
        <w:rPr>
          <w:rFonts w:ascii="宋体" w:hAnsi="宋体" w:hint="eastAsia"/>
          <w:b/>
          <w:sz w:val="32"/>
          <w:szCs w:val="32"/>
        </w:rPr>
      </w:pPr>
      <w:r w:rsidRPr="00D21112">
        <w:rPr>
          <w:rFonts w:ascii="宋体" w:hAnsi="宋体" w:hint="eastAsia"/>
          <w:b/>
          <w:sz w:val="32"/>
          <w:szCs w:val="32"/>
        </w:rPr>
        <w:t>（一）项目概况</w:t>
      </w:r>
    </w:p>
    <w:p w:rsidR="00745297" w:rsidRPr="00D21112" w:rsidRDefault="00745297" w:rsidP="00745297">
      <w:pPr>
        <w:ind w:firstLine="645"/>
        <w:rPr>
          <w:rFonts w:ascii="宋体" w:hAnsi="宋体" w:hint="eastAsia"/>
          <w:sz w:val="32"/>
          <w:szCs w:val="32"/>
        </w:rPr>
      </w:pPr>
      <w:r w:rsidRPr="00D21112">
        <w:rPr>
          <w:rFonts w:ascii="宋体" w:hAnsi="宋体" w:hint="eastAsia"/>
          <w:sz w:val="32"/>
          <w:szCs w:val="32"/>
        </w:rPr>
        <w:t>2018年，我县共实施计划生育利导项目有“奖扶”、“特扶”、“独生子女保健费”及“手术并发症”四个项目。</w:t>
      </w:r>
    </w:p>
    <w:p w:rsidR="00745297" w:rsidRPr="00D21112" w:rsidRDefault="00745297" w:rsidP="00745297">
      <w:pPr>
        <w:ind w:firstLine="645"/>
        <w:rPr>
          <w:rFonts w:ascii="宋体" w:hAnsi="宋体" w:hint="eastAsia"/>
          <w:b/>
          <w:sz w:val="32"/>
          <w:szCs w:val="32"/>
        </w:rPr>
      </w:pPr>
      <w:r w:rsidRPr="00D21112">
        <w:rPr>
          <w:rFonts w:ascii="宋体" w:hAnsi="宋体" w:hint="eastAsia"/>
          <w:b/>
          <w:sz w:val="32"/>
          <w:szCs w:val="32"/>
        </w:rPr>
        <w:t>（二）项目实施情况</w:t>
      </w:r>
    </w:p>
    <w:p w:rsidR="00745297" w:rsidRPr="00D21112" w:rsidRDefault="00745297" w:rsidP="00745297">
      <w:pPr>
        <w:ind w:firstLine="645"/>
        <w:rPr>
          <w:rFonts w:ascii="宋体" w:hAnsi="宋体" w:hint="eastAsia"/>
          <w:sz w:val="32"/>
          <w:szCs w:val="32"/>
        </w:rPr>
      </w:pPr>
      <w:r w:rsidRPr="00D21112">
        <w:rPr>
          <w:rFonts w:ascii="宋体" w:hAnsi="宋体" w:hint="eastAsia"/>
          <w:sz w:val="32"/>
          <w:szCs w:val="32"/>
        </w:rPr>
        <w:t>2018年，我县计生奖扶政策严格按照中央、省、市、县相关文件执行。特别是市文件《怀政办发（48）号》出台，独生子女伤残：470元/月/人；独生子女死亡：800元/月/人，我县从2015年度开始执行。2018年四个项目共有人数8980人，发放项目资金1036.177万元。其中奖扶对象7460人，发放资金716.16万元；特扶对象297人，发放资金253.044万元；独生子女保健费对象1084人，发放资金21.937万元；手术并发症人员139人，发放资金45.036万元。同时我县出台政策，在端午、中秋、春节三个传统节日走访慰问特扶家庭，同时为特扶家庭投人生意外保险。2018年发放走访慰问资金17.82万元，为特扶家庭投保6.54万元。</w:t>
      </w:r>
    </w:p>
    <w:p w:rsidR="00745297" w:rsidRPr="00D21112" w:rsidRDefault="00745297" w:rsidP="00745297">
      <w:pPr>
        <w:ind w:firstLine="645"/>
        <w:rPr>
          <w:rFonts w:ascii="宋体" w:hAnsi="宋体" w:hint="eastAsia"/>
          <w:sz w:val="32"/>
          <w:szCs w:val="32"/>
        </w:rPr>
      </w:pPr>
    </w:p>
    <w:p w:rsidR="00745297" w:rsidRPr="00D21112" w:rsidRDefault="00745297" w:rsidP="00745297">
      <w:pPr>
        <w:ind w:firstLine="645"/>
        <w:rPr>
          <w:rFonts w:ascii="宋体" w:hAnsi="宋体" w:hint="eastAsia"/>
          <w:b/>
          <w:sz w:val="32"/>
          <w:szCs w:val="32"/>
        </w:rPr>
      </w:pPr>
      <w:r w:rsidRPr="00D21112">
        <w:rPr>
          <w:rFonts w:ascii="宋体" w:hAnsi="宋体" w:hint="eastAsia"/>
          <w:b/>
          <w:sz w:val="32"/>
          <w:szCs w:val="32"/>
        </w:rPr>
        <w:lastRenderedPageBreak/>
        <w:t>二、绩效评价的工作情况</w:t>
      </w:r>
    </w:p>
    <w:p w:rsidR="00745297" w:rsidRPr="00D21112" w:rsidRDefault="00745297" w:rsidP="00745297">
      <w:pPr>
        <w:ind w:firstLine="645"/>
        <w:rPr>
          <w:rFonts w:ascii="宋体" w:hAnsi="宋体" w:hint="eastAsia"/>
          <w:sz w:val="32"/>
          <w:szCs w:val="32"/>
        </w:rPr>
      </w:pPr>
      <w:r w:rsidRPr="00D21112">
        <w:rPr>
          <w:rFonts w:ascii="宋体" w:hAnsi="宋体" w:hint="eastAsia"/>
          <w:sz w:val="32"/>
          <w:szCs w:val="32"/>
        </w:rPr>
        <w:t>我们按照上级要求，制订了详细的工作方案，组成了绩效评价小组，听取了被调查乡镇的情况介绍，调阅了项目档案资料、台帐和县级相关会计凭证，并对部分居民进行了调查。通过对乡镇现场评价并结合单位报送的绩效自评报告形成评价结论。</w:t>
      </w:r>
    </w:p>
    <w:p w:rsidR="00745297" w:rsidRPr="00D21112" w:rsidRDefault="00745297" w:rsidP="00745297">
      <w:pPr>
        <w:ind w:firstLine="645"/>
        <w:rPr>
          <w:rFonts w:ascii="宋体" w:hAnsi="宋体" w:hint="eastAsia"/>
          <w:b/>
          <w:sz w:val="32"/>
          <w:szCs w:val="32"/>
        </w:rPr>
      </w:pPr>
      <w:r w:rsidRPr="00D21112">
        <w:rPr>
          <w:rFonts w:ascii="宋体" w:hAnsi="宋体" w:hint="eastAsia"/>
          <w:b/>
          <w:sz w:val="32"/>
          <w:szCs w:val="32"/>
        </w:rPr>
        <w:t>三、综合评价结果</w:t>
      </w:r>
    </w:p>
    <w:p w:rsidR="00745297" w:rsidRPr="00D21112" w:rsidRDefault="00745297" w:rsidP="00745297">
      <w:pPr>
        <w:ind w:firstLine="645"/>
        <w:rPr>
          <w:rFonts w:ascii="宋体" w:hAnsi="宋体" w:hint="eastAsia"/>
          <w:sz w:val="32"/>
          <w:szCs w:val="32"/>
        </w:rPr>
      </w:pPr>
      <w:r w:rsidRPr="00D21112">
        <w:rPr>
          <w:rFonts w:ascii="宋体" w:hAnsi="宋体" w:hint="eastAsia"/>
          <w:sz w:val="32"/>
          <w:szCs w:val="32"/>
        </w:rPr>
        <w:t>根据上级设定的评分标准，从项目目标、资金分配、管理措施、资金到位、资金管理、工作监管、项目产出、项目效果八个方面逐项评分，绩效评价综合得分为100分，群众满意。</w:t>
      </w:r>
    </w:p>
    <w:p w:rsidR="00745297" w:rsidRPr="00D21112" w:rsidRDefault="00745297" w:rsidP="00745297">
      <w:pPr>
        <w:ind w:firstLine="645"/>
        <w:rPr>
          <w:rFonts w:ascii="宋体" w:hAnsi="宋体" w:hint="eastAsia"/>
          <w:b/>
          <w:sz w:val="32"/>
          <w:szCs w:val="32"/>
        </w:rPr>
      </w:pPr>
      <w:r w:rsidRPr="00D21112">
        <w:rPr>
          <w:rFonts w:ascii="宋体" w:hAnsi="宋体" w:hint="eastAsia"/>
          <w:b/>
          <w:sz w:val="32"/>
          <w:szCs w:val="32"/>
        </w:rPr>
        <w:t>四、项目的主要绩效</w:t>
      </w:r>
    </w:p>
    <w:p w:rsidR="00745297" w:rsidRPr="00D21112" w:rsidRDefault="00745297" w:rsidP="00745297">
      <w:pPr>
        <w:ind w:firstLine="645"/>
        <w:rPr>
          <w:rFonts w:ascii="宋体" w:hAnsi="宋体" w:hint="eastAsia"/>
          <w:sz w:val="32"/>
          <w:szCs w:val="32"/>
        </w:rPr>
      </w:pPr>
      <w:r w:rsidRPr="00D21112">
        <w:rPr>
          <w:rFonts w:ascii="宋体" w:hAnsi="宋体" w:hint="eastAsia"/>
          <w:sz w:val="32"/>
          <w:szCs w:val="32"/>
        </w:rPr>
        <w:t>1、加强领导，制定完善了项目管理制度。</w:t>
      </w:r>
    </w:p>
    <w:p w:rsidR="00745297" w:rsidRPr="00D21112" w:rsidRDefault="00745297" w:rsidP="00745297">
      <w:pPr>
        <w:ind w:firstLine="645"/>
        <w:rPr>
          <w:rFonts w:ascii="宋体" w:hAnsi="宋体" w:hint="eastAsia"/>
          <w:sz w:val="32"/>
          <w:szCs w:val="32"/>
        </w:rPr>
      </w:pPr>
      <w:r w:rsidRPr="00D21112">
        <w:rPr>
          <w:rFonts w:ascii="宋体" w:hAnsi="宋体" w:hint="eastAsia"/>
          <w:sz w:val="32"/>
          <w:szCs w:val="32"/>
        </w:rPr>
        <w:t>为切实做好我县项目服务的各项工作，县按省卫计委、省财政部门要求，结合我县的实际，制定、完善了项目管理制度，一是成立了以局长为组长，相关单位负责人为成员的县服务项目工作领导小组，领导小组下设办公室，服务项目工作的部署、开展、督导，研究制定、项目管理办公室工作方案，明确了机构职责和任务。按时足额拨付经费，较好的推动了我县服务项目工作的开展，取得了一定的实效。</w:t>
      </w:r>
    </w:p>
    <w:p w:rsidR="00745297" w:rsidRPr="00D21112" w:rsidRDefault="00745297" w:rsidP="00745297">
      <w:pPr>
        <w:numPr>
          <w:ilvl w:val="0"/>
          <w:numId w:val="1"/>
        </w:numPr>
        <w:ind w:firstLine="645"/>
        <w:rPr>
          <w:rFonts w:ascii="宋体" w:hAnsi="宋体" w:hint="eastAsia"/>
          <w:sz w:val="32"/>
          <w:szCs w:val="32"/>
        </w:rPr>
      </w:pPr>
      <w:r w:rsidRPr="00D21112">
        <w:rPr>
          <w:rFonts w:ascii="宋体" w:hAnsi="宋体" w:hint="eastAsia"/>
          <w:sz w:val="32"/>
          <w:szCs w:val="32"/>
        </w:rPr>
        <w:t>完善了人口计划生育后期工作。强化利益导向这一发展理念，不仅顺应了人口计生工作本身的客观规律，而且</w:t>
      </w:r>
      <w:r w:rsidRPr="00D21112">
        <w:rPr>
          <w:rFonts w:ascii="宋体" w:hAnsi="宋体" w:hint="eastAsia"/>
          <w:sz w:val="32"/>
          <w:szCs w:val="32"/>
        </w:rPr>
        <w:lastRenderedPageBreak/>
        <w:t>有助于人口与经济社会协调发展。根据走访群众的反映，实施农村部分计划生育家庭奖励扶助对象和计划生育特别扶助对象，是深得民心的好政策，是政府实实在在为老百姓办实事、解难事的民心工程。</w:t>
      </w:r>
    </w:p>
    <w:p w:rsidR="00745297" w:rsidRPr="00D21112" w:rsidRDefault="00745297" w:rsidP="00745297">
      <w:pPr>
        <w:ind w:firstLine="640"/>
        <w:rPr>
          <w:rFonts w:ascii="宋体" w:hAnsi="宋体" w:hint="eastAsia"/>
          <w:sz w:val="32"/>
          <w:szCs w:val="32"/>
        </w:rPr>
      </w:pPr>
      <w:r w:rsidRPr="00D21112">
        <w:rPr>
          <w:rFonts w:ascii="宋体" w:hAnsi="宋体" w:hint="eastAsia"/>
          <w:sz w:val="32"/>
          <w:szCs w:val="32"/>
        </w:rPr>
        <w:t>3、改善了工作人员与人民群众的关系。一些老计生干部感慨地说：“做了一辈子计生工作，现在政府实现了承诺，我的心情比奖扶对象还要激动”。工作人员在人民群众心目中的传统形象发生了深刻的变化，人民群众对工作人员表现出了从未有过的亲近和融洽，激发了工作人员的信心与活力。</w:t>
      </w:r>
    </w:p>
    <w:p w:rsidR="00745297" w:rsidRPr="00D21112" w:rsidRDefault="00745297" w:rsidP="00745297">
      <w:pPr>
        <w:ind w:firstLine="640"/>
        <w:rPr>
          <w:rFonts w:ascii="宋体" w:hAnsi="宋体" w:hint="eastAsia"/>
          <w:sz w:val="32"/>
          <w:szCs w:val="32"/>
        </w:rPr>
      </w:pPr>
      <w:r w:rsidRPr="00D21112">
        <w:rPr>
          <w:rFonts w:ascii="宋体" w:hAnsi="宋体" w:hint="eastAsia"/>
          <w:sz w:val="32"/>
          <w:szCs w:val="32"/>
        </w:rPr>
        <w:t>4、推进了社会主义新农村建设以及精准脱贫。奖扶政策的实施，较好地缓解了部分农村计划生育家庭的老有所养问题，促进了农民增收和农村稳定，改善了农村计划生育老年人的生活质量，从而丰富了农村社会保障对象的多元化，这对推进我县城乡协调发展和社会主义新农村建设及构建和谐社会产生了深远的影响，同时助推了我县的精准脱贫。</w:t>
      </w:r>
    </w:p>
    <w:p w:rsidR="00745297" w:rsidRPr="00D21112" w:rsidRDefault="00745297" w:rsidP="00745297">
      <w:pPr>
        <w:ind w:firstLine="645"/>
        <w:rPr>
          <w:rFonts w:ascii="宋体" w:hAnsi="宋体" w:hint="eastAsia"/>
          <w:b/>
          <w:sz w:val="32"/>
          <w:szCs w:val="32"/>
        </w:rPr>
      </w:pPr>
      <w:r w:rsidRPr="00D21112">
        <w:rPr>
          <w:rFonts w:ascii="宋体" w:hAnsi="宋体" w:hint="eastAsia"/>
          <w:b/>
          <w:sz w:val="32"/>
          <w:szCs w:val="32"/>
        </w:rPr>
        <w:t>五、意见和建议</w:t>
      </w:r>
    </w:p>
    <w:p w:rsidR="00745297" w:rsidRPr="00D21112" w:rsidRDefault="00745297" w:rsidP="00745297">
      <w:pPr>
        <w:ind w:firstLine="645"/>
        <w:rPr>
          <w:rFonts w:ascii="宋体" w:hAnsi="宋体" w:hint="eastAsia"/>
          <w:b/>
          <w:sz w:val="32"/>
          <w:szCs w:val="32"/>
        </w:rPr>
      </w:pPr>
      <w:r w:rsidRPr="00D21112">
        <w:rPr>
          <w:rFonts w:ascii="宋体" w:hAnsi="宋体" w:hint="eastAsia"/>
          <w:b/>
          <w:sz w:val="32"/>
          <w:szCs w:val="32"/>
        </w:rPr>
        <w:t>关于农村移民而受政策性改变户口性质问题</w:t>
      </w:r>
    </w:p>
    <w:p w:rsidR="00745297" w:rsidRPr="00D21112" w:rsidRDefault="00745297" w:rsidP="00745297">
      <w:pPr>
        <w:ind w:firstLine="645"/>
        <w:rPr>
          <w:rFonts w:ascii="宋体" w:hAnsi="宋体" w:hint="eastAsia"/>
          <w:sz w:val="32"/>
          <w:szCs w:val="32"/>
        </w:rPr>
      </w:pPr>
      <w:r w:rsidRPr="00D21112">
        <w:rPr>
          <w:rFonts w:ascii="宋体" w:hAnsi="宋体" w:hint="eastAsia"/>
          <w:sz w:val="32"/>
          <w:szCs w:val="32"/>
        </w:rPr>
        <w:t>由于国家重点工程的农村移民户，按有关政策而改变了其户口性质，即由农村户口变成了城镇居民户口。如我县的新店坪镇白马铺村的村民，因蟒塘溪水电站的修建，而搬迁到了新店坪镇的集镇上，因此，其户口按当时我县的有关政策，由原来的农村户口变成了城镇居民，这并非其本人的意</w:t>
      </w:r>
      <w:r w:rsidRPr="00D21112">
        <w:rPr>
          <w:rFonts w:ascii="宋体" w:hAnsi="宋体" w:hint="eastAsia"/>
          <w:sz w:val="32"/>
          <w:szCs w:val="32"/>
        </w:rPr>
        <w:lastRenderedPageBreak/>
        <w:t>愿要求改变户口性质。可计生奖扶等均按城镇居民对待，而他们并没有享受城镇居民的任何待遇，因此，这些群众强烈要求将他们纳入奖励范畴。</w:t>
      </w:r>
    </w:p>
    <w:p w:rsidR="00745297" w:rsidRPr="00D21112" w:rsidRDefault="00745297" w:rsidP="00745297">
      <w:pPr>
        <w:ind w:firstLine="645"/>
        <w:rPr>
          <w:rFonts w:ascii="宋体" w:hAnsi="宋体" w:hint="eastAsia"/>
          <w:sz w:val="32"/>
          <w:szCs w:val="32"/>
        </w:rPr>
      </w:pPr>
    </w:p>
    <w:p w:rsidR="00745297" w:rsidRPr="00D21112" w:rsidRDefault="00745297" w:rsidP="00745297">
      <w:pPr>
        <w:rPr>
          <w:rFonts w:ascii="宋体" w:hAnsi="宋体" w:hint="eastAsia"/>
          <w:sz w:val="32"/>
          <w:szCs w:val="32"/>
        </w:rPr>
      </w:pPr>
      <w:r w:rsidRPr="00D21112">
        <w:rPr>
          <w:rFonts w:ascii="宋体" w:hAnsi="宋体" w:hint="eastAsia"/>
          <w:sz w:val="32"/>
          <w:szCs w:val="32"/>
        </w:rPr>
        <w:t xml:space="preserve">                     芷江侗族自治县卫生和计划生育局</w:t>
      </w:r>
    </w:p>
    <w:p w:rsidR="00745297" w:rsidRPr="00D21112" w:rsidRDefault="00745297" w:rsidP="00745297">
      <w:pPr>
        <w:rPr>
          <w:rFonts w:ascii="宋体" w:hAnsi="宋体" w:hint="eastAsia"/>
          <w:sz w:val="32"/>
          <w:szCs w:val="32"/>
        </w:rPr>
      </w:pPr>
      <w:r w:rsidRPr="00D21112">
        <w:rPr>
          <w:rFonts w:ascii="宋体" w:hAnsi="宋体" w:hint="eastAsia"/>
          <w:sz w:val="32"/>
          <w:szCs w:val="32"/>
        </w:rPr>
        <w:t xml:space="preserve">                          二0一九年三月二十三日</w:t>
      </w:r>
    </w:p>
    <w:p w:rsidR="00745297" w:rsidRDefault="00745297" w:rsidP="00745297">
      <w:pPr>
        <w:spacing w:line="600" w:lineRule="exact"/>
        <w:ind w:firstLineChars="200" w:firstLine="723"/>
        <w:jc w:val="center"/>
        <w:rPr>
          <w:rFonts w:ascii="宋体" w:hint="eastAsia"/>
          <w:color w:val="000000"/>
          <w:sz w:val="24"/>
        </w:rPr>
      </w:pPr>
      <w:r>
        <w:rPr>
          <w:rFonts w:ascii="宋体" w:cs="宋体" w:hint="eastAsia"/>
          <w:b/>
          <w:color w:val="000000"/>
          <w:kern w:val="0"/>
          <w:sz w:val="36"/>
          <w:szCs w:val="36"/>
          <w:lang/>
        </w:rPr>
        <w:t>芷江县计生公益金绩效评价指标</w:t>
      </w:r>
    </w:p>
    <w:p w:rsidR="00745297" w:rsidRDefault="00745297" w:rsidP="00745297">
      <w:pPr>
        <w:spacing w:line="600" w:lineRule="exact"/>
        <w:ind w:firstLineChars="200" w:firstLine="480"/>
        <w:jc w:val="center"/>
        <w:rPr>
          <w:rFonts w:ascii="宋体" w:hint="eastAsia"/>
          <w:color w:val="000000"/>
          <w:sz w:val="24"/>
        </w:rPr>
      </w:pPr>
    </w:p>
    <w:p w:rsidR="00745297" w:rsidRDefault="00745297" w:rsidP="00745297">
      <w:pPr>
        <w:spacing w:line="600" w:lineRule="exact"/>
        <w:rPr>
          <w:rFonts w:ascii="宋体" w:hint="eastAsia"/>
          <w:color w:val="000000"/>
          <w:sz w:val="24"/>
        </w:rPr>
      </w:pPr>
      <w:r>
        <w:rPr>
          <w:rFonts w:ascii="宋体" w:cs="宋体" w:hint="eastAsia"/>
          <w:b/>
          <w:color w:val="000000"/>
          <w:kern w:val="0"/>
          <w:sz w:val="24"/>
          <w:lang/>
        </w:rPr>
        <w:t>填报单位：</w:t>
      </w:r>
      <w:r>
        <w:rPr>
          <w:rFonts w:ascii="宋体" w:cs="宋体" w:hint="eastAsia"/>
          <w:color w:val="000000"/>
          <w:kern w:val="0"/>
          <w:sz w:val="24"/>
          <w:lang/>
        </w:rPr>
        <w:t>芷江侗族自治县卫生健康局</w:t>
      </w:r>
    </w:p>
    <w:tbl>
      <w:tblPr>
        <w:tblW w:w="10075" w:type="dxa"/>
        <w:tblLayout w:type="fixed"/>
        <w:tblCellMar>
          <w:top w:w="15" w:type="dxa"/>
          <w:left w:w="15" w:type="dxa"/>
          <w:bottom w:w="15" w:type="dxa"/>
          <w:right w:w="15" w:type="dxa"/>
        </w:tblCellMar>
        <w:tblLook w:val="0000"/>
      </w:tblPr>
      <w:tblGrid>
        <w:gridCol w:w="292"/>
        <w:gridCol w:w="397"/>
        <w:gridCol w:w="289"/>
        <w:gridCol w:w="394"/>
        <w:gridCol w:w="547"/>
        <w:gridCol w:w="395"/>
        <w:gridCol w:w="2295"/>
        <w:gridCol w:w="4882"/>
        <w:gridCol w:w="289"/>
        <w:gridCol w:w="295"/>
      </w:tblGrid>
      <w:tr w:rsidR="00745297" w:rsidTr="00624ABC">
        <w:trPr>
          <w:trHeight w:val="915"/>
        </w:trPr>
        <w:tc>
          <w:tcPr>
            <w:tcW w:w="291"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b/>
                <w:color w:val="000000"/>
                <w:sz w:val="24"/>
              </w:rPr>
            </w:pPr>
            <w:r>
              <w:rPr>
                <w:rFonts w:ascii="宋体" w:cs="宋体" w:hint="eastAsia"/>
                <w:b/>
                <w:color w:val="000000"/>
                <w:kern w:val="0"/>
                <w:sz w:val="24"/>
                <w:lang/>
              </w:rPr>
              <w:t>一级指标</w:t>
            </w:r>
          </w:p>
        </w:tc>
        <w:tc>
          <w:tcPr>
            <w:tcW w:w="396"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b/>
                <w:color w:val="000000"/>
                <w:sz w:val="24"/>
              </w:rPr>
            </w:pPr>
            <w:r>
              <w:rPr>
                <w:rFonts w:ascii="宋体" w:cs="宋体" w:hint="eastAsia"/>
                <w:b/>
                <w:color w:val="000000"/>
                <w:kern w:val="0"/>
                <w:sz w:val="24"/>
                <w:lang/>
              </w:rPr>
              <w:t>分值</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b/>
                <w:color w:val="000000"/>
                <w:sz w:val="24"/>
              </w:rPr>
            </w:pPr>
            <w:r>
              <w:rPr>
                <w:rFonts w:ascii="宋体" w:cs="宋体" w:hint="eastAsia"/>
                <w:b/>
                <w:color w:val="000000"/>
                <w:kern w:val="0"/>
                <w:sz w:val="24"/>
                <w:lang/>
              </w:rPr>
              <w:t>二级指标</w:t>
            </w:r>
          </w:p>
        </w:tc>
        <w:tc>
          <w:tcPr>
            <w:tcW w:w="3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b/>
                <w:color w:val="000000"/>
                <w:sz w:val="24"/>
              </w:rPr>
            </w:pPr>
            <w:r>
              <w:rPr>
                <w:rFonts w:ascii="宋体" w:cs="宋体" w:hint="eastAsia"/>
                <w:b/>
                <w:color w:val="000000"/>
                <w:kern w:val="0"/>
                <w:sz w:val="24"/>
                <w:lang/>
              </w:rPr>
              <w:t>分值</w:t>
            </w:r>
          </w:p>
        </w:tc>
        <w:tc>
          <w:tcPr>
            <w:tcW w:w="547"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b/>
                <w:color w:val="000000"/>
                <w:sz w:val="24"/>
              </w:rPr>
            </w:pPr>
            <w:r>
              <w:rPr>
                <w:rFonts w:ascii="宋体" w:cs="宋体" w:hint="eastAsia"/>
                <w:b/>
                <w:color w:val="000000"/>
                <w:kern w:val="0"/>
                <w:sz w:val="24"/>
                <w:lang/>
              </w:rPr>
              <w:t>三级指标</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b/>
                <w:color w:val="000000"/>
                <w:sz w:val="24"/>
              </w:rPr>
            </w:pPr>
            <w:r>
              <w:rPr>
                <w:rFonts w:ascii="宋体" w:cs="宋体" w:hint="eastAsia"/>
                <w:b/>
                <w:color w:val="000000"/>
                <w:kern w:val="0"/>
                <w:sz w:val="24"/>
                <w:lang/>
              </w:rPr>
              <w:t>分值</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b/>
                <w:color w:val="000000"/>
                <w:sz w:val="24"/>
              </w:rPr>
            </w:pPr>
            <w:r>
              <w:rPr>
                <w:rFonts w:ascii="宋体" w:cs="宋体" w:hint="eastAsia"/>
                <w:b/>
                <w:color w:val="000000"/>
                <w:kern w:val="0"/>
                <w:sz w:val="24"/>
                <w:lang/>
              </w:rPr>
              <w:t>指标解释</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b/>
                <w:color w:val="000000"/>
                <w:sz w:val="24"/>
              </w:rPr>
            </w:pPr>
            <w:r>
              <w:rPr>
                <w:rFonts w:ascii="宋体" w:cs="宋体" w:hint="eastAsia"/>
                <w:b/>
                <w:color w:val="000000"/>
                <w:kern w:val="0"/>
                <w:sz w:val="24"/>
                <w:lang/>
              </w:rPr>
              <w:t>评价标准</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b/>
                <w:color w:val="000000"/>
                <w:sz w:val="24"/>
              </w:rPr>
            </w:pPr>
            <w:r>
              <w:rPr>
                <w:rFonts w:ascii="宋体" w:cs="宋体" w:hint="eastAsia"/>
                <w:b/>
                <w:color w:val="000000"/>
                <w:kern w:val="0"/>
                <w:sz w:val="24"/>
                <w:lang/>
              </w:rPr>
              <w:t>评分</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b/>
                <w:color w:val="000000"/>
                <w:sz w:val="24"/>
              </w:rPr>
            </w:pPr>
            <w:r>
              <w:rPr>
                <w:rFonts w:ascii="宋体" w:cs="宋体" w:hint="eastAsia"/>
                <w:b/>
                <w:color w:val="000000"/>
                <w:kern w:val="0"/>
                <w:sz w:val="24"/>
                <w:lang/>
              </w:rPr>
              <w:t>备注</w:t>
            </w:r>
          </w:p>
        </w:tc>
      </w:tr>
      <w:tr w:rsidR="00745297" w:rsidTr="00624ABC">
        <w:trPr>
          <w:cantSplit/>
          <w:trHeight w:val="1110"/>
        </w:trPr>
        <w:tc>
          <w:tcPr>
            <w:tcW w:w="291" w:type="dxa"/>
            <w:vMerge w:val="restart"/>
            <w:tcBorders>
              <w:top w:val="single" w:sz="4" w:space="0" w:color="000000"/>
              <w:left w:val="single" w:sz="4" w:space="0" w:color="000000"/>
              <w:bottom w:val="nil"/>
              <w:right w:val="single" w:sz="4" w:space="0" w:color="000000"/>
            </w:tcBorders>
            <w:vAlign w:val="center"/>
          </w:tcPr>
          <w:p w:rsidR="00745297" w:rsidRDefault="00745297" w:rsidP="00624ABC">
            <w:pPr>
              <w:widowControl/>
              <w:jc w:val="center"/>
              <w:textAlignment w:val="center"/>
              <w:rPr>
                <w:rFonts w:ascii="宋体" w:cs="宋体" w:hint="eastAsia"/>
                <w:color w:val="000000"/>
                <w:sz w:val="20"/>
                <w:szCs w:val="20"/>
              </w:rPr>
            </w:pPr>
            <w:r>
              <w:rPr>
                <w:rFonts w:ascii="宋体" w:cs="宋体" w:hint="eastAsia"/>
                <w:color w:val="000000"/>
                <w:kern w:val="0"/>
                <w:sz w:val="20"/>
                <w:szCs w:val="20"/>
                <w:lang/>
              </w:rPr>
              <w:t>投入</w:t>
            </w:r>
          </w:p>
        </w:tc>
        <w:tc>
          <w:tcPr>
            <w:tcW w:w="396" w:type="dxa"/>
            <w:vMerge w:val="restart"/>
            <w:tcBorders>
              <w:top w:val="single" w:sz="4" w:space="0" w:color="000000"/>
              <w:left w:val="single" w:sz="4" w:space="0" w:color="000000"/>
              <w:bottom w:val="nil"/>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20</w:t>
            </w:r>
          </w:p>
        </w:tc>
        <w:tc>
          <w:tcPr>
            <w:tcW w:w="289" w:type="dxa"/>
            <w:vMerge w:val="restart"/>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项目立项</w:t>
            </w:r>
            <w:r>
              <w:rPr>
                <w:rFonts w:ascii="宋体" w:cs="宋体"/>
                <w:noProof/>
                <w:color w:val="000000"/>
                <w:kern w:val="0"/>
                <w:sz w:val="18"/>
                <w:szCs w:val="18"/>
              </w:rPr>
              <w:drawing>
                <wp:inline distT="0" distB="0" distL="0" distR="0">
                  <wp:extent cx="9525" cy="9525"/>
                  <wp:effectExtent l="0" t="0" r="0" b="0"/>
                  <wp:docPr id="1" name="图片 1"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470727131527496194374"/>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r>
              <w:rPr>
                <w:rFonts w:ascii="宋体" w:cs="宋体" w:hint="eastAsia"/>
                <w:color w:val="000000"/>
                <w:kern w:val="0"/>
                <w:sz w:val="18"/>
                <w:szCs w:val="18"/>
                <w:lang/>
              </w:rPr>
              <w:t xml:space="preserve"> </w:t>
            </w:r>
            <w:r>
              <w:rPr>
                <w:rFonts w:ascii="宋体" w:cs="宋体"/>
                <w:noProof/>
                <w:color w:val="000000"/>
                <w:kern w:val="0"/>
                <w:sz w:val="18"/>
                <w:szCs w:val="18"/>
              </w:rPr>
              <w:drawing>
                <wp:inline distT="0" distB="0" distL="0" distR="0">
                  <wp:extent cx="9525" cy="9525"/>
                  <wp:effectExtent l="0" t="0" r="0" b="0"/>
                  <wp:docPr id="2" name="图片 2"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470727131527496194374"/>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3" name="图片 3"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470727131527496194374"/>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4" name="图片 4"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470727131527496194374"/>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5" name="图片 5"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470727131527496194374"/>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6" name="图片 6"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470727131527496194374"/>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7" name="图片 7"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470727131527496194374"/>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8" name="图片 8"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470727131527496194374"/>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a:effectLst/>
                        </pic:spPr>
                      </pic:pic>
                    </a:graphicData>
                  </a:graphic>
                </wp:inline>
              </w:drawing>
            </w:r>
          </w:p>
        </w:tc>
        <w:tc>
          <w:tcPr>
            <w:tcW w:w="394" w:type="dxa"/>
            <w:vMerge w:val="restart"/>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10</w:t>
            </w:r>
          </w:p>
        </w:tc>
        <w:tc>
          <w:tcPr>
            <w:tcW w:w="547"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项目立项规范性</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3</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项目的申请、设立过程是否符合相关要求，用以反映和考核项目立项的规范情况。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3</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18"/>
                <w:szCs w:val="18"/>
              </w:rPr>
            </w:pPr>
          </w:p>
        </w:tc>
      </w:tr>
      <w:tr w:rsidR="00745297" w:rsidTr="00624ABC">
        <w:trPr>
          <w:cantSplit/>
          <w:trHeight w:val="1035"/>
        </w:trPr>
        <w:tc>
          <w:tcPr>
            <w:tcW w:w="291"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396"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289" w:type="dxa"/>
            <w:vMerge/>
            <w:tcBorders>
              <w:top w:val="single" w:sz="4" w:space="0" w:color="000000"/>
              <w:left w:val="single" w:sz="4" w:space="0" w:color="000000"/>
              <w:bottom w:val="single" w:sz="4" w:space="0" w:color="000000"/>
              <w:right w:val="single" w:sz="4" w:space="0" w:color="000000"/>
            </w:tcBorders>
            <w:vAlign w:val="center"/>
          </w:tcPr>
          <w:p w:rsidR="00745297" w:rsidRDefault="00745297" w:rsidP="00624ABC"/>
        </w:tc>
        <w:tc>
          <w:tcPr>
            <w:tcW w:w="394" w:type="dxa"/>
            <w:vMerge/>
            <w:tcBorders>
              <w:top w:val="single" w:sz="4" w:space="0" w:color="000000"/>
              <w:left w:val="single" w:sz="4" w:space="0" w:color="000000"/>
              <w:bottom w:val="single" w:sz="4" w:space="0" w:color="000000"/>
              <w:right w:val="single" w:sz="4" w:space="0" w:color="000000"/>
            </w:tcBorders>
            <w:vAlign w:val="center"/>
          </w:tcPr>
          <w:p w:rsidR="00745297" w:rsidRDefault="00745297"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绩效目标合理性</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4</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项目所设定的绩效目标是否依据充分，是否符合客观实际，用以反映和考核项目绩效目标与项目实施的相符情况。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4</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18"/>
                <w:szCs w:val="18"/>
              </w:rPr>
            </w:pPr>
          </w:p>
        </w:tc>
      </w:tr>
      <w:tr w:rsidR="00745297" w:rsidTr="00624ABC">
        <w:trPr>
          <w:cantSplit/>
          <w:trHeight w:val="1095"/>
        </w:trPr>
        <w:tc>
          <w:tcPr>
            <w:tcW w:w="291"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396"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289" w:type="dxa"/>
            <w:vMerge/>
            <w:tcBorders>
              <w:top w:val="single" w:sz="4" w:space="0" w:color="000000"/>
              <w:left w:val="single" w:sz="4" w:space="0" w:color="000000"/>
              <w:bottom w:val="single" w:sz="4" w:space="0" w:color="000000"/>
              <w:right w:val="single" w:sz="4" w:space="0" w:color="000000"/>
            </w:tcBorders>
            <w:vAlign w:val="center"/>
          </w:tcPr>
          <w:p w:rsidR="00745297" w:rsidRDefault="00745297" w:rsidP="00624ABC"/>
        </w:tc>
        <w:tc>
          <w:tcPr>
            <w:tcW w:w="394" w:type="dxa"/>
            <w:vMerge/>
            <w:tcBorders>
              <w:top w:val="single" w:sz="4" w:space="0" w:color="000000"/>
              <w:left w:val="single" w:sz="4" w:space="0" w:color="000000"/>
              <w:bottom w:val="single" w:sz="4" w:space="0" w:color="000000"/>
              <w:right w:val="single" w:sz="4" w:space="0" w:color="000000"/>
            </w:tcBorders>
            <w:vAlign w:val="center"/>
          </w:tcPr>
          <w:p w:rsidR="00745297" w:rsidRDefault="00745297"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绩效指标明确性</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3</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依据绩效目标设定的绩效指标是否清晰、细化、可衡量等，用以反映和考核项目绩效目标的明细化情况。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3</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18"/>
                <w:szCs w:val="18"/>
              </w:rPr>
            </w:pPr>
          </w:p>
        </w:tc>
      </w:tr>
      <w:tr w:rsidR="00745297" w:rsidTr="00624ABC">
        <w:trPr>
          <w:cantSplit/>
          <w:trHeight w:val="795"/>
        </w:trPr>
        <w:tc>
          <w:tcPr>
            <w:tcW w:w="291"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396"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289" w:type="dxa"/>
            <w:vMerge w:val="restart"/>
            <w:tcBorders>
              <w:top w:val="single" w:sz="4" w:space="0" w:color="000000"/>
              <w:left w:val="single" w:sz="4" w:space="0" w:color="000000"/>
              <w:bottom w:val="nil"/>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资金落实</w:t>
            </w:r>
          </w:p>
        </w:tc>
        <w:tc>
          <w:tcPr>
            <w:tcW w:w="394" w:type="dxa"/>
            <w:vMerge w:val="restart"/>
            <w:tcBorders>
              <w:top w:val="single" w:sz="4" w:space="0" w:color="000000"/>
              <w:left w:val="single" w:sz="4" w:space="0" w:color="000000"/>
              <w:bottom w:val="nil"/>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10</w:t>
            </w:r>
          </w:p>
        </w:tc>
        <w:tc>
          <w:tcPr>
            <w:tcW w:w="547"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资金到位率</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资金到位率＝（实际到位资金/计划投入资金）×100%</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资金足额到位记5分，未足额到位按比例计分。</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18"/>
                <w:szCs w:val="18"/>
              </w:rPr>
            </w:pPr>
          </w:p>
        </w:tc>
      </w:tr>
      <w:tr w:rsidR="00745297" w:rsidTr="00624ABC">
        <w:trPr>
          <w:cantSplit/>
          <w:trHeight w:val="795"/>
        </w:trPr>
        <w:tc>
          <w:tcPr>
            <w:tcW w:w="291"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396"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289"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394"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到位及时率</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到位及时率＝（及时到位资金/应到位资金）×100%</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资金按时到位记5分，未按时按比例计分。</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18"/>
                <w:szCs w:val="18"/>
              </w:rPr>
            </w:pPr>
          </w:p>
        </w:tc>
      </w:tr>
      <w:tr w:rsidR="00745297" w:rsidTr="00624ABC">
        <w:trPr>
          <w:cantSplit/>
          <w:trHeight w:val="945"/>
        </w:trPr>
        <w:tc>
          <w:tcPr>
            <w:tcW w:w="291" w:type="dxa"/>
            <w:vMerge w:val="restart"/>
            <w:tcBorders>
              <w:top w:val="single" w:sz="4" w:space="0" w:color="000000"/>
              <w:left w:val="single" w:sz="4" w:space="0" w:color="000000"/>
              <w:bottom w:val="nil"/>
              <w:right w:val="single" w:sz="4" w:space="0" w:color="000000"/>
            </w:tcBorders>
            <w:vAlign w:val="center"/>
          </w:tcPr>
          <w:p w:rsidR="00745297" w:rsidRDefault="00745297" w:rsidP="00624ABC">
            <w:pPr>
              <w:widowControl/>
              <w:jc w:val="center"/>
              <w:textAlignment w:val="center"/>
              <w:rPr>
                <w:rFonts w:ascii="宋体" w:cs="宋体" w:hint="eastAsia"/>
                <w:color w:val="000000"/>
                <w:sz w:val="20"/>
                <w:szCs w:val="20"/>
              </w:rPr>
            </w:pPr>
            <w:r>
              <w:rPr>
                <w:rFonts w:ascii="宋体" w:cs="宋体" w:hint="eastAsia"/>
                <w:color w:val="000000"/>
                <w:kern w:val="0"/>
                <w:sz w:val="20"/>
                <w:szCs w:val="20"/>
                <w:lang/>
              </w:rPr>
              <w:lastRenderedPageBreak/>
              <w:t>过程</w:t>
            </w:r>
          </w:p>
        </w:tc>
        <w:tc>
          <w:tcPr>
            <w:tcW w:w="396" w:type="dxa"/>
            <w:vMerge w:val="restart"/>
            <w:tcBorders>
              <w:top w:val="single" w:sz="4" w:space="0" w:color="000000"/>
              <w:left w:val="single" w:sz="4" w:space="0" w:color="000000"/>
              <w:bottom w:val="nil"/>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30</w:t>
            </w:r>
          </w:p>
        </w:tc>
        <w:tc>
          <w:tcPr>
            <w:tcW w:w="289" w:type="dxa"/>
            <w:vMerge w:val="restart"/>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业务管理</w:t>
            </w:r>
          </w:p>
        </w:tc>
        <w:tc>
          <w:tcPr>
            <w:tcW w:w="394" w:type="dxa"/>
            <w:vMerge w:val="restart"/>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15</w:t>
            </w:r>
          </w:p>
        </w:tc>
        <w:tc>
          <w:tcPr>
            <w:tcW w:w="547"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管理制度健全性</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项目实施单位的业务管理制度是否健全，用以反映和考核业务管理制度对项目顺利实施的保障情况。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①已制定或具有相应的业务管理制度记2.5分， 不制定不记分；                                        ②业务管理制度合法、合规、完整记2.5分；不合法、不合规、不完整不记分。</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18"/>
                <w:szCs w:val="18"/>
              </w:rPr>
            </w:pPr>
          </w:p>
        </w:tc>
      </w:tr>
      <w:tr w:rsidR="00745297" w:rsidTr="00624ABC">
        <w:trPr>
          <w:cantSplit/>
          <w:trHeight w:val="1140"/>
        </w:trPr>
        <w:tc>
          <w:tcPr>
            <w:tcW w:w="291"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396"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289" w:type="dxa"/>
            <w:vMerge/>
            <w:tcBorders>
              <w:top w:val="single" w:sz="4" w:space="0" w:color="000000"/>
              <w:left w:val="single" w:sz="4" w:space="0" w:color="000000"/>
              <w:bottom w:val="single" w:sz="4" w:space="0" w:color="000000"/>
              <w:right w:val="single" w:sz="4" w:space="0" w:color="000000"/>
            </w:tcBorders>
            <w:vAlign w:val="center"/>
          </w:tcPr>
          <w:p w:rsidR="00745297" w:rsidRDefault="00745297" w:rsidP="00624ABC"/>
        </w:tc>
        <w:tc>
          <w:tcPr>
            <w:tcW w:w="394" w:type="dxa"/>
            <w:vMerge/>
            <w:tcBorders>
              <w:top w:val="single" w:sz="4" w:space="0" w:color="000000"/>
              <w:left w:val="single" w:sz="4" w:space="0" w:color="000000"/>
              <w:bottom w:val="single" w:sz="4" w:space="0" w:color="000000"/>
              <w:right w:val="single" w:sz="4" w:space="0" w:color="000000"/>
            </w:tcBorders>
            <w:vAlign w:val="center"/>
          </w:tcPr>
          <w:p w:rsidR="00745297" w:rsidRDefault="00745297"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制度执行有效性</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项目实施是否符合相关业务管理规定，用以反映和考核业务管理制度的有效执行情况。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遵守相关法律法规和业务管理规定记5分，否则不记分。</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18"/>
                <w:szCs w:val="18"/>
              </w:rPr>
            </w:pPr>
          </w:p>
        </w:tc>
      </w:tr>
      <w:tr w:rsidR="00745297" w:rsidTr="00624ABC">
        <w:trPr>
          <w:cantSplit/>
          <w:trHeight w:val="1170"/>
        </w:trPr>
        <w:tc>
          <w:tcPr>
            <w:tcW w:w="291"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396"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289" w:type="dxa"/>
            <w:vMerge/>
            <w:tcBorders>
              <w:top w:val="single" w:sz="4" w:space="0" w:color="000000"/>
              <w:left w:val="single" w:sz="4" w:space="0" w:color="000000"/>
              <w:bottom w:val="single" w:sz="4" w:space="0" w:color="000000"/>
              <w:right w:val="single" w:sz="4" w:space="0" w:color="000000"/>
            </w:tcBorders>
            <w:vAlign w:val="center"/>
          </w:tcPr>
          <w:p w:rsidR="00745297" w:rsidRDefault="00745297" w:rsidP="00624ABC"/>
        </w:tc>
        <w:tc>
          <w:tcPr>
            <w:tcW w:w="394" w:type="dxa"/>
            <w:vMerge/>
            <w:tcBorders>
              <w:top w:val="single" w:sz="4" w:space="0" w:color="000000"/>
              <w:left w:val="single" w:sz="4" w:space="0" w:color="000000"/>
              <w:bottom w:val="single" w:sz="4" w:space="0" w:color="000000"/>
              <w:right w:val="single" w:sz="4" w:space="0" w:color="000000"/>
            </w:tcBorders>
            <w:vAlign w:val="center"/>
          </w:tcPr>
          <w:p w:rsidR="00745297" w:rsidRDefault="00745297"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项目质量可控性</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项目实施至位是否为达到项目质量要求而采取了必需的措施，用以反映和考核项目实施单位对项目质量的控制情况。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①制定或有相应的项目质量要求或标准记2.5分，否则不记分；                                          ②采取了相应的项目质量检查、验收等必需的控制措施或手段记2.5分，否则不记分。</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18"/>
                <w:szCs w:val="18"/>
              </w:rPr>
            </w:pPr>
          </w:p>
        </w:tc>
      </w:tr>
      <w:tr w:rsidR="00745297" w:rsidTr="00624ABC">
        <w:trPr>
          <w:cantSplit/>
          <w:trHeight w:val="1035"/>
        </w:trPr>
        <w:tc>
          <w:tcPr>
            <w:tcW w:w="291"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396"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289" w:type="dxa"/>
            <w:vMerge w:val="restart"/>
            <w:tcBorders>
              <w:top w:val="single" w:sz="4" w:space="0" w:color="000000"/>
              <w:left w:val="single" w:sz="4" w:space="0" w:color="000000"/>
              <w:bottom w:val="nil"/>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财务管理</w:t>
            </w:r>
          </w:p>
        </w:tc>
        <w:tc>
          <w:tcPr>
            <w:tcW w:w="394" w:type="dxa"/>
            <w:vMerge w:val="restart"/>
            <w:tcBorders>
              <w:top w:val="single" w:sz="4" w:space="0" w:color="000000"/>
              <w:left w:val="single" w:sz="4" w:space="0" w:color="000000"/>
              <w:bottom w:val="nil"/>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15</w:t>
            </w:r>
          </w:p>
        </w:tc>
        <w:tc>
          <w:tcPr>
            <w:tcW w:w="547"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管理制度健全性</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项目实施单位的财务制度是否健全，用以反映和考核财务管理制度对资金规范、安全运行的保障情况。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①已制定或具有相应的项目资金管理办法记2.5分，否则不记分；                                           ②项目资金管理办法符合相关财务会计制定记2.5分，否则不记分。</w:t>
            </w:r>
          </w:p>
        </w:tc>
        <w:tc>
          <w:tcPr>
            <w:tcW w:w="289" w:type="dxa"/>
            <w:tcBorders>
              <w:top w:val="single" w:sz="4" w:space="0" w:color="000000"/>
              <w:left w:val="nil"/>
              <w:bottom w:val="single" w:sz="4" w:space="0" w:color="000000"/>
              <w:right w:val="single" w:sz="4" w:space="0" w:color="000000"/>
            </w:tcBorders>
            <w:vAlign w:val="center"/>
          </w:tcPr>
          <w:p w:rsidR="00745297" w:rsidRDefault="00745297" w:rsidP="00624ABC">
            <w:pPr>
              <w:widowControl/>
              <w:jc w:val="center"/>
              <w:textAlignment w:val="center"/>
              <w:rPr>
                <w:rFonts w:ascii="仿宋_GB2312" w:eastAsia="仿宋_GB2312" w:cs="仿宋_GB2312" w:hint="eastAsia"/>
                <w:color w:val="000000"/>
                <w:sz w:val="18"/>
                <w:szCs w:val="18"/>
              </w:rPr>
            </w:pPr>
            <w:r>
              <w:rPr>
                <w:rFonts w:ascii="仿宋_GB2312" w:eastAsia="仿宋_GB2312" w:cs="仿宋_GB2312" w:hint="eastAsia"/>
                <w:color w:val="000000"/>
                <w:kern w:val="0"/>
                <w:sz w:val="18"/>
                <w:szCs w:val="18"/>
                <w:lang/>
              </w:rPr>
              <w:t>5</w:t>
            </w:r>
          </w:p>
        </w:tc>
        <w:tc>
          <w:tcPr>
            <w:tcW w:w="295" w:type="dxa"/>
            <w:tcBorders>
              <w:top w:val="single" w:sz="4" w:space="0" w:color="000000"/>
              <w:left w:val="nil"/>
              <w:bottom w:val="single" w:sz="4" w:space="0" w:color="000000"/>
              <w:right w:val="single" w:sz="4" w:space="0" w:color="000000"/>
            </w:tcBorders>
            <w:vAlign w:val="center"/>
          </w:tcPr>
          <w:p w:rsidR="00745297" w:rsidRDefault="00745297" w:rsidP="00624ABC">
            <w:pPr>
              <w:jc w:val="center"/>
              <w:rPr>
                <w:rFonts w:ascii="仿宋_GB2312" w:eastAsia="仿宋_GB2312" w:cs="仿宋_GB2312" w:hint="eastAsia"/>
                <w:color w:val="000000"/>
                <w:sz w:val="18"/>
                <w:szCs w:val="18"/>
              </w:rPr>
            </w:pPr>
          </w:p>
        </w:tc>
      </w:tr>
      <w:tr w:rsidR="00745297" w:rsidTr="00624ABC">
        <w:trPr>
          <w:cantSplit/>
          <w:trHeight w:val="1695"/>
        </w:trPr>
        <w:tc>
          <w:tcPr>
            <w:tcW w:w="291"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396"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289"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394"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资金使用合规性</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20"/>
                <w:szCs w:val="20"/>
              </w:rPr>
            </w:pPr>
            <w:r>
              <w:rPr>
                <w:rFonts w:ascii="宋体" w:cs="宋体" w:hint="eastAsia"/>
                <w:color w:val="000000"/>
                <w:kern w:val="0"/>
                <w:sz w:val="20"/>
                <w:szCs w:val="20"/>
                <w:lang/>
              </w:rPr>
              <w:t>项目资金使用是否符合相关的财务管理制度规定，用以反映和考核项目资金的规范运行情况。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20"/>
                <w:szCs w:val="20"/>
              </w:rPr>
            </w:pPr>
            <w:r>
              <w:rPr>
                <w:rFonts w:ascii="宋体" w:cs="宋体" w:hint="eastAsia"/>
                <w:color w:val="000000"/>
                <w:kern w:val="0"/>
                <w:sz w:val="20"/>
                <w:szCs w:val="20"/>
                <w:lang/>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289" w:type="dxa"/>
            <w:tcBorders>
              <w:top w:val="nil"/>
              <w:left w:val="nil"/>
              <w:bottom w:val="single" w:sz="4" w:space="0" w:color="000000"/>
              <w:right w:val="single" w:sz="4" w:space="0" w:color="000000"/>
            </w:tcBorders>
            <w:vAlign w:val="center"/>
          </w:tcPr>
          <w:p w:rsidR="00745297" w:rsidRDefault="00745297" w:rsidP="00624ABC">
            <w:pPr>
              <w:widowControl/>
              <w:jc w:val="center"/>
              <w:textAlignment w:val="center"/>
              <w:rPr>
                <w:rFonts w:ascii="仿宋_GB2312" w:eastAsia="仿宋_GB2312" w:cs="仿宋_GB2312" w:hint="eastAsia"/>
                <w:color w:val="000000"/>
                <w:sz w:val="18"/>
                <w:szCs w:val="18"/>
              </w:rPr>
            </w:pPr>
            <w:r>
              <w:rPr>
                <w:rFonts w:ascii="仿宋_GB2312" w:eastAsia="仿宋_GB2312" w:cs="仿宋_GB2312" w:hint="eastAsia"/>
                <w:color w:val="000000"/>
                <w:kern w:val="0"/>
                <w:sz w:val="18"/>
                <w:szCs w:val="18"/>
                <w:lang/>
              </w:rPr>
              <w:t>5</w:t>
            </w:r>
          </w:p>
        </w:tc>
        <w:tc>
          <w:tcPr>
            <w:tcW w:w="295" w:type="dxa"/>
            <w:tcBorders>
              <w:top w:val="nil"/>
              <w:left w:val="nil"/>
              <w:bottom w:val="single" w:sz="4" w:space="0" w:color="000000"/>
              <w:right w:val="single" w:sz="4" w:space="0" w:color="000000"/>
            </w:tcBorders>
            <w:vAlign w:val="center"/>
          </w:tcPr>
          <w:p w:rsidR="00745297" w:rsidRDefault="00745297" w:rsidP="00624ABC">
            <w:pPr>
              <w:jc w:val="center"/>
              <w:rPr>
                <w:rFonts w:ascii="仿宋_GB2312" w:eastAsia="仿宋_GB2312" w:cs="仿宋_GB2312" w:hint="eastAsia"/>
                <w:color w:val="000000"/>
                <w:sz w:val="18"/>
                <w:szCs w:val="18"/>
              </w:rPr>
            </w:pPr>
          </w:p>
        </w:tc>
      </w:tr>
      <w:tr w:rsidR="00745297" w:rsidTr="00624ABC">
        <w:trPr>
          <w:cantSplit/>
          <w:trHeight w:val="1050"/>
        </w:trPr>
        <w:tc>
          <w:tcPr>
            <w:tcW w:w="291"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396"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289"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394"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财务监控有效性</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20"/>
                <w:szCs w:val="20"/>
              </w:rPr>
            </w:pPr>
            <w:r>
              <w:rPr>
                <w:rFonts w:ascii="宋体" w:cs="宋体" w:hint="eastAsia"/>
                <w:color w:val="000000"/>
                <w:kern w:val="0"/>
                <w:sz w:val="20"/>
                <w:szCs w:val="20"/>
                <w:lang/>
              </w:rPr>
              <w:t>项目单位是否为保障资金的安全、规范运行而采取了必要的监控措施，用以反映和考核项目单位对资金运行的控制情况。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①已制定或具有相应的监控机制记2.5分，否则不记分；                                       ②采取了相应的财务检查等必要的监控措施或手段记2.5分，否则不记分。</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18"/>
                <w:szCs w:val="18"/>
              </w:rPr>
            </w:pPr>
          </w:p>
        </w:tc>
      </w:tr>
      <w:tr w:rsidR="00745297" w:rsidTr="00624ABC">
        <w:trPr>
          <w:cantSplit/>
          <w:trHeight w:val="705"/>
        </w:trPr>
        <w:tc>
          <w:tcPr>
            <w:tcW w:w="291" w:type="dxa"/>
            <w:vMerge w:val="restart"/>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产出</w:t>
            </w:r>
          </w:p>
        </w:tc>
        <w:tc>
          <w:tcPr>
            <w:tcW w:w="396" w:type="dxa"/>
            <w:vMerge w:val="restart"/>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24</w:t>
            </w:r>
          </w:p>
        </w:tc>
        <w:tc>
          <w:tcPr>
            <w:tcW w:w="289" w:type="dxa"/>
            <w:vMerge w:val="restart"/>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项目产出</w:t>
            </w:r>
          </w:p>
        </w:tc>
        <w:tc>
          <w:tcPr>
            <w:tcW w:w="394" w:type="dxa"/>
            <w:vMerge w:val="restart"/>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两非案件处理件数</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jc w:val="left"/>
              <w:rPr>
                <w:rFonts w:ascii="宋体" w:cs="宋体" w:hint="eastAsia"/>
                <w:color w:val="000000"/>
                <w:sz w:val="18"/>
                <w:szCs w:val="18"/>
              </w:rPr>
            </w:pPr>
          </w:p>
        </w:tc>
        <w:tc>
          <w:tcPr>
            <w:tcW w:w="4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达到绩效目标得6分，没达到目标每减少一个百分点扣0.1分。</w:t>
            </w:r>
          </w:p>
        </w:tc>
        <w:tc>
          <w:tcPr>
            <w:tcW w:w="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18"/>
                <w:szCs w:val="18"/>
              </w:rPr>
            </w:pPr>
          </w:p>
        </w:tc>
      </w:tr>
      <w:tr w:rsidR="00745297" w:rsidTr="00624ABC">
        <w:trPr>
          <w:cantSplit/>
          <w:trHeight w:val="720"/>
        </w:trPr>
        <w:tc>
          <w:tcPr>
            <w:tcW w:w="291" w:type="dxa"/>
            <w:vMerge/>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tc>
        <w:tc>
          <w:tcPr>
            <w:tcW w:w="396" w:type="dxa"/>
            <w:vMerge/>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tc>
        <w:tc>
          <w:tcPr>
            <w:tcW w:w="289" w:type="dxa"/>
            <w:vMerge/>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tc>
        <w:tc>
          <w:tcPr>
            <w:tcW w:w="394" w:type="dxa"/>
            <w:vMerge/>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合法生育率</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jc w:val="left"/>
              <w:rPr>
                <w:rFonts w:ascii="宋体" w:cs="宋体" w:hint="eastAsia"/>
                <w:color w:val="000000"/>
                <w:sz w:val="18"/>
                <w:szCs w:val="18"/>
              </w:rPr>
            </w:pPr>
          </w:p>
        </w:tc>
        <w:tc>
          <w:tcPr>
            <w:tcW w:w="4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达到绩效目标得6分，没达到目标每减少一个百分点扣0.1分。</w:t>
            </w:r>
          </w:p>
        </w:tc>
        <w:tc>
          <w:tcPr>
            <w:tcW w:w="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仿宋_GB2312" w:eastAsia="仿宋_GB2312" w:cs="仿宋_GB2312" w:hint="eastAsia"/>
                <w:color w:val="000000"/>
                <w:sz w:val="18"/>
                <w:szCs w:val="18"/>
              </w:rPr>
            </w:pPr>
          </w:p>
        </w:tc>
      </w:tr>
      <w:tr w:rsidR="00745297" w:rsidTr="00624ABC">
        <w:trPr>
          <w:cantSplit/>
          <w:trHeight w:val="720"/>
        </w:trPr>
        <w:tc>
          <w:tcPr>
            <w:tcW w:w="291" w:type="dxa"/>
            <w:vMerge/>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tc>
        <w:tc>
          <w:tcPr>
            <w:tcW w:w="396" w:type="dxa"/>
            <w:vMerge/>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tc>
        <w:tc>
          <w:tcPr>
            <w:tcW w:w="289" w:type="dxa"/>
            <w:vMerge/>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tc>
        <w:tc>
          <w:tcPr>
            <w:tcW w:w="394" w:type="dxa"/>
            <w:vMerge/>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新生人口性别比例</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jc w:val="left"/>
              <w:rPr>
                <w:rFonts w:ascii="宋体" w:cs="宋体" w:hint="eastAsia"/>
                <w:color w:val="000000"/>
                <w:sz w:val="18"/>
                <w:szCs w:val="18"/>
              </w:rPr>
            </w:pPr>
          </w:p>
        </w:tc>
        <w:tc>
          <w:tcPr>
            <w:tcW w:w="4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达到绩效目标得6分，没达到目标每减少一个百分点扣0.1分。</w:t>
            </w:r>
          </w:p>
        </w:tc>
        <w:tc>
          <w:tcPr>
            <w:tcW w:w="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仿宋_GB2312" w:eastAsia="仿宋_GB2312" w:cs="仿宋_GB2312" w:hint="eastAsia"/>
                <w:color w:val="000000"/>
                <w:sz w:val="18"/>
                <w:szCs w:val="18"/>
              </w:rPr>
            </w:pPr>
            <w:r>
              <w:rPr>
                <w:rFonts w:ascii="仿宋_GB2312" w:eastAsia="仿宋_GB2312" w:cs="仿宋_GB2312" w:hint="eastAsia"/>
                <w:color w:val="000000"/>
                <w:kern w:val="0"/>
                <w:sz w:val="18"/>
                <w:szCs w:val="18"/>
                <w:lang/>
              </w:rPr>
              <w:t xml:space="preserve"> </w:t>
            </w:r>
          </w:p>
        </w:tc>
      </w:tr>
      <w:tr w:rsidR="00745297" w:rsidTr="00624ABC">
        <w:trPr>
          <w:cantSplit/>
          <w:trHeight w:val="1695"/>
        </w:trPr>
        <w:tc>
          <w:tcPr>
            <w:tcW w:w="291" w:type="dxa"/>
            <w:vMerge/>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tc>
        <w:tc>
          <w:tcPr>
            <w:tcW w:w="396" w:type="dxa"/>
            <w:vMerge/>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tc>
        <w:tc>
          <w:tcPr>
            <w:tcW w:w="289" w:type="dxa"/>
            <w:vMerge/>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tc>
        <w:tc>
          <w:tcPr>
            <w:tcW w:w="394" w:type="dxa"/>
            <w:vMerge/>
            <w:tcBorders>
              <w:top w:val="single" w:sz="4" w:space="0" w:color="000000"/>
              <w:left w:val="single" w:sz="4" w:space="0" w:color="000000"/>
              <w:bottom w:val="nil"/>
              <w:right w:val="single" w:sz="4" w:space="0" w:color="000000"/>
            </w:tcBorders>
            <w:shd w:val="clear" w:color="auto" w:fill="auto"/>
            <w:vAlign w:val="center"/>
          </w:tcPr>
          <w:p w:rsidR="00745297" w:rsidRDefault="00745297" w:rsidP="00624ABC"/>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奖励金投入率</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7</w:t>
            </w:r>
          </w:p>
        </w:tc>
        <w:tc>
          <w:tcPr>
            <w:tcW w:w="2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jc w:val="left"/>
              <w:rPr>
                <w:rFonts w:ascii="宋体" w:cs="宋体" w:hint="eastAsia"/>
                <w:color w:val="000000"/>
                <w:sz w:val="18"/>
                <w:szCs w:val="18"/>
              </w:rPr>
            </w:pPr>
          </w:p>
        </w:tc>
        <w:tc>
          <w:tcPr>
            <w:tcW w:w="4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达到绩效目标得7分，没达到目标每减少一个百分点扣0.1分。</w:t>
            </w:r>
          </w:p>
        </w:tc>
        <w:tc>
          <w:tcPr>
            <w:tcW w:w="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18"/>
                <w:szCs w:val="18"/>
              </w:rPr>
            </w:pPr>
          </w:p>
        </w:tc>
      </w:tr>
      <w:tr w:rsidR="00745297" w:rsidTr="00624ABC">
        <w:trPr>
          <w:cantSplit/>
          <w:trHeight w:val="810"/>
        </w:trPr>
        <w:tc>
          <w:tcPr>
            <w:tcW w:w="291" w:type="dxa"/>
            <w:vMerge w:val="restart"/>
            <w:tcBorders>
              <w:top w:val="nil"/>
              <w:left w:val="single" w:sz="4" w:space="0" w:color="000000"/>
              <w:bottom w:val="nil"/>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效果</w:t>
            </w:r>
          </w:p>
        </w:tc>
        <w:tc>
          <w:tcPr>
            <w:tcW w:w="396" w:type="dxa"/>
            <w:vMerge w:val="restart"/>
            <w:tcBorders>
              <w:top w:val="single" w:sz="4" w:space="0" w:color="000000"/>
              <w:left w:val="single" w:sz="4" w:space="0" w:color="000000"/>
              <w:bottom w:val="nil"/>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26</w:t>
            </w:r>
          </w:p>
        </w:tc>
        <w:tc>
          <w:tcPr>
            <w:tcW w:w="289" w:type="dxa"/>
            <w:vMerge w:val="restart"/>
            <w:tcBorders>
              <w:top w:val="single" w:sz="4" w:space="0" w:color="000000"/>
              <w:left w:val="single" w:sz="4" w:space="0" w:color="000000"/>
              <w:bottom w:val="nil"/>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项目效益</w:t>
            </w:r>
          </w:p>
        </w:tc>
        <w:tc>
          <w:tcPr>
            <w:tcW w:w="394" w:type="dxa"/>
            <w:vMerge w:val="restart"/>
            <w:tcBorders>
              <w:top w:val="single" w:sz="4" w:space="0" w:color="000000"/>
              <w:left w:val="single" w:sz="4" w:space="0" w:color="000000"/>
              <w:bottom w:val="nil"/>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25</w:t>
            </w:r>
          </w:p>
        </w:tc>
        <w:tc>
          <w:tcPr>
            <w:tcW w:w="547" w:type="dxa"/>
            <w:tcBorders>
              <w:top w:val="single" w:sz="4" w:space="0" w:color="000000"/>
              <w:left w:val="single" w:sz="4" w:space="0" w:color="000000"/>
              <w:bottom w:val="nil"/>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社会效益</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 xml:space="preserve">5 </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项目实施对社会发展所带来的直接或间接影响情况。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100%为6分，每减少一个百分点扣0.2分。</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5</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18"/>
                <w:szCs w:val="18"/>
              </w:rPr>
            </w:pPr>
          </w:p>
        </w:tc>
      </w:tr>
      <w:tr w:rsidR="00745297" w:rsidTr="00624ABC">
        <w:trPr>
          <w:cantSplit/>
          <w:trHeight w:val="810"/>
        </w:trPr>
        <w:tc>
          <w:tcPr>
            <w:tcW w:w="291" w:type="dxa"/>
            <w:vMerge/>
            <w:tcBorders>
              <w:top w:val="nil"/>
              <w:left w:val="single" w:sz="4" w:space="0" w:color="000000"/>
              <w:bottom w:val="nil"/>
              <w:right w:val="single" w:sz="4" w:space="0" w:color="000000"/>
            </w:tcBorders>
            <w:vAlign w:val="center"/>
          </w:tcPr>
          <w:p w:rsidR="00745297" w:rsidRDefault="00745297" w:rsidP="00624ABC"/>
        </w:tc>
        <w:tc>
          <w:tcPr>
            <w:tcW w:w="396"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289"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394"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547" w:type="dxa"/>
            <w:tcBorders>
              <w:top w:val="nil"/>
              <w:left w:val="nil"/>
              <w:bottom w:val="nil"/>
              <w:right w:val="nil"/>
            </w:tcBorders>
            <w:vAlign w:val="center"/>
          </w:tcPr>
          <w:p w:rsidR="00745297" w:rsidRDefault="00745297" w:rsidP="00624ABC">
            <w:pPr>
              <w:widowControl/>
              <w:jc w:val="left"/>
              <w:textAlignment w:val="center"/>
              <w:rPr>
                <w:rFonts w:ascii="宋体" w:cs="宋体" w:hint="eastAsia"/>
                <w:color w:val="000000"/>
                <w:sz w:val="20"/>
                <w:szCs w:val="20"/>
              </w:rPr>
            </w:pPr>
            <w:r>
              <w:rPr>
                <w:rFonts w:ascii="宋体" w:cs="宋体" w:hint="eastAsia"/>
                <w:color w:val="000000"/>
                <w:kern w:val="0"/>
                <w:sz w:val="20"/>
                <w:szCs w:val="20"/>
                <w:lang/>
              </w:rPr>
              <w:t>经济效益</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项目实施对经济发展所带来的直接或间接影响情况。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100%为6分，每减少一个百分点扣0.2分。</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18"/>
                <w:szCs w:val="18"/>
              </w:rPr>
            </w:pPr>
          </w:p>
        </w:tc>
      </w:tr>
      <w:tr w:rsidR="00745297" w:rsidTr="00624ABC">
        <w:trPr>
          <w:cantSplit/>
          <w:trHeight w:val="990"/>
        </w:trPr>
        <w:tc>
          <w:tcPr>
            <w:tcW w:w="291" w:type="dxa"/>
            <w:vMerge/>
            <w:tcBorders>
              <w:top w:val="nil"/>
              <w:left w:val="single" w:sz="4" w:space="0" w:color="000000"/>
              <w:bottom w:val="nil"/>
              <w:right w:val="single" w:sz="4" w:space="0" w:color="000000"/>
            </w:tcBorders>
            <w:vAlign w:val="center"/>
          </w:tcPr>
          <w:p w:rsidR="00745297" w:rsidRDefault="00745297" w:rsidP="00624ABC"/>
        </w:tc>
        <w:tc>
          <w:tcPr>
            <w:tcW w:w="396"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289"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394"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可持续影响</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项目后续运行及成效发挥的可持续影响情况。</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结合调查问卷了解农民继续参合意愿、参合增长率计算评分，继续参合意愿＝调查样本中愿意继续参合对象/被调查对象总量*100%（3分），参合增长率＝（本年参合率-上年参合率）/上年参合率*100%（3分）。</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18"/>
                <w:szCs w:val="18"/>
              </w:rPr>
            </w:pPr>
          </w:p>
        </w:tc>
      </w:tr>
      <w:tr w:rsidR="00745297" w:rsidTr="00624ABC">
        <w:trPr>
          <w:cantSplit/>
          <w:trHeight w:val="1050"/>
        </w:trPr>
        <w:tc>
          <w:tcPr>
            <w:tcW w:w="291" w:type="dxa"/>
            <w:vMerge/>
            <w:tcBorders>
              <w:top w:val="nil"/>
              <w:left w:val="single" w:sz="4" w:space="0" w:color="000000"/>
              <w:bottom w:val="nil"/>
              <w:right w:val="single" w:sz="4" w:space="0" w:color="000000"/>
            </w:tcBorders>
            <w:vAlign w:val="center"/>
          </w:tcPr>
          <w:p w:rsidR="00745297" w:rsidRDefault="00745297" w:rsidP="00624ABC"/>
        </w:tc>
        <w:tc>
          <w:tcPr>
            <w:tcW w:w="396"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289"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394" w:type="dxa"/>
            <w:vMerge/>
            <w:tcBorders>
              <w:top w:val="single" w:sz="4" w:space="0" w:color="000000"/>
              <w:left w:val="single" w:sz="4" w:space="0" w:color="000000"/>
              <w:bottom w:val="nil"/>
              <w:right w:val="single" w:sz="4" w:space="0" w:color="000000"/>
            </w:tcBorders>
            <w:vAlign w:val="center"/>
          </w:tcPr>
          <w:p w:rsidR="00745297" w:rsidRDefault="00745297" w:rsidP="00624ABC"/>
        </w:tc>
        <w:tc>
          <w:tcPr>
            <w:tcW w:w="547"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公众满意度</w:t>
            </w: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8</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社会公众或服务对象对项目实施效策的满意程度</w:t>
            </w: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18"/>
                <w:szCs w:val="18"/>
              </w:rPr>
            </w:pPr>
            <w:r>
              <w:rPr>
                <w:rFonts w:ascii="宋体" w:cs="宋体" w:hint="eastAsia"/>
                <w:color w:val="000000"/>
                <w:kern w:val="0"/>
                <w:sz w:val="18"/>
                <w:szCs w:val="18"/>
                <w:lang/>
              </w:rPr>
              <w:t>受益群体政策知晓度＝知晓对象/被调查对象*100%（3分）；受益群体对新农合医疗补助工作的满意度＝满意对象/被调查对象*100%（3分）；无有效投诉案例发生（2分）</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18"/>
                <w:szCs w:val="18"/>
              </w:rPr>
            </w:pPr>
            <w:r>
              <w:rPr>
                <w:rFonts w:ascii="宋体" w:cs="宋体" w:hint="eastAsia"/>
                <w:color w:val="000000"/>
                <w:kern w:val="0"/>
                <w:sz w:val="18"/>
                <w:szCs w:val="18"/>
                <w:lang/>
              </w:rPr>
              <w:t>6</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18"/>
                <w:szCs w:val="18"/>
              </w:rPr>
            </w:pPr>
          </w:p>
        </w:tc>
      </w:tr>
      <w:tr w:rsidR="00745297" w:rsidTr="00624ABC">
        <w:trPr>
          <w:trHeight w:val="510"/>
        </w:trPr>
        <w:tc>
          <w:tcPr>
            <w:tcW w:w="291"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24"/>
              </w:rPr>
            </w:pPr>
            <w:r>
              <w:rPr>
                <w:rFonts w:ascii="宋体" w:cs="宋体" w:hint="eastAsia"/>
                <w:color w:val="000000"/>
                <w:kern w:val="0"/>
                <w:sz w:val="24"/>
                <w:lang/>
              </w:rPr>
              <w:t>总分</w:t>
            </w:r>
          </w:p>
        </w:tc>
        <w:tc>
          <w:tcPr>
            <w:tcW w:w="396"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24"/>
              </w:rPr>
            </w:pPr>
            <w:r>
              <w:rPr>
                <w:rFonts w:ascii="宋体" w:cs="宋体" w:hint="eastAsia"/>
                <w:color w:val="000000"/>
                <w:kern w:val="0"/>
                <w:sz w:val="24"/>
                <w:lang/>
              </w:rPr>
              <w:t>100</w:t>
            </w: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24"/>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24"/>
              </w:rPr>
            </w:pPr>
            <w:r>
              <w:rPr>
                <w:rFonts w:ascii="宋体" w:cs="宋体" w:hint="eastAsia"/>
                <w:color w:val="000000"/>
                <w:kern w:val="0"/>
                <w:sz w:val="24"/>
                <w:lang/>
              </w:rPr>
              <w:t>100</w:t>
            </w:r>
          </w:p>
        </w:tc>
        <w:tc>
          <w:tcPr>
            <w:tcW w:w="547"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24"/>
              </w:rPr>
            </w:pPr>
          </w:p>
        </w:tc>
        <w:tc>
          <w:tcPr>
            <w:tcW w:w="3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left"/>
              <w:textAlignment w:val="center"/>
              <w:rPr>
                <w:rFonts w:ascii="宋体" w:cs="宋体" w:hint="eastAsia"/>
                <w:color w:val="000000"/>
                <w:sz w:val="24"/>
              </w:rPr>
            </w:pPr>
            <w:r>
              <w:rPr>
                <w:rFonts w:ascii="宋体" w:cs="宋体" w:hint="eastAsia"/>
                <w:color w:val="000000"/>
                <w:kern w:val="0"/>
                <w:sz w:val="24"/>
                <w:lang/>
              </w:rPr>
              <w:t>100</w:t>
            </w:r>
          </w:p>
        </w:tc>
        <w:tc>
          <w:tcPr>
            <w:tcW w:w="2294"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24"/>
              </w:rPr>
            </w:pPr>
          </w:p>
        </w:tc>
        <w:tc>
          <w:tcPr>
            <w:tcW w:w="4880"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24"/>
              </w:rPr>
            </w:pPr>
          </w:p>
        </w:tc>
        <w:tc>
          <w:tcPr>
            <w:tcW w:w="289"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widowControl/>
              <w:jc w:val="center"/>
              <w:textAlignment w:val="center"/>
              <w:rPr>
                <w:rFonts w:ascii="宋体" w:cs="宋体" w:hint="eastAsia"/>
                <w:color w:val="000000"/>
                <w:sz w:val="24"/>
              </w:rPr>
            </w:pPr>
            <w:r>
              <w:rPr>
                <w:rFonts w:ascii="宋体" w:cs="宋体" w:hint="eastAsia"/>
                <w:color w:val="000000"/>
                <w:kern w:val="0"/>
                <w:sz w:val="24"/>
                <w:lang/>
              </w:rPr>
              <w:t>95</w:t>
            </w:r>
          </w:p>
        </w:tc>
        <w:tc>
          <w:tcPr>
            <w:tcW w:w="295" w:type="dxa"/>
            <w:tcBorders>
              <w:top w:val="single" w:sz="4" w:space="0" w:color="000000"/>
              <w:left w:val="single" w:sz="4" w:space="0" w:color="000000"/>
              <w:bottom w:val="single" w:sz="4" w:space="0" w:color="000000"/>
              <w:right w:val="single" w:sz="4" w:space="0" w:color="000000"/>
            </w:tcBorders>
            <w:vAlign w:val="center"/>
          </w:tcPr>
          <w:p w:rsidR="00745297" w:rsidRDefault="00745297" w:rsidP="00624ABC">
            <w:pPr>
              <w:rPr>
                <w:rFonts w:ascii="宋体" w:cs="宋体" w:hint="eastAsia"/>
                <w:color w:val="000000"/>
                <w:sz w:val="24"/>
              </w:rPr>
            </w:pPr>
          </w:p>
        </w:tc>
      </w:tr>
    </w:tbl>
    <w:p w:rsidR="00745297" w:rsidRDefault="00745297" w:rsidP="00745297">
      <w:pPr>
        <w:spacing w:line="600" w:lineRule="exact"/>
        <w:rPr>
          <w:rFonts w:ascii="宋体" w:hint="eastAsia"/>
          <w:color w:val="000000"/>
          <w:sz w:val="24"/>
        </w:rPr>
      </w:pPr>
    </w:p>
    <w:p w:rsidR="007D4382" w:rsidRDefault="007D4382"/>
    <w:sectPr w:rsidR="007D43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382" w:rsidRDefault="007D4382" w:rsidP="00745297">
      <w:r>
        <w:separator/>
      </w:r>
    </w:p>
  </w:endnote>
  <w:endnote w:type="continuationSeparator" w:id="1">
    <w:p w:rsidR="007D4382" w:rsidRDefault="007D4382" w:rsidP="00745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382" w:rsidRDefault="007D4382" w:rsidP="00745297">
      <w:r>
        <w:separator/>
      </w:r>
    </w:p>
  </w:footnote>
  <w:footnote w:type="continuationSeparator" w:id="1">
    <w:p w:rsidR="007D4382" w:rsidRDefault="007D4382" w:rsidP="00745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F87ED"/>
    <w:multiLevelType w:val="singleLevel"/>
    <w:tmpl w:val="58CF87ED"/>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5297"/>
    <w:rsid w:val="00745297"/>
    <w:rsid w:val="007D43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52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5297"/>
    <w:rPr>
      <w:sz w:val="18"/>
      <w:szCs w:val="18"/>
    </w:rPr>
  </w:style>
  <w:style w:type="paragraph" w:styleId="a4">
    <w:name w:val="footer"/>
    <w:basedOn w:val="a"/>
    <w:link w:val="Char0"/>
    <w:uiPriority w:val="99"/>
    <w:semiHidden/>
    <w:unhideWhenUsed/>
    <w:rsid w:val="007452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5297"/>
    <w:rPr>
      <w:sz w:val="18"/>
      <w:szCs w:val="18"/>
    </w:rPr>
  </w:style>
  <w:style w:type="paragraph" w:styleId="a5">
    <w:name w:val="Balloon Text"/>
    <w:basedOn w:val="a"/>
    <w:link w:val="Char1"/>
    <w:uiPriority w:val="99"/>
    <w:semiHidden/>
    <w:unhideWhenUsed/>
    <w:rsid w:val="00745297"/>
    <w:rPr>
      <w:sz w:val="18"/>
      <w:szCs w:val="18"/>
    </w:rPr>
  </w:style>
  <w:style w:type="character" w:customStyle="1" w:styleId="Char1">
    <w:name w:val="批注框文本 Char"/>
    <w:basedOn w:val="a0"/>
    <w:link w:val="a5"/>
    <w:uiPriority w:val="99"/>
    <w:semiHidden/>
    <w:rsid w:val="007452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650</Words>
  <Characters>3709</Characters>
  <Application>Microsoft Office Word</Application>
  <DocSecurity>0</DocSecurity>
  <Lines>30</Lines>
  <Paragraphs>8</Paragraphs>
  <ScaleCrop>false</ScaleCrop>
  <Company>微软中国</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2019-06-13T00:41:00Z</dcterms:created>
  <dcterms:modified xsi:type="dcterms:W3CDTF">2019-06-13T00:43:00Z</dcterms:modified>
</cp:coreProperties>
</file>