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BF" w:rsidRDefault="00D55FDC">
      <w:pPr>
        <w:widowControl/>
        <w:spacing w:line="660" w:lineRule="exact"/>
        <w:ind w:left="1260" w:hangingChars="300" w:hanging="1260"/>
        <w:jc w:val="center"/>
        <w:rPr>
          <w:rFonts w:ascii="黑体" w:eastAsia="黑体" w:hAnsi="黑体" w:cs="黑体"/>
          <w:color w:val="000000"/>
          <w:kern w:val="0"/>
          <w:sz w:val="42"/>
          <w:szCs w:val="44"/>
        </w:rPr>
      </w:pPr>
      <w:r>
        <w:rPr>
          <w:rFonts w:ascii="黑体" w:eastAsia="黑体" w:hAnsi="黑体" w:cs="黑体" w:hint="eastAsia"/>
          <w:color w:val="000000"/>
          <w:kern w:val="0"/>
          <w:sz w:val="42"/>
          <w:szCs w:val="44"/>
        </w:rPr>
        <w:t>芷江侗族自治县2020年度基本公共卫生</w:t>
      </w:r>
    </w:p>
    <w:p w:rsidR="00996CBF" w:rsidRDefault="00D55FDC">
      <w:pPr>
        <w:widowControl/>
        <w:spacing w:line="660" w:lineRule="exact"/>
        <w:ind w:left="1260" w:hangingChars="300" w:hanging="1260"/>
        <w:jc w:val="center"/>
        <w:rPr>
          <w:rFonts w:ascii="黑体" w:eastAsia="黑体" w:hAnsi="黑体" w:cs="黑体"/>
          <w:color w:val="000000"/>
          <w:kern w:val="0"/>
          <w:sz w:val="42"/>
          <w:szCs w:val="44"/>
        </w:rPr>
      </w:pPr>
      <w:r>
        <w:rPr>
          <w:rFonts w:ascii="黑体" w:eastAsia="黑体" w:hAnsi="黑体" w:cs="黑体" w:hint="eastAsia"/>
          <w:color w:val="000000"/>
          <w:kern w:val="0"/>
          <w:sz w:val="42"/>
          <w:szCs w:val="44"/>
        </w:rPr>
        <w:t>服务项目绩效自评报告</w:t>
      </w:r>
    </w:p>
    <w:p w:rsidR="00996CBF" w:rsidRDefault="00996CBF">
      <w:pPr>
        <w:spacing w:line="560" w:lineRule="exact"/>
        <w:jc w:val="center"/>
        <w:rPr>
          <w:rFonts w:ascii="宋体" w:eastAsia="宋体" w:hAnsi="宋体"/>
          <w:b/>
          <w:sz w:val="44"/>
          <w:szCs w:val="44"/>
        </w:rPr>
      </w:pPr>
    </w:p>
    <w:p w:rsidR="00996CBF" w:rsidRDefault="00D55FDC">
      <w:pPr>
        <w:spacing w:line="520" w:lineRule="atLeast"/>
        <w:ind w:firstLineChars="200" w:firstLine="640"/>
        <w:rPr>
          <w:rStyle w:val="articlef14"/>
          <w:rFonts w:ascii="仿宋" w:eastAsia="仿宋" w:hAnsi="仿宋" w:cs="仿宋"/>
        </w:rPr>
      </w:pPr>
      <w:r>
        <w:rPr>
          <w:rFonts w:ascii="仿宋" w:eastAsia="仿宋" w:hAnsi="仿宋" w:cs="仿宋" w:hint="eastAsia"/>
        </w:rPr>
        <w:t>2020年我县基本公共卫生项目服务工作在县委、县政府的统一领导部署和卫生行政部门及相关专业技术部门的指导下，严格执行《国家基本公共卫生服务规范》（第三版），认真贯彻落实各级文件精神，我县国家基本公共卫生服务工作有序开展，取得了一定成绩，但也存在一些实际困难，现将2020年国家基本公共卫生服务项目工作进展情况报告如下：</w:t>
      </w:r>
    </w:p>
    <w:p w:rsidR="00996CBF" w:rsidRDefault="00D55FDC">
      <w:pPr>
        <w:spacing w:line="520" w:lineRule="atLeast"/>
        <w:ind w:firstLineChars="200" w:firstLine="643"/>
        <w:rPr>
          <w:rFonts w:ascii="仿宋" w:eastAsia="仿宋" w:hAnsi="仿宋" w:cs="仿宋"/>
          <w:b/>
          <w:bCs/>
          <w:color w:val="000000"/>
        </w:rPr>
      </w:pPr>
      <w:r>
        <w:rPr>
          <w:rFonts w:ascii="仿宋" w:eastAsia="仿宋" w:hAnsi="仿宋" w:cs="仿宋" w:hint="eastAsia"/>
          <w:b/>
          <w:bCs/>
          <w:color w:val="000000"/>
        </w:rPr>
        <w:t>一、重点服务项目完成情况</w:t>
      </w:r>
    </w:p>
    <w:p w:rsidR="00996CBF" w:rsidRDefault="00D55FDC">
      <w:pPr>
        <w:spacing w:line="520" w:lineRule="atLeast"/>
        <w:ind w:firstLine="640"/>
        <w:rPr>
          <w:rFonts w:ascii="仿宋" w:eastAsia="仿宋" w:hAnsi="仿宋" w:cs="仿宋"/>
          <w:b/>
          <w:bCs/>
        </w:rPr>
      </w:pPr>
      <w:r>
        <w:rPr>
          <w:rFonts w:ascii="仿宋" w:eastAsia="仿宋" w:hAnsi="仿宋" w:cs="仿宋" w:hint="eastAsia"/>
          <w:b/>
          <w:bCs/>
        </w:rPr>
        <w:t>（一）“十三五”基本公共卫生服务均等化规划目标完成情况。</w:t>
      </w:r>
    </w:p>
    <w:p w:rsidR="00996CBF" w:rsidRDefault="00D55FDC">
      <w:pPr>
        <w:spacing w:line="520" w:lineRule="atLeast"/>
        <w:ind w:firstLine="640"/>
        <w:rPr>
          <w:rFonts w:ascii="仿宋" w:eastAsia="仿宋" w:hAnsi="仿宋" w:cs="仿宋"/>
        </w:rPr>
      </w:pPr>
      <w:r>
        <w:rPr>
          <w:rFonts w:ascii="仿宋" w:eastAsia="仿宋" w:hAnsi="仿宋" w:cs="仿宋" w:hint="eastAsia"/>
        </w:rPr>
        <w:t>2020年保障项目资金落实，强化专业指导机构责任，着力做好基层慢性病医防融合项目、居民电子健康档案质量核查和动态管理等重点工作，电子健康档案建档率89.4%，各乡镇适龄儿童国家免疫规划疫苗接种率保持在90%以上，新生儿访视率达到95.63%、儿童健康管理率达到90.6%以上，早孕建册率97.93%，产后访视率分别达到97.7%以上，老年人健康管理率达到72.3%，高血压和糖尿病患者完成省定任务数，规范管理率达到80%以上，严重精神障碍患者规范管理率达到93%，肺结核患者管理率达到100%，老年人中医药健康管理率58%，儿童中医药管理率77%，传染病、突发公共卫生事件报告率分别达到100%。</w:t>
      </w:r>
    </w:p>
    <w:p w:rsidR="00996CBF" w:rsidRDefault="00D55FDC">
      <w:pPr>
        <w:spacing w:line="520" w:lineRule="atLeast"/>
        <w:ind w:firstLineChars="200" w:firstLine="643"/>
        <w:rPr>
          <w:rStyle w:val="NormalCharacter"/>
          <w:rFonts w:ascii="仿宋" w:eastAsia="仿宋" w:hAnsi="仿宋" w:cs="仿宋"/>
          <w:kern w:val="0"/>
        </w:rPr>
      </w:pPr>
      <w:r>
        <w:rPr>
          <w:rStyle w:val="NormalCharacter"/>
          <w:rFonts w:ascii="仿宋" w:eastAsia="仿宋" w:hAnsi="仿宋" w:cs="仿宋" w:hint="eastAsia"/>
          <w:b/>
          <w:bCs/>
          <w:kern w:val="0"/>
        </w:rPr>
        <w:t>(二)以基层高血压、糖尿病等慢性病为重点的医防融合服务进展情况。</w:t>
      </w:r>
    </w:p>
    <w:p w:rsidR="00996CBF" w:rsidRDefault="00D55FDC">
      <w:pPr>
        <w:spacing w:line="520" w:lineRule="atLeast"/>
        <w:ind w:firstLineChars="200" w:firstLine="640"/>
        <w:rPr>
          <w:rFonts w:ascii="仿宋" w:eastAsia="仿宋" w:hAnsi="仿宋" w:cs="仿宋"/>
        </w:rPr>
      </w:pPr>
      <w:r>
        <w:rPr>
          <w:rFonts w:ascii="仿宋" w:eastAsia="仿宋" w:hAnsi="仿宋" w:cs="仿宋" w:hint="eastAsia"/>
        </w:rPr>
        <w:lastRenderedPageBreak/>
        <w:t>2020年我县纳入基本公共卫生服务健康管理的高血压患者20714人，享有高血压门诊医保报销资格的高血压患者6455人，占比31.36%；纳入管理的糖尿病患者6794人，享有糖尿病门诊医保报销资格的糖尿病患者3515人，占比51.74%。</w:t>
      </w:r>
    </w:p>
    <w:p w:rsidR="00996CBF" w:rsidRDefault="00D55FDC">
      <w:pPr>
        <w:numPr>
          <w:ilvl w:val="0"/>
          <w:numId w:val="1"/>
        </w:numPr>
        <w:spacing w:line="520" w:lineRule="atLeast"/>
        <w:rPr>
          <w:rFonts w:ascii="仿宋" w:eastAsia="仿宋" w:hAnsi="仿宋" w:cs="仿宋"/>
          <w:b/>
          <w:bCs/>
        </w:rPr>
      </w:pPr>
      <w:r>
        <w:rPr>
          <w:rFonts w:ascii="仿宋" w:eastAsia="仿宋" w:hAnsi="仿宋" w:cs="仿宋" w:hint="eastAsia"/>
          <w:b/>
          <w:bCs/>
        </w:rPr>
        <w:t>开展基层疫情防控工作情况。</w:t>
      </w:r>
    </w:p>
    <w:p w:rsidR="00996CBF" w:rsidRDefault="00D55FDC">
      <w:pPr>
        <w:spacing w:line="520" w:lineRule="atLeast"/>
        <w:ind w:left="480"/>
        <w:rPr>
          <w:rFonts w:ascii="仿宋" w:eastAsia="仿宋" w:hAnsi="仿宋" w:cs="仿宋"/>
        </w:rPr>
      </w:pPr>
      <w:r>
        <w:rPr>
          <w:rFonts w:ascii="仿宋" w:eastAsia="仿宋" w:hAnsi="仿宋" w:cs="仿宋" w:hint="eastAsia"/>
        </w:rPr>
        <w:t xml:space="preserve"> 各基层医疗卫生机构坚持贯彻落实国家、省疫情防控联</w:t>
      </w:r>
    </w:p>
    <w:p w:rsidR="00996CBF" w:rsidRDefault="00D55FDC">
      <w:pPr>
        <w:spacing w:line="520" w:lineRule="atLeast"/>
        <w:rPr>
          <w:rFonts w:ascii="仿宋" w:eastAsia="仿宋" w:hAnsi="仿宋" w:cs="仿宋"/>
        </w:rPr>
      </w:pPr>
      <w:r>
        <w:rPr>
          <w:rFonts w:ascii="仿宋" w:eastAsia="仿宋" w:hAnsi="仿宋" w:cs="仿宋" w:hint="eastAsia"/>
        </w:rPr>
        <w:t>防联控机制工作要求，严格落实“外防输入、内防反弹”措施及“村报告、乡采样、县检测”工作制度。各基层医疗卫生机构切实做好医护人员培训，规范预检分诊及发热门诊建设，严格患者就诊工作，并做好疫情防控物质储备，充分发挥基层医疗机构在疫情防控工作中的哨点作用。</w:t>
      </w:r>
    </w:p>
    <w:p w:rsidR="00996CBF" w:rsidRDefault="00D55FDC">
      <w:pPr>
        <w:numPr>
          <w:ilvl w:val="0"/>
          <w:numId w:val="1"/>
        </w:numPr>
        <w:spacing w:line="520" w:lineRule="atLeast"/>
        <w:rPr>
          <w:rFonts w:ascii="仿宋" w:eastAsia="仿宋" w:hAnsi="仿宋" w:cs="仿宋"/>
          <w:b/>
          <w:bCs/>
        </w:rPr>
      </w:pPr>
      <w:r>
        <w:rPr>
          <w:rFonts w:ascii="仿宋" w:eastAsia="仿宋" w:hAnsi="仿宋" w:cs="仿宋" w:hint="eastAsia"/>
          <w:b/>
          <w:bCs/>
        </w:rPr>
        <w:t>推进电子健康档案向居民本人开放使用的进展情</w:t>
      </w:r>
    </w:p>
    <w:p w:rsidR="00996CBF" w:rsidRDefault="00D55FDC">
      <w:pPr>
        <w:spacing w:line="520" w:lineRule="atLeast"/>
        <w:rPr>
          <w:rFonts w:ascii="仿宋" w:eastAsia="仿宋" w:hAnsi="仿宋" w:cs="仿宋"/>
        </w:rPr>
      </w:pPr>
      <w:r>
        <w:rPr>
          <w:rFonts w:ascii="仿宋" w:eastAsia="仿宋" w:hAnsi="仿宋" w:cs="仿宋" w:hint="eastAsia"/>
          <w:b/>
          <w:bCs/>
        </w:rPr>
        <w:t>况。</w:t>
      </w:r>
      <w:r>
        <w:rPr>
          <w:rFonts w:ascii="仿宋" w:eastAsia="仿宋" w:hAnsi="仿宋" w:cs="仿宋" w:hint="eastAsia"/>
        </w:rPr>
        <w:t>截止2020年12月底，我县电子档案316152份，档案开放125898份，全县开放率39.82%。</w:t>
      </w:r>
    </w:p>
    <w:p w:rsidR="00996CBF" w:rsidRDefault="00D55FDC">
      <w:pPr>
        <w:spacing w:line="520" w:lineRule="atLeast"/>
        <w:ind w:firstLine="640"/>
        <w:rPr>
          <w:rFonts w:ascii="仿宋" w:eastAsia="仿宋" w:hAnsi="仿宋" w:cs="仿宋"/>
          <w:b/>
          <w:bCs/>
        </w:rPr>
      </w:pPr>
      <w:r>
        <w:rPr>
          <w:rFonts w:ascii="仿宋" w:eastAsia="仿宋" w:hAnsi="仿宋" w:cs="仿宋" w:hint="eastAsia"/>
          <w:b/>
          <w:bCs/>
        </w:rPr>
        <w:t>二、组织管理情况</w:t>
      </w:r>
    </w:p>
    <w:p w:rsidR="00996CBF" w:rsidRDefault="00D55FDC">
      <w:pPr>
        <w:spacing w:line="520" w:lineRule="atLeast"/>
        <w:ind w:firstLine="640"/>
        <w:rPr>
          <w:rFonts w:ascii="仿宋" w:eastAsia="仿宋" w:hAnsi="仿宋" w:cs="仿宋"/>
        </w:rPr>
      </w:pPr>
      <w:r>
        <w:rPr>
          <w:rFonts w:ascii="仿宋" w:eastAsia="仿宋" w:hAnsi="仿宋" w:cs="仿宋" w:hint="eastAsia"/>
          <w:b/>
          <w:bCs/>
        </w:rPr>
        <w:t>1、加强组织领导，落实工作职责。</w:t>
      </w:r>
      <w:r>
        <w:rPr>
          <w:rFonts w:ascii="仿宋" w:eastAsia="仿宋" w:hAnsi="仿宋" w:cs="仿宋" w:hint="eastAsia"/>
        </w:rPr>
        <w:t>为了加强基本公共卫生服务项目的领导，确保实现项目预期工作目标，我县成立了以局党委书记、局长为组长，县财政局、基层卫生健康股和各专业指导机构主要负责人参与的基本公共卫生服务项目工作领导小组，并与各项目实施单位签订了目标责任书，做到奖罚分明。各项目实施单位也相应成立了以乡政府分管领导为组长的领导小组，制定了切合实际的实施方案，安排了专门的办公场所，配备必要的设备设施。</w:t>
      </w:r>
    </w:p>
    <w:p w:rsidR="00996CBF" w:rsidRDefault="00D55FDC">
      <w:pPr>
        <w:spacing w:line="520" w:lineRule="atLeast"/>
        <w:ind w:firstLine="640"/>
        <w:rPr>
          <w:rFonts w:ascii="仿宋" w:eastAsia="仿宋" w:hAnsi="仿宋" w:cs="仿宋"/>
        </w:rPr>
      </w:pPr>
      <w:r>
        <w:rPr>
          <w:rFonts w:ascii="仿宋" w:eastAsia="仿宋" w:hAnsi="仿宋" w:cs="仿宋" w:hint="eastAsia"/>
          <w:b/>
          <w:bCs/>
        </w:rPr>
        <w:t>2、制定出台工作方案</w:t>
      </w:r>
      <w:r>
        <w:rPr>
          <w:rFonts w:ascii="仿宋" w:eastAsia="仿宋" w:hAnsi="仿宋" w:cs="仿宋" w:hint="eastAsia"/>
        </w:rPr>
        <w:t>。按照国家和省级关于2020年基本公共卫生服务项目工作要求，年初与县财政局联合下发了《芷江侗族自治县2020年基本公共卫生服务项目实施方案》</w:t>
      </w:r>
      <w:r>
        <w:rPr>
          <w:rFonts w:ascii="仿宋" w:eastAsia="仿宋" w:hAnsi="仿宋" w:cs="仿宋" w:hint="eastAsia"/>
        </w:rPr>
        <w:lastRenderedPageBreak/>
        <w:t>（芷卫发〔2020〕8号）。明确了服务内容为原12大类项目，新划入的重大公卫项目仍按照原有分工实施；突出工作重点，主要有基层慢性病融合项目、居民电子健康档案质量核查和动态管理；落实资金保障，加强资金监管；完善分工协作，形成工作合力；加强村级管理，落实村医待遇；落实基层减负，做好各项基础性工作</w:t>
      </w:r>
    </w:p>
    <w:p w:rsidR="00996CBF" w:rsidRDefault="00D55FDC">
      <w:pPr>
        <w:widowControl/>
        <w:spacing w:line="520" w:lineRule="atLeast"/>
        <w:ind w:firstLineChars="200" w:firstLine="643"/>
        <w:jc w:val="left"/>
        <w:rPr>
          <w:rFonts w:ascii="仿宋" w:eastAsia="仿宋" w:hAnsi="仿宋" w:cs="仿宋"/>
        </w:rPr>
      </w:pPr>
      <w:r>
        <w:rPr>
          <w:rFonts w:ascii="仿宋" w:eastAsia="仿宋" w:hAnsi="仿宋" w:cs="仿宋" w:hint="eastAsia"/>
          <w:b/>
          <w:bCs/>
        </w:rPr>
        <w:t>3、加强日常督导，严格开展考核。</w:t>
      </w:r>
      <w:r>
        <w:rPr>
          <w:rFonts w:ascii="仿宋" w:eastAsia="仿宋" w:hAnsi="仿宋" w:cs="仿宋" w:hint="eastAsia"/>
        </w:rPr>
        <w:t>基本公共卫生项目指导小组定期或不定期深入乡镇卫生院，以加强质量控制、强化质量管理为主要目标，切实履行对基层医疗卫生机构相应项目的督导和业务技术指导职能，确保服务数量得到落实，服务质量得到保证。</w:t>
      </w:r>
    </w:p>
    <w:p w:rsidR="00996CBF" w:rsidRDefault="00D55FDC">
      <w:pPr>
        <w:spacing w:line="520" w:lineRule="atLeast"/>
        <w:ind w:firstLineChars="200" w:firstLine="640"/>
        <w:rPr>
          <w:rFonts w:ascii="仿宋" w:eastAsia="仿宋" w:hAnsi="仿宋" w:cs="仿宋"/>
        </w:rPr>
      </w:pPr>
      <w:r>
        <w:rPr>
          <w:rFonts w:ascii="仿宋" w:eastAsia="仿宋" w:hAnsi="仿宋" w:cs="仿宋" w:hint="eastAsia"/>
        </w:rPr>
        <w:t>4、</w:t>
      </w:r>
      <w:r>
        <w:rPr>
          <w:rFonts w:ascii="仿宋" w:eastAsia="仿宋" w:hAnsi="仿宋" w:cs="仿宋" w:hint="eastAsia"/>
          <w:b/>
          <w:bCs/>
        </w:rPr>
        <w:t>扎实开展宣传活动</w:t>
      </w:r>
      <w:r>
        <w:rPr>
          <w:rFonts w:ascii="仿宋" w:eastAsia="仿宋" w:hAnsi="仿宋" w:cs="仿宋" w:hint="eastAsia"/>
        </w:rPr>
        <w:t>。为顺利实施完成服务项目，我们采取了多种形式营造宣传舆论氛围，使群众了解基本公共卫生服务内容，动员群众配合我们的工作。一是进村入户开展宣传；二是反复在县电视台播出滚动字幕，我县所有乡镇卫生院统一安装了电子显示屏用于宣传公示基本公共卫生服务项目内容，让群众接受公共卫生知识教育；三是各专业技术指导单位结合婚前健康检查和托幼园卫生防病等业务工作，主动为服务对象开展面对面的宣传；四是各基层医疗卫生单位成立公共卫生服务团队，结合进村入户建立居民健康档案，为村（居）民体检和重点人员随访等，开展相关知识的宣传。</w:t>
      </w:r>
    </w:p>
    <w:p w:rsidR="00996CBF" w:rsidRDefault="00D55FDC">
      <w:pPr>
        <w:widowControl/>
        <w:spacing w:line="520" w:lineRule="atLeast"/>
        <w:ind w:firstLineChars="200" w:firstLine="643"/>
        <w:jc w:val="left"/>
        <w:rPr>
          <w:rFonts w:ascii="仿宋" w:eastAsia="仿宋" w:hAnsi="仿宋" w:cs="仿宋"/>
          <w:b/>
          <w:kern w:val="0"/>
        </w:rPr>
      </w:pPr>
      <w:r>
        <w:rPr>
          <w:rFonts w:ascii="仿宋" w:eastAsia="仿宋" w:hAnsi="仿宋" w:cs="仿宋" w:hint="eastAsia"/>
          <w:b/>
          <w:kern w:val="0"/>
        </w:rPr>
        <w:t>5、加强项目培训</w:t>
      </w:r>
    </w:p>
    <w:p w:rsidR="00996CBF" w:rsidRDefault="00D55FDC">
      <w:pPr>
        <w:spacing w:line="520" w:lineRule="atLeast"/>
        <w:ind w:firstLineChars="200" w:firstLine="643"/>
        <w:rPr>
          <w:rFonts w:ascii="仿宋" w:eastAsia="仿宋" w:hAnsi="仿宋" w:cs="仿宋"/>
        </w:rPr>
      </w:pPr>
      <w:r>
        <w:rPr>
          <w:rFonts w:ascii="仿宋" w:eastAsia="仿宋" w:hAnsi="仿宋" w:cs="仿宋" w:hint="eastAsia"/>
          <w:b/>
          <w:bCs/>
        </w:rPr>
        <w:t>一是</w:t>
      </w:r>
      <w:r>
        <w:rPr>
          <w:rFonts w:ascii="仿宋" w:eastAsia="仿宋" w:hAnsi="仿宋" w:cs="仿宋" w:hint="eastAsia"/>
        </w:rPr>
        <w:t>组织统一培训。举办乡镇卫生院院长和公共卫生服务管理办公室负责人培训班，开展基本公共卫生政策、服务项目业务系统培训；</w:t>
      </w:r>
      <w:r>
        <w:rPr>
          <w:rFonts w:ascii="仿宋" w:eastAsia="仿宋" w:hAnsi="仿宋" w:cs="仿宋" w:hint="eastAsia"/>
          <w:b/>
          <w:bCs/>
        </w:rPr>
        <w:t>二是</w:t>
      </w:r>
      <w:r>
        <w:rPr>
          <w:rFonts w:ascii="仿宋" w:eastAsia="仿宋" w:hAnsi="仿宋" w:cs="仿宋" w:hint="eastAsia"/>
        </w:rPr>
        <w:t>各基层医疗机构的培训，即各乡镇卫生院组织本单位人员开展相关项目的培训，并利用村医例</w:t>
      </w:r>
      <w:r>
        <w:rPr>
          <w:rFonts w:ascii="仿宋" w:eastAsia="仿宋" w:hAnsi="仿宋" w:cs="仿宋" w:hint="eastAsia"/>
        </w:rPr>
        <w:lastRenderedPageBreak/>
        <w:t>会，采取以会代训的方式组织培训乡村医生；</w:t>
      </w:r>
      <w:r>
        <w:rPr>
          <w:rFonts w:ascii="仿宋" w:eastAsia="仿宋" w:hAnsi="仿宋" w:cs="仿宋" w:hint="eastAsia"/>
          <w:b/>
          <w:bCs/>
        </w:rPr>
        <w:t>三是</w:t>
      </w:r>
      <w:r>
        <w:rPr>
          <w:rFonts w:ascii="仿宋" w:eastAsia="仿宋" w:hAnsi="仿宋" w:cs="仿宋" w:hint="eastAsia"/>
        </w:rPr>
        <w:t>召开现场会；</w:t>
      </w:r>
      <w:r>
        <w:rPr>
          <w:rFonts w:ascii="仿宋" w:eastAsia="仿宋" w:hAnsi="仿宋" w:cs="仿宋" w:hint="eastAsia"/>
          <w:b/>
          <w:bCs/>
        </w:rPr>
        <w:t>四是</w:t>
      </w:r>
      <w:r>
        <w:rPr>
          <w:rFonts w:ascii="仿宋" w:eastAsia="仿宋" w:hAnsi="仿宋" w:cs="仿宋" w:hint="eastAsia"/>
        </w:rPr>
        <w:t>积极选送相关人员参加省、市传染病防治、预防接种和健康教育等各类培训班；五是公共卫生专业机构分类培训。2020年我县先后共举办建立居民健康档案、孕产妇保健、儿童保健、慢性病管理、重性精神病管理等项目培训班（会议）15次，主要针对县、乡镇公卫项目责任人、公卫专干、防疫专干、妇幼专干、乡村医生等人员，参加培训人员达800人次。通过培训让全县广大公卫人员和管理人员基本掌握了国家基本公共卫生服务的具体内容、目标、任务、工作规范和工作要求。</w:t>
      </w:r>
    </w:p>
    <w:p w:rsidR="00996CBF" w:rsidRDefault="00D55FDC">
      <w:pPr>
        <w:spacing w:line="520" w:lineRule="atLeast"/>
        <w:ind w:firstLineChars="200" w:firstLine="643"/>
        <w:rPr>
          <w:rFonts w:ascii="仿宋" w:eastAsia="仿宋" w:hAnsi="仿宋" w:cs="仿宋"/>
          <w:b/>
          <w:bCs/>
        </w:rPr>
      </w:pPr>
      <w:r>
        <w:rPr>
          <w:rFonts w:ascii="仿宋" w:eastAsia="仿宋" w:hAnsi="仿宋" w:cs="仿宋" w:hint="eastAsia"/>
          <w:b/>
          <w:bCs/>
        </w:rPr>
        <w:t>三、资金管理情况</w:t>
      </w:r>
    </w:p>
    <w:p w:rsidR="00996CBF" w:rsidRDefault="00D55FDC">
      <w:pPr>
        <w:spacing w:line="520" w:lineRule="atLeast"/>
        <w:ind w:firstLineChars="200" w:firstLine="643"/>
        <w:rPr>
          <w:rFonts w:ascii="仿宋" w:eastAsia="仿宋" w:hAnsi="仿宋" w:cs="仿宋"/>
        </w:rPr>
      </w:pPr>
      <w:r>
        <w:rPr>
          <w:rFonts w:ascii="仿宋" w:eastAsia="仿宋" w:hAnsi="仿宋" w:cs="仿宋" w:hint="eastAsia"/>
          <w:b/>
          <w:bCs/>
        </w:rPr>
        <w:t>（一）项目预算。</w:t>
      </w:r>
      <w:r>
        <w:rPr>
          <w:rFonts w:ascii="仿宋" w:eastAsia="仿宋" w:hAnsi="仿宋" w:cs="仿宋" w:hint="eastAsia"/>
        </w:rPr>
        <w:t>我县按照2020年度实际补助情况来进行预算安排，服务人口约353600人，补助为人均74元，共2616.64万元。</w:t>
      </w:r>
    </w:p>
    <w:p w:rsidR="00996CBF" w:rsidRDefault="00D55FDC">
      <w:pPr>
        <w:spacing w:line="520" w:lineRule="atLeast"/>
        <w:ind w:firstLineChars="200" w:firstLine="643"/>
        <w:rPr>
          <w:rFonts w:ascii="仿宋" w:eastAsia="仿宋" w:hAnsi="仿宋" w:cs="仿宋"/>
        </w:rPr>
      </w:pPr>
      <w:r>
        <w:rPr>
          <w:rFonts w:ascii="仿宋" w:eastAsia="仿宋" w:hAnsi="仿宋" w:cs="仿宋" w:hint="eastAsia"/>
          <w:b/>
          <w:bCs/>
        </w:rPr>
        <w:t>（二）预算执行情况。</w:t>
      </w:r>
      <w:r>
        <w:rPr>
          <w:rFonts w:ascii="仿宋" w:eastAsia="仿宋" w:hAnsi="仿宋" w:cs="仿宋" w:hint="eastAsia"/>
        </w:rPr>
        <w:t>2020年我县实际收到基本公共卫生服务项目资金2698.4万元，已达到人均76.31元/人/年。</w:t>
      </w:r>
    </w:p>
    <w:p w:rsidR="00996CBF" w:rsidRDefault="00D55FDC">
      <w:pPr>
        <w:spacing w:line="520" w:lineRule="atLeast"/>
        <w:rPr>
          <w:rFonts w:ascii="仿宋" w:eastAsia="仿宋" w:hAnsi="仿宋" w:cs="仿宋"/>
        </w:rPr>
      </w:pPr>
      <w:r>
        <w:rPr>
          <w:rFonts w:ascii="仿宋" w:eastAsia="仿宋" w:hAnsi="仿宋" w:cs="仿宋" w:hint="eastAsia"/>
        </w:rPr>
        <w:t>其中新增5元经费全部用于乡村基层医疗卫生机构开展新冠肺炎疫情防控。</w:t>
      </w:r>
    </w:p>
    <w:p w:rsidR="00996CBF" w:rsidRDefault="00D55FDC">
      <w:pPr>
        <w:numPr>
          <w:ilvl w:val="0"/>
          <w:numId w:val="2"/>
        </w:numPr>
        <w:spacing w:line="520" w:lineRule="atLeast"/>
        <w:ind w:firstLineChars="200" w:firstLine="643"/>
        <w:rPr>
          <w:rFonts w:ascii="仿宋" w:eastAsia="仿宋" w:hAnsi="仿宋" w:cs="仿宋"/>
        </w:rPr>
      </w:pPr>
      <w:r>
        <w:rPr>
          <w:rFonts w:ascii="仿宋" w:eastAsia="仿宋" w:hAnsi="仿宋" w:cs="仿宋" w:hint="eastAsia"/>
          <w:b/>
          <w:bCs/>
        </w:rPr>
        <w:t>财务管理</w:t>
      </w:r>
      <w:r>
        <w:rPr>
          <w:rFonts w:ascii="仿宋" w:eastAsia="仿宋" w:hAnsi="仿宋" w:cs="仿宋" w:hint="eastAsia"/>
        </w:rPr>
        <w:t>。为加强项目经费的管理，我局主要采取了：一是制定经费管理办法，联合县财政局下发了《芷江侗族自治县国家基本公共卫生服务项目资金核算及管理办法》在项目经费管理使用时坚持“突出难点、兼顾重点、统筹分配”和“做多少事给多少钱”的原则；二是实行专帐专户管理项目资金，确保项目资金专款专用，县会计核算中心集中管理核算，有效防止和杜绝了违规现象发生；三是建立既符合实际又兼顾公平的量化、数化、硬化的考核指标，严格绩</w:t>
      </w:r>
      <w:r>
        <w:rPr>
          <w:rFonts w:ascii="仿宋" w:eastAsia="仿宋" w:hAnsi="仿宋" w:cs="仿宋" w:hint="eastAsia"/>
        </w:rPr>
        <w:lastRenderedPageBreak/>
        <w:t>效考核，严格项目资金拨付程序，确保按项目实施进度和考核挂钩相结合的方式拨付基本公共卫生服务项目补助资金；四是加强检查督导，防止违规现象发生，县财政局、卫生局对项目实施单位的资金管理及使用情况进行检查督导。</w:t>
      </w:r>
    </w:p>
    <w:p w:rsidR="00996CBF" w:rsidRDefault="00D55FDC">
      <w:pPr>
        <w:spacing w:line="520" w:lineRule="atLeast"/>
        <w:ind w:firstLineChars="200" w:firstLine="643"/>
        <w:rPr>
          <w:rFonts w:ascii="仿宋" w:eastAsia="仿宋" w:hAnsi="仿宋" w:cs="仿宋"/>
          <w:b/>
          <w:bCs/>
        </w:rPr>
      </w:pPr>
      <w:r>
        <w:rPr>
          <w:rFonts w:ascii="仿宋" w:eastAsia="仿宋" w:hAnsi="仿宋" w:cs="仿宋" w:hint="eastAsia"/>
          <w:b/>
          <w:bCs/>
        </w:rPr>
        <w:t>四、绩效目标落实情况</w:t>
      </w:r>
    </w:p>
    <w:p w:rsidR="00996CBF" w:rsidRDefault="00D55FDC">
      <w:pPr>
        <w:spacing w:line="520" w:lineRule="atLeast"/>
        <w:ind w:firstLineChars="200" w:firstLine="643"/>
        <w:rPr>
          <w:rFonts w:ascii="仿宋" w:eastAsia="仿宋" w:hAnsi="仿宋" w:cs="仿宋"/>
          <w:b/>
          <w:bCs/>
          <w:color w:val="000000"/>
          <w:shd w:val="clear" w:color="auto" w:fill="FFFFFF"/>
        </w:rPr>
      </w:pPr>
      <w:r>
        <w:rPr>
          <w:rFonts w:ascii="仿宋" w:eastAsia="仿宋" w:hAnsi="仿宋" w:cs="仿宋" w:hint="eastAsia"/>
          <w:b/>
          <w:bCs/>
          <w:color w:val="000000"/>
          <w:shd w:val="clear" w:color="auto" w:fill="FFFFFF"/>
        </w:rPr>
        <w:t xml:space="preserve">（一）绩效考核结果 </w:t>
      </w:r>
    </w:p>
    <w:p w:rsidR="00996CBF" w:rsidRDefault="00D55FDC">
      <w:pPr>
        <w:spacing w:line="520" w:lineRule="atLeast"/>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一评价考核的目的、依据通过对基本公共卫生服务项目进展情况和实际效果进行考核，发现项目实施中存在的问题，提出解决问题的意见和建议，及时总结经验，规范项目管理，提高组织化程度，保证项目资金安全和发挥效益，促进医改惠民政策的有效落实。二考核方法和结果。</w:t>
      </w:r>
      <w:r>
        <w:rPr>
          <w:rFonts w:ascii="仿宋" w:eastAsia="仿宋" w:hAnsi="仿宋" w:cs="仿宋" w:hint="eastAsia"/>
        </w:rPr>
        <w:t>采用公卫3.0信息系统数据抽查、电话核实方式及现场查阅资料等方式</w:t>
      </w:r>
      <w:r>
        <w:rPr>
          <w:rFonts w:ascii="仿宋" w:eastAsia="仿宋" w:hAnsi="仿宋" w:cs="仿宋" w:hint="eastAsia"/>
          <w:color w:val="000000"/>
          <w:shd w:val="clear" w:color="auto" w:fill="FFFFFF"/>
        </w:rPr>
        <w:t>等多种方法，</w:t>
      </w:r>
      <w:r>
        <w:rPr>
          <w:rFonts w:ascii="仿宋" w:eastAsia="仿宋" w:hAnsi="仿宋" w:cs="仿宋" w:hint="eastAsia"/>
        </w:rPr>
        <w:t>对县第二人民医院及28家乡镇卫生院进行绩效评估并形成评估结论。三绩效考核结果的运用。综合成绩总分在前十名的用单项考核核算后扣除的经费总额共计70264元，按照相应名次给予奖励，设一等奖一名奖励16264元、二等奖三名各奖励8000元、三等奖六名各奖励5000元。</w:t>
      </w:r>
    </w:p>
    <w:p w:rsidR="00996CBF" w:rsidRDefault="00D55FDC">
      <w:pPr>
        <w:spacing w:line="520" w:lineRule="atLeast"/>
        <w:ind w:firstLineChars="200" w:firstLine="643"/>
        <w:rPr>
          <w:rFonts w:ascii="仿宋" w:eastAsia="仿宋" w:hAnsi="仿宋" w:cs="仿宋"/>
          <w:b/>
          <w:bCs/>
        </w:rPr>
      </w:pPr>
      <w:r>
        <w:rPr>
          <w:rFonts w:ascii="仿宋" w:eastAsia="仿宋" w:hAnsi="仿宋" w:cs="仿宋" w:hint="eastAsia"/>
          <w:b/>
          <w:bCs/>
        </w:rPr>
        <w:t>（二）项目产生的社会效益</w:t>
      </w:r>
    </w:p>
    <w:p w:rsidR="00996CBF" w:rsidRDefault="00D55FDC">
      <w:pPr>
        <w:spacing w:line="520" w:lineRule="atLeast"/>
        <w:ind w:firstLineChars="300" w:firstLine="960"/>
        <w:rPr>
          <w:rFonts w:ascii="仿宋" w:eastAsia="仿宋" w:hAnsi="仿宋" w:cs="仿宋"/>
          <w:bCs/>
        </w:rPr>
      </w:pPr>
      <w:r>
        <w:rPr>
          <w:rFonts w:ascii="仿宋" w:eastAsia="仿宋" w:hAnsi="仿宋" w:cs="仿宋" w:hint="eastAsia"/>
        </w:rPr>
        <w:t>通过实施国家基本公共卫生服务项目，促进了居民健康意识的提高，改变了不良的生活方式，逐步树立起自我健康管理的理念，减少了主要健康危险因素，有效预防和控制传染病及慢性病的流行和发生，提高公共卫生服务和突发公共卫生事件应急处置能力，建立起了维护居民健康的第一道屏障，对于提高居民健康素质有重要促进作用。</w:t>
      </w:r>
      <w:r>
        <w:rPr>
          <w:rFonts w:ascii="仿宋" w:eastAsia="仿宋" w:hAnsi="仿宋" w:cs="仿宋" w:hint="eastAsia"/>
          <w:bCs/>
        </w:rPr>
        <w:t>通过免费为老百姓进行体检，建立健康档案，让老百姓做到无病早防，有病早冶，增强了城乡居民的健康意识，提高了居民的健康</w:t>
      </w:r>
      <w:r>
        <w:rPr>
          <w:rFonts w:ascii="仿宋" w:eastAsia="仿宋" w:hAnsi="仿宋" w:cs="仿宋" w:hint="eastAsia"/>
          <w:bCs/>
        </w:rPr>
        <w:lastRenderedPageBreak/>
        <w:t>素质和水平。</w:t>
      </w:r>
      <w:r>
        <w:rPr>
          <w:rFonts w:ascii="仿宋" w:eastAsia="仿宋" w:hAnsi="仿宋" w:cs="仿宋" w:hint="eastAsia"/>
          <w:color w:val="000000"/>
          <w:shd w:val="clear" w:color="auto" w:fill="FFFFFF"/>
        </w:rPr>
        <w:t>服务满意度调查群众满意度为90%。</w:t>
      </w:r>
    </w:p>
    <w:p w:rsidR="00996CBF" w:rsidRDefault="00D55FDC">
      <w:pPr>
        <w:spacing w:line="520" w:lineRule="atLeast"/>
        <w:ind w:firstLineChars="300" w:firstLine="964"/>
        <w:rPr>
          <w:rFonts w:ascii="仿宋" w:eastAsia="仿宋" w:hAnsi="仿宋" w:cs="仿宋"/>
          <w:b/>
          <w:bCs/>
          <w:color w:val="000000"/>
        </w:rPr>
      </w:pPr>
      <w:r>
        <w:rPr>
          <w:rFonts w:ascii="仿宋" w:eastAsia="仿宋" w:hAnsi="仿宋" w:cs="仿宋" w:hint="eastAsia"/>
          <w:b/>
          <w:bCs/>
          <w:color w:val="000000"/>
        </w:rPr>
        <w:t>五、存在的主要困难与问题</w:t>
      </w:r>
    </w:p>
    <w:p w:rsidR="00996CBF" w:rsidRDefault="00D55FDC">
      <w:pPr>
        <w:widowControl/>
        <w:spacing w:line="520" w:lineRule="atLeast"/>
        <w:ind w:firstLineChars="300" w:firstLine="960"/>
        <w:jc w:val="left"/>
        <w:rPr>
          <w:rFonts w:ascii="仿宋" w:eastAsia="仿宋" w:hAnsi="仿宋" w:cs="仿宋"/>
        </w:rPr>
      </w:pPr>
      <w:r>
        <w:rPr>
          <w:rFonts w:ascii="仿宋" w:eastAsia="仿宋" w:hAnsi="仿宋" w:cs="仿宋" w:hint="eastAsia"/>
        </w:rPr>
        <w:t>我县基本公共卫生服务项目工作已有了一个良好的开端，但离国家和省、市的要求还存在一定差距：</w:t>
      </w:r>
      <w:r>
        <w:rPr>
          <w:rFonts w:ascii="仿宋" w:eastAsia="仿宋" w:hAnsi="仿宋" w:cs="仿宋" w:hint="eastAsia"/>
          <w:b/>
        </w:rPr>
        <w:t>一是</w:t>
      </w:r>
      <w:r>
        <w:rPr>
          <w:rFonts w:ascii="仿宋" w:eastAsia="仿宋" w:hAnsi="仿宋" w:cs="仿宋" w:hint="eastAsia"/>
        </w:rPr>
        <w:t>基层医疗卫生单位部份人员观念未能转变，存在重医疗轻公卫，被动服务，影响了工作的推进；</w:t>
      </w:r>
      <w:r>
        <w:rPr>
          <w:rFonts w:ascii="仿宋" w:eastAsia="仿宋" w:hAnsi="仿宋" w:cs="仿宋" w:hint="eastAsia"/>
          <w:b/>
        </w:rPr>
        <w:t>二是</w:t>
      </w:r>
      <w:r>
        <w:rPr>
          <w:rFonts w:ascii="仿宋" w:eastAsia="仿宋" w:hAnsi="仿宋" w:cs="仿宋" w:hint="eastAsia"/>
        </w:rPr>
        <w:t>基层医疗卫生单位卫技人员短缺，公共卫生人员严重不足，难以保证工作成效；</w:t>
      </w:r>
      <w:r>
        <w:rPr>
          <w:rFonts w:ascii="仿宋" w:eastAsia="仿宋" w:hAnsi="仿宋" w:cs="仿宋" w:hint="eastAsia"/>
          <w:b/>
        </w:rPr>
        <w:t>三是</w:t>
      </w:r>
      <w:r>
        <w:rPr>
          <w:rFonts w:ascii="仿宋" w:eastAsia="仿宋" w:hAnsi="仿宋" w:cs="仿宋" w:hint="eastAsia"/>
        </w:rPr>
        <w:t>有些项目指标要求过高，实际工作中难以达到；</w:t>
      </w:r>
      <w:r>
        <w:rPr>
          <w:rFonts w:ascii="仿宋" w:eastAsia="仿宋" w:hAnsi="仿宋" w:cs="仿宋" w:hint="eastAsia"/>
          <w:b/>
        </w:rPr>
        <w:t>四是部分</w:t>
      </w:r>
      <w:r>
        <w:rPr>
          <w:rFonts w:ascii="仿宋" w:eastAsia="仿宋" w:hAnsi="仿宋" w:cs="仿宋" w:hint="eastAsia"/>
        </w:rPr>
        <w:t>乡村医生的作用还不能充分发挥。</w:t>
      </w:r>
    </w:p>
    <w:p w:rsidR="00996CBF" w:rsidRDefault="00D55FDC">
      <w:pPr>
        <w:spacing w:line="520" w:lineRule="atLeast"/>
        <w:ind w:firstLineChars="200" w:firstLine="643"/>
        <w:rPr>
          <w:rFonts w:ascii="仿宋" w:eastAsia="仿宋" w:hAnsi="仿宋" w:cs="仿宋"/>
          <w:b/>
          <w:bCs/>
          <w:color w:val="000000"/>
        </w:rPr>
      </w:pPr>
      <w:r>
        <w:rPr>
          <w:rFonts w:ascii="仿宋" w:eastAsia="仿宋" w:hAnsi="仿宋" w:cs="仿宋" w:hint="eastAsia"/>
          <w:b/>
          <w:bCs/>
          <w:color w:val="000000"/>
        </w:rPr>
        <w:t>六、下一步工作打算</w:t>
      </w:r>
    </w:p>
    <w:p w:rsidR="00996CBF" w:rsidRDefault="00D55FDC">
      <w:pPr>
        <w:widowControl/>
        <w:spacing w:line="520" w:lineRule="atLeast"/>
        <w:ind w:firstLineChars="200" w:firstLine="640"/>
        <w:jc w:val="left"/>
        <w:rPr>
          <w:rFonts w:ascii="仿宋" w:eastAsia="仿宋" w:hAnsi="仿宋" w:cs="仿宋"/>
        </w:rPr>
      </w:pPr>
      <w:r>
        <w:rPr>
          <w:rFonts w:ascii="仿宋" w:eastAsia="仿宋" w:hAnsi="仿宋" w:cs="仿宋" w:hint="eastAsia"/>
        </w:rPr>
        <w:t>2020年我县的基本公共卫生项目工作虽然取得了一定成效，但与上级要求、与其他先进县市相比，还有一定差距，在实际工作中还存在不少问题，在今后的工作中，我们将进一步加大工作力度，在2020年项目工作的基础上，重点抓好以下几项工作：</w:t>
      </w:r>
      <w:r>
        <w:rPr>
          <w:rFonts w:ascii="仿宋" w:eastAsia="仿宋" w:hAnsi="仿宋" w:cs="仿宋" w:hint="eastAsia"/>
          <w:b/>
        </w:rPr>
        <w:t>一是</w:t>
      </w:r>
      <w:r>
        <w:rPr>
          <w:rFonts w:ascii="仿宋" w:eastAsia="仿宋" w:hAnsi="仿宋" w:cs="仿宋" w:hint="eastAsia"/>
        </w:rPr>
        <w:t>进一步加大组织保障力度。各基层医疗卫生单位要加强组织领导，切实解决基本公共卫生服务的人力、物力、财力保障；</w:t>
      </w:r>
      <w:r>
        <w:rPr>
          <w:rFonts w:ascii="仿宋" w:eastAsia="仿宋" w:hAnsi="仿宋" w:cs="仿宋" w:hint="eastAsia"/>
          <w:b/>
        </w:rPr>
        <w:t>二是</w:t>
      </w:r>
      <w:r>
        <w:rPr>
          <w:rFonts w:ascii="仿宋" w:eastAsia="仿宋" w:hAnsi="仿宋" w:cs="仿宋" w:hint="eastAsia"/>
        </w:rPr>
        <w:t>进一步加大宣传力度。广泛利用网络媒体、宣传栏等各种媒体深入宣传基本公共卫生服务相关政策和好的做法、经验，通过卓有成效的宣传，争取群众对基本公共卫生服务工作的支持和参与；</w:t>
      </w:r>
      <w:r>
        <w:rPr>
          <w:rFonts w:ascii="仿宋" w:eastAsia="仿宋" w:hAnsi="仿宋" w:cs="仿宋" w:hint="eastAsia"/>
          <w:b/>
        </w:rPr>
        <w:t>三是</w:t>
      </w:r>
      <w:r>
        <w:rPr>
          <w:rFonts w:ascii="仿宋" w:eastAsia="仿宋" w:hAnsi="仿宋" w:cs="仿宋" w:hint="eastAsia"/>
        </w:rPr>
        <w:t>进一步加大培训力度。全面开展新一轮基本公共卫生服务项目的相关业务培训，把所有项目的培训覆盖到全体基层卫技人员；</w:t>
      </w:r>
      <w:r>
        <w:rPr>
          <w:rFonts w:ascii="仿宋" w:eastAsia="仿宋" w:hAnsi="仿宋" w:cs="仿宋" w:hint="eastAsia"/>
          <w:b/>
        </w:rPr>
        <w:t>四是</w:t>
      </w:r>
      <w:r>
        <w:rPr>
          <w:rFonts w:ascii="仿宋" w:eastAsia="仿宋" w:hAnsi="仿宋" w:cs="仿宋" w:hint="eastAsia"/>
        </w:rPr>
        <w:t>进一步加大整改力度。针对2020年度考核存在的问题，制定整改计划、落实整改措施，不折不扣地完成基本公共卫生服务工作目标；</w:t>
      </w:r>
      <w:r>
        <w:rPr>
          <w:rFonts w:ascii="仿宋" w:eastAsia="仿宋" w:hAnsi="仿宋" w:cs="仿宋" w:hint="eastAsia"/>
          <w:b/>
        </w:rPr>
        <w:t>五是</w:t>
      </w:r>
      <w:r>
        <w:rPr>
          <w:rFonts w:ascii="仿宋" w:eastAsia="仿宋" w:hAnsi="仿宋" w:cs="仿宋" w:hint="eastAsia"/>
        </w:rPr>
        <w:t>进一步加大重点难点工作推进力度。加强各基层医疗卫生单位居民健康档案开放情况，基本公共卫生服</w:t>
      </w:r>
      <w:r>
        <w:rPr>
          <w:rFonts w:ascii="仿宋" w:eastAsia="仿宋" w:hAnsi="仿宋" w:cs="仿宋" w:hint="eastAsia"/>
        </w:rPr>
        <w:lastRenderedPageBreak/>
        <w:t>务项目知晓率，重点加强老年人保健、慢性病管理和严重精神障碍患者健康管理项目指导、检查和督导，及时掌握推进情况，分析存在的问题，加强分类指导，促进工作平衡发展。</w:t>
      </w:r>
    </w:p>
    <w:p w:rsidR="00996CBF" w:rsidRDefault="00996CBF">
      <w:pPr>
        <w:spacing w:line="520" w:lineRule="atLeast"/>
        <w:ind w:firstLineChars="200" w:firstLine="640"/>
        <w:rPr>
          <w:rFonts w:ascii="仿宋" w:eastAsia="仿宋" w:hAnsi="仿宋" w:cs="仿宋"/>
          <w:color w:val="000000"/>
        </w:rPr>
      </w:pPr>
    </w:p>
    <w:p w:rsidR="00996CBF" w:rsidRDefault="00D55FDC">
      <w:pPr>
        <w:spacing w:line="520" w:lineRule="atLeast"/>
        <w:rPr>
          <w:rFonts w:ascii="仿宋" w:eastAsia="仿宋" w:hAnsi="仿宋" w:cs="仿宋"/>
        </w:rPr>
      </w:pPr>
      <w:r>
        <w:rPr>
          <w:rFonts w:ascii="仿宋" w:eastAsia="仿宋" w:hAnsi="仿宋" w:cs="仿宋" w:hint="eastAsia"/>
        </w:rPr>
        <w:t xml:space="preserve">                           芷江侗族自治县卫生健康局</w:t>
      </w:r>
    </w:p>
    <w:p w:rsidR="00996CBF" w:rsidRDefault="00D55FDC">
      <w:pPr>
        <w:spacing w:line="520" w:lineRule="atLeast"/>
        <w:rPr>
          <w:rFonts w:ascii="仿宋" w:eastAsia="仿宋" w:hAnsi="仿宋" w:cs="仿宋"/>
        </w:rPr>
      </w:pPr>
      <w:r>
        <w:rPr>
          <w:rFonts w:ascii="仿宋" w:eastAsia="仿宋" w:hAnsi="仿宋" w:cs="仿宋" w:hint="eastAsia"/>
        </w:rPr>
        <w:t xml:space="preserve">      </w:t>
      </w:r>
      <w:r w:rsidR="00A3651F">
        <w:rPr>
          <w:rFonts w:ascii="仿宋" w:eastAsia="仿宋" w:hAnsi="仿宋" w:cs="仿宋" w:hint="eastAsia"/>
        </w:rPr>
        <w:t xml:space="preserve">                            2021年</w:t>
      </w:r>
      <w:r>
        <w:rPr>
          <w:rFonts w:ascii="仿宋" w:eastAsia="仿宋" w:hAnsi="仿宋" w:cs="仿宋" w:hint="eastAsia"/>
        </w:rPr>
        <w:t>4</w:t>
      </w:r>
      <w:r w:rsidR="00A3651F">
        <w:rPr>
          <w:rFonts w:ascii="仿宋" w:eastAsia="仿宋" w:hAnsi="仿宋" w:cs="仿宋" w:hint="eastAsia"/>
        </w:rPr>
        <w:t>月</w:t>
      </w:r>
      <w:r>
        <w:rPr>
          <w:rFonts w:ascii="仿宋" w:eastAsia="仿宋" w:hAnsi="仿宋" w:cs="仿宋" w:hint="eastAsia"/>
        </w:rPr>
        <w:t>1</w:t>
      </w:r>
      <w:r w:rsidR="00A3651F">
        <w:rPr>
          <w:rFonts w:ascii="仿宋" w:eastAsia="仿宋" w:hAnsi="仿宋" w:cs="仿宋" w:hint="eastAsia"/>
        </w:rPr>
        <w:t>日</w:t>
      </w:r>
    </w:p>
    <w:p w:rsidR="00996CBF" w:rsidRDefault="00996CBF">
      <w:bookmarkStart w:id="0" w:name="_GoBack"/>
      <w:bookmarkEnd w:id="0"/>
    </w:p>
    <w:p w:rsidR="001D7C24" w:rsidRDefault="001D7C24"/>
    <w:p w:rsidR="001D7C24" w:rsidRDefault="001D7C24"/>
    <w:p w:rsidR="00445DD5" w:rsidRDefault="00445DD5" w:rsidP="00445DD5">
      <w:pPr>
        <w:spacing w:line="600" w:lineRule="exact"/>
        <w:ind w:right="600"/>
        <w:rPr>
          <w:rFonts w:ascii="宋体" w:cs="仿宋_GB2312"/>
          <w:b/>
          <w:color w:val="000000"/>
          <w:kern w:val="0"/>
          <w:sz w:val="40"/>
          <w:szCs w:val="40"/>
        </w:rPr>
        <w:sectPr w:rsidR="00445DD5" w:rsidSect="00445DD5">
          <w:headerReference w:type="default" r:id="rId8"/>
          <w:footerReference w:type="even" r:id="rId9"/>
          <w:footerReference w:type="default" r:id="rId10"/>
          <w:pgSz w:w="11906" w:h="16838"/>
          <w:pgMar w:top="1610" w:right="1588" w:bottom="1440" w:left="1871" w:header="851" w:footer="992" w:gutter="0"/>
          <w:pgNumType w:fmt="numberInDash"/>
          <w:cols w:space="720"/>
          <w:docGrid w:type="lines" w:linePitch="435"/>
        </w:sectPr>
      </w:pPr>
    </w:p>
    <w:p w:rsidR="00BF00A2" w:rsidRDefault="00BF00A2" w:rsidP="00BF00A2">
      <w:pPr>
        <w:spacing w:line="600" w:lineRule="exact"/>
        <w:ind w:right="600"/>
        <w:jc w:val="center"/>
        <w:rPr>
          <w:rFonts w:ascii="宋体" w:cs="仿宋_GB2312"/>
          <w:b/>
          <w:color w:val="000000"/>
          <w:kern w:val="0"/>
          <w:sz w:val="44"/>
          <w:szCs w:val="44"/>
          <w:lang/>
        </w:rPr>
      </w:pPr>
      <w:r>
        <w:rPr>
          <w:rFonts w:ascii="宋体" w:cs="仿宋_GB2312" w:hint="eastAsia"/>
          <w:b/>
          <w:color w:val="000000"/>
          <w:kern w:val="0"/>
          <w:sz w:val="40"/>
          <w:szCs w:val="40"/>
          <w:lang/>
        </w:rPr>
        <w:lastRenderedPageBreak/>
        <w:t>芷江侗族自治县基本公共卫生服务项目补助资金绩效评价指标</w:t>
      </w:r>
    </w:p>
    <w:p w:rsidR="00BF00A2" w:rsidRDefault="00BF00A2" w:rsidP="00BF00A2">
      <w:pPr>
        <w:spacing w:line="600" w:lineRule="exact"/>
        <w:ind w:right="600"/>
        <w:rPr>
          <w:rFonts w:cs="仿宋_GB2312"/>
        </w:rPr>
      </w:pPr>
      <w:r>
        <w:rPr>
          <w:rFonts w:cs="仿宋_GB2312" w:hint="eastAsia"/>
          <w:color w:val="000000"/>
          <w:kern w:val="0"/>
          <w:lang/>
        </w:rPr>
        <w:t>填报单位：芷江侗族自治县卫生健康局</w:t>
      </w:r>
    </w:p>
    <w:tbl>
      <w:tblPr>
        <w:tblW w:w="14849" w:type="dxa"/>
        <w:tblInd w:w="-1" w:type="dxa"/>
        <w:tblLayout w:type="fixed"/>
        <w:tblCellMar>
          <w:top w:w="15" w:type="dxa"/>
          <w:left w:w="15" w:type="dxa"/>
          <w:bottom w:w="15" w:type="dxa"/>
          <w:right w:w="15" w:type="dxa"/>
        </w:tblCellMar>
        <w:tblLook w:val="04A0"/>
      </w:tblPr>
      <w:tblGrid>
        <w:gridCol w:w="565"/>
        <w:gridCol w:w="565"/>
        <w:gridCol w:w="551"/>
        <w:gridCol w:w="486"/>
        <w:gridCol w:w="1156"/>
        <w:gridCol w:w="533"/>
        <w:gridCol w:w="3318"/>
        <w:gridCol w:w="6625"/>
        <w:gridCol w:w="510"/>
        <w:gridCol w:w="540"/>
      </w:tblGrid>
      <w:tr w:rsidR="00BF00A2" w:rsidTr="00272772">
        <w:trPr>
          <w:trHeight w:val="581"/>
        </w:trPr>
        <w:tc>
          <w:tcPr>
            <w:tcW w:w="56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一级指标</w:t>
            </w:r>
          </w:p>
        </w:tc>
        <w:tc>
          <w:tcPr>
            <w:tcW w:w="56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分值</w:t>
            </w:r>
          </w:p>
        </w:tc>
        <w:tc>
          <w:tcPr>
            <w:tcW w:w="551"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二级指标</w:t>
            </w:r>
          </w:p>
        </w:tc>
        <w:tc>
          <w:tcPr>
            <w:tcW w:w="48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分值</w:t>
            </w:r>
          </w:p>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三级指标</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分值</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指标解释</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评价标准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szCs w:val="21"/>
              </w:rPr>
            </w:pPr>
            <w:r>
              <w:rPr>
                <w:rFonts w:ascii="宋体" w:cs="仿宋_GB2312" w:hint="eastAsia"/>
                <w:b/>
                <w:color w:val="000000"/>
                <w:kern w:val="0"/>
                <w:szCs w:val="21"/>
                <w:lang/>
              </w:rPr>
              <w:t>评分</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b/>
                <w:color w:val="000000"/>
                <w:kern w:val="0"/>
                <w:szCs w:val="21"/>
                <w:lang/>
              </w:rPr>
            </w:pPr>
            <w:r>
              <w:rPr>
                <w:rFonts w:ascii="宋体" w:cs="仿宋_GB2312" w:hint="eastAsia"/>
                <w:b/>
                <w:color w:val="000000"/>
                <w:kern w:val="0"/>
                <w:szCs w:val="21"/>
                <w:lang/>
              </w:rPr>
              <w:t>备注</w:t>
            </w:r>
          </w:p>
        </w:tc>
      </w:tr>
      <w:tr w:rsidR="00BF00A2" w:rsidTr="00272772">
        <w:trPr>
          <w:cantSplit/>
          <w:trHeight w:val="1110"/>
        </w:trPr>
        <w:tc>
          <w:tcPr>
            <w:tcW w:w="565" w:type="dxa"/>
            <w:vMerge w:val="restart"/>
            <w:tcBorders>
              <w:top w:val="single" w:sz="4" w:space="0" w:color="000000"/>
              <w:left w:val="single" w:sz="4" w:space="0" w:color="000000"/>
              <w:bottom w:val="nil"/>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投入</w:t>
            </w:r>
          </w:p>
        </w:tc>
        <w:tc>
          <w:tcPr>
            <w:tcW w:w="565" w:type="dxa"/>
            <w:vMerge w:val="restart"/>
            <w:tcBorders>
              <w:top w:val="single" w:sz="4" w:space="0" w:color="000000"/>
              <w:left w:val="single" w:sz="4" w:space="0" w:color="000000"/>
              <w:bottom w:val="nil"/>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20</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项目立项</w:t>
            </w:r>
            <w:r>
              <w:rPr>
                <w:rFonts w:ascii="宋体" w:cs="仿宋_GB2312"/>
                <w:noProof/>
                <w:color w:val="000000"/>
                <w:kern w:val="0"/>
                <w:szCs w:val="21"/>
              </w:rPr>
              <w:drawing>
                <wp:inline distT="0" distB="0" distL="114300" distR="114300">
                  <wp:extent cx="8255" cy="8255"/>
                  <wp:effectExtent l="0" t="0" r="0" b="0"/>
                  <wp:docPr id="9" name="图片 1"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hint="eastAsia"/>
                <w:color w:val="000000"/>
                <w:kern w:val="0"/>
                <w:szCs w:val="21"/>
                <w:lang/>
              </w:rPr>
              <w:t xml:space="preserve"> </w:t>
            </w:r>
            <w:r>
              <w:rPr>
                <w:rFonts w:ascii="宋体" w:cs="仿宋_GB2312"/>
                <w:noProof/>
                <w:color w:val="000000"/>
                <w:kern w:val="0"/>
                <w:szCs w:val="21"/>
              </w:rPr>
              <w:drawing>
                <wp:inline distT="0" distB="0" distL="114300" distR="114300">
                  <wp:extent cx="8255" cy="8255"/>
                  <wp:effectExtent l="0" t="0" r="0" b="0"/>
                  <wp:docPr id="10" name="图片 2"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11" name="图片 3"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12" name="图片 4"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13" name="图片 5"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14" name="图片 6"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15" name="图片 7"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16" name="图片 8"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5827982901596098452527.png"/>
                          <pic:cNvPicPr>
                            <a:picLocks noChangeAspect="1"/>
                          </pic:cNvPicPr>
                        </pic:nvPicPr>
                        <pic:blipFill>
                          <a:blip r:embed="rId11"/>
                          <a:stretch>
                            <a:fillRect/>
                          </a:stretch>
                        </pic:blipFill>
                        <pic:spPr>
                          <a:xfrm>
                            <a:off x="0" y="0"/>
                            <a:ext cx="8255" cy="8255"/>
                          </a:xfrm>
                          <a:prstGeom prst="rect">
                            <a:avLst/>
                          </a:prstGeom>
                          <a:noFill/>
                          <a:ln>
                            <a:noFill/>
                          </a:ln>
                        </pic:spPr>
                      </pic:pic>
                    </a:graphicData>
                  </a:graphic>
                </wp:inline>
              </w:drawing>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10</w:t>
            </w:r>
          </w:p>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项目立项规范性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3</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textAlignment w:val="center"/>
              <w:rPr>
                <w:rFonts w:ascii="宋体" w:cs="仿宋_GB2312"/>
                <w:color w:val="000000"/>
                <w:szCs w:val="21"/>
              </w:rPr>
            </w:pPr>
            <w:r>
              <w:rPr>
                <w:rFonts w:ascii="宋体" w:cs="仿宋_GB2312" w:hint="eastAsia"/>
                <w:color w:val="000000"/>
                <w:kern w:val="0"/>
                <w:szCs w:val="21"/>
                <w:lang/>
              </w:rPr>
              <w:t>项目的申请、设立过程是否符合相关要求，用以反映和考核项目立项的规范情况。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①项目按照规定的程序设立</w:t>
            </w:r>
            <w:r>
              <w:rPr>
                <w:rFonts w:ascii="宋体" w:cs="仿宋_GB2312" w:hint="eastAsia"/>
                <w:color w:val="000000"/>
                <w:kern w:val="0"/>
                <w:szCs w:val="21"/>
                <w:lang/>
              </w:rPr>
              <w:t>1</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②所提交的文件、材料是否符合相关要求记</w:t>
            </w:r>
            <w:r>
              <w:rPr>
                <w:rFonts w:ascii="宋体" w:cs="仿宋_GB2312" w:hint="eastAsia"/>
                <w:color w:val="000000"/>
                <w:kern w:val="0"/>
                <w:szCs w:val="21"/>
                <w:lang/>
              </w:rPr>
              <w:t>1</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③事前经过必要的可行性研究、专家论证、风险评估、集体决策等记</w:t>
            </w:r>
            <w:r>
              <w:rPr>
                <w:rFonts w:ascii="宋体" w:cs="仿宋_GB2312" w:hint="eastAsia"/>
                <w:color w:val="000000"/>
                <w:kern w:val="0"/>
                <w:szCs w:val="21"/>
                <w:lang/>
              </w:rPr>
              <w:t>1</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1035"/>
        </w:trPr>
        <w:tc>
          <w:tcPr>
            <w:tcW w:w="565" w:type="dxa"/>
            <w:vMerge/>
            <w:tcBorders>
              <w:top w:val="single" w:sz="4" w:space="0" w:color="000000"/>
              <w:left w:val="single" w:sz="4" w:space="0" w:color="000000"/>
              <w:bottom w:val="nil"/>
              <w:right w:val="single" w:sz="4" w:space="0" w:color="000000"/>
            </w:tcBorders>
            <w:vAlign w:val="center"/>
          </w:tcPr>
          <w:p w:rsidR="00BF00A2" w:rsidRDefault="00BF00A2" w:rsidP="00272772"/>
        </w:tc>
        <w:tc>
          <w:tcPr>
            <w:tcW w:w="565" w:type="dxa"/>
            <w:vMerge/>
            <w:tcBorders>
              <w:top w:val="single" w:sz="4" w:space="0" w:color="000000"/>
              <w:left w:val="single" w:sz="4" w:space="0" w:color="000000"/>
              <w:bottom w:val="nil"/>
              <w:right w:val="single" w:sz="4" w:space="0" w:color="000000"/>
            </w:tcBorders>
            <w:vAlign w:val="center"/>
          </w:tcPr>
          <w:p w:rsidR="00BF00A2" w:rsidRDefault="00BF00A2"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BF00A2" w:rsidRDefault="00BF00A2"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绩效目标合理性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textAlignment w:val="center"/>
              <w:rPr>
                <w:rFonts w:ascii="宋体" w:cs="仿宋_GB2312"/>
                <w:color w:val="000000"/>
                <w:szCs w:val="21"/>
              </w:rPr>
            </w:pPr>
            <w:r>
              <w:rPr>
                <w:rFonts w:ascii="宋体" w:cs="仿宋_GB2312" w:hint="eastAsia"/>
                <w:color w:val="000000"/>
                <w:kern w:val="0"/>
                <w:szCs w:val="21"/>
                <w:lang/>
              </w:rPr>
              <w:t>项目所设定的绩效目标是否依据充分，是否符合客观实际，用以反映和考核项目绩效目标与项目实施的相符情况。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①符合国家相关法律法规、国民经济发展规划和党委政府决策记</w:t>
            </w:r>
            <w:r>
              <w:rPr>
                <w:rFonts w:ascii="宋体" w:cs="仿宋_GB2312" w:hint="eastAsia"/>
                <w:color w:val="000000"/>
                <w:kern w:val="0"/>
                <w:szCs w:val="21"/>
                <w:lang/>
              </w:rPr>
              <w:t>1</w:t>
            </w:r>
            <w:r>
              <w:rPr>
                <w:rFonts w:ascii="宋体" w:cs="仿宋_GB2312" w:hint="eastAsia"/>
                <w:color w:val="000000"/>
                <w:kern w:val="0"/>
                <w:szCs w:val="21"/>
                <w:lang/>
              </w:rPr>
              <w:t>分，否则不记分；②与项目实施单位或委托单位职责密切相关记</w:t>
            </w:r>
            <w:r>
              <w:rPr>
                <w:rFonts w:ascii="宋体" w:cs="仿宋_GB2312" w:hint="eastAsia"/>
                <w:color w:val="000000"/>
                <w:kern w:val="0"/>
                <w:szCs w:val="21"/>
                <w:lang/>
              </w:rPr>
              <w:t>1</w:t>
            </w:r>
            <w:r>
              <w:rPr>
                <w:rFonts w:ascii="宋体" w:cs="仿宋_GB2312" w:hint="eastAsia"/>
                <w:color w:val="000000"/>
                <w:kern w:val="0"/>
                <w:szCs w:val="21"/>
                <w:lang/>
              </w:rPr>
              <w:t>分，否则不记分；③项目能促进事业发展所需要记</w:t>
            </w:r>
            <w:r>
              <w:rPr>
                <w:rFonts w:ascii="宋体" w:cs="仿宋_GB2312" w:hint="eastAsia"/>
                <w:color w:val="000000"/>
                <w:kern w:val="0"/>
                <w:szCs w:val="21"/>
                <w:lang/>
              </w:rPr>
              <w:t>1</w:t>
            </w:r>
            <w:r>
              <w:rPr>
                <w:rFonts w:ascii="宋体" w:cs="仿宋_GB2312" w:hint="eastAsia"/>
                <w:color w:val="000000"/>
                <w:kern w:val="0"/>
                <w:szCs w:val="21"/>
                <w:lang/>
              </w:rPr>
              <w:t>分，否则不记分；④项目预期产出效益和效果符合正常的业绩水平记</w:t>
            </w:r>
            <w:r>
              <w:rPr>
                <w:rFonts w:ascii="宋体" w:cs="仿宋_GB2312" w:hint="eastAsia"/>
                <w:color w:val="000000"/>
                <w:kern w:val="0"/>
                <w:szCs w:val="21"/>
                <w:lang/>
              </w:rPr>
              <w:t>1</w:t>
            </w:r>
            <w:r>
              <w:rPr>
                <w:rFonts w:ascii="宋体" w:cs="仿宋_GB2312" w:hint="eastAsia"/>
                <w:color w:val="000000"/>
                <w:kern w:val="0"/>
                <w:szCs w:val="21"/>
                <w:lang/>
              </w:rPr>
              <w:t>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1095"/>
        </w:trPr>
        <w:tc>
          <w:tcPr>
            <w:tcW w:w="565" w:type="dxa"/>
            <w:vMerge/>
            <w:tcBorders>
              <w:top w:val="single" w:sz="4" w:space="0" w:color="000000"/>
              <w:left w:val="single" w:sz="4" w:space="0" w:color="000000"/>
              <w:bottom w:val="nil"/>
              <w:right w:val="single" w:sz="4" w:space="0" w:color="000000"/>
            </w:tcBorders>
            <w:vAlign w:val="center"/>
          </w:tcPr>
          <w:p w:rsidR="00BF00A2" w:rsidRDefault="00BF00A2" w:rsidP="00272772"/>
        </w:tc>
        <w:tc>
          <w:tcPr>
            <w:tcW w:w="565" w:type="dxa"/>
            <w:vMerge/>
            <w:tcBorders>
              <w:top w:val="single" w:sz="4" w:space="0" w:color="000000"/>
              <w:left w:val="single" w:sz="4" w:space="0" w:color="000000"/>
              <w:bottom w:val="nil"/>
              <w:right w:val="single" w:sz="4" w:space="0" w:color="000000"/>
            </w:tcBorders>
            <w:vAlign w:val="center"/>
          </w:tcPr>
          <w:p w:rsidR="00BF00A2" w:rsidRDefault="00BF00A2" w:rsidP="00272772"/>
        </w:tc>
        <w:tc>
          <w:tcPr>
            <w:tcW w:w="551" w:type="dxa"/>
            <w:vMerge/>
            <w:tcBorders>
              <w:top w:val="single" w:sz="4" w:space="0" w:color="000000"/>
              <w:left w:val="single" w:sz="4" w:space="0" w:color="000000"/>
              <w:bottom w:val="single" w:sz="4" w:space="0" w:color="000000"/>
              <w:right w:val="single" w:sz="4" w:space="0" w:color="000000"/>
            </w:tcBorders>
            <w:vAlign w:val="center"/>
          </w:tcPr>
          <w:p w:rsidR="00BF00A2" w:rsidRDefault="00BF00A2" w:rsidP="00272772"/>
        </w:tc>
        <w:tc>
          <w:tcPr>
            <w:tcW w:w="486" w:type="dxa"/>
            <w:vMerge/>
            <w:tcBorders>
              <w:top w:val="single" w:sz="4" w:space="0" w:color="000000"/>
              <w:left w:val="single" w:sz="4" w:space="0" w:color="000000"/>
              <w:bottom w:val="single" w:sz="4" w:space="0" w:color="000000"/>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绩效指标明确性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3</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textAlignment w:val="center"/>
              <w:rPr>
                <w:rFonts w:ascii="宋体" w:cs="仿宋_GB2312"/>
                <w:color w:val="000000"/>
                <w:szCs w:val="21"/>
              </w:rPr>
            </w:pPr>
            <w:r>
              <w:rPr>
                <w:rFonts w:ascii="宋体" w:cs="仿宋_GB2312" w:hint="eastAsia"/>
                <w:color w:val="000000"/>
                <w:kern w:val="0"/>
                <w:szCs w:val="21"/>
                <w:lang/>
              </w:rPr>
              <w:t>依据绩效目标设定的绩效指标是否清晰、细化、可衡量等，用以反映和考核项目绩效目标的明细化情况。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①将项目绩效目标细化分解为具体的绩效指标记</w:t>
            </w:r>
            <w:r>
              <w:rPr>
                <w:rFonts w:ascii="宋体" w:cs="仿宋_GB2312" w:hint="eastAsia"/>
                <w:color w:val="000000"/>
                <w:kern w:val="0"/>
                <w:szCs w:val="21"/>
                <w:lang/>
              </w:rPr>
              <w:t>1</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②目标能通过清晰、可衡量的指标值予以体现记</w:t>
            </w:r>
            <w:r>
              <w:rPr>
                <w:rFonts w:ascii="宋体" w:cs="仿宋_GB2312" w:hint="eastAsia"/>
                <w:color w:val="000000"/>
                <w:kern w:val="0"/>
                <w:szCs w:val="21"/>
                <w:lang/>
              </w:rPr>
              <w:t>1</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③与项目年度任务数或计划数相对应记</w:t>
            </w:r>
            <w:r>
              <w:rPr>
                <w:rFonts w:ascii="宋体" w:cs="仿宋_GB2312" w:hint="eastAsia"/>
                <w:color w:val="000000"/>
                <w:kern w:val="0"/>
                <w:szCs w:val="21"/>
                <w:lang/>
              </w:rPr>
              <w:t>0.5</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④与预算确定的项目投资额或资金量相匹配记</w:t>
            </w:r>
            <w:r>
              <w:rPr>
                <w:rFonts w:ascii="宋体" w:cs="仿宋_GB2312" w:hint="eastAsia"/>
                <w:color w:val="000000"/>
                <w:kern w:val="0"/>
                <w:szCs w:val="21"/>
                <w:lang/>
              </w:rPr>
              <w:t>0.5</w:t>
            </w:r>
            <w:r>
              <w:rPr>
                <w:rFonts w:ascii="宋体" w:cs="仿宋_GB2312" w:hint="eastAsia"/>
                <w:color w:val="000000"/>
                <w:kern w:val="0"/>
                <w:szCs w:val="21"/>
                <w:lang/>
              </w:rPr>
              <w:t>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614"/>
        </w:trPr>
        <w:tc>
          <w:tcPr>
            <w:tcW w:w="565" w:type="dxa"/>
            <w:vMerge/>
            <w:tcBorders>
              <w:top w:val="single" w:sz="4" w:space="0" w:color="000000"/>
              <w:left w:val="single" w:sz="4" w:space="0" w:color="000000"/>
              <w:bottom w:val="nil"/>
              <w:right w:val="single" w:sz="4" w:space="0" w:color="000000"/>
            </w:tcBorders>
            <w:vAlign w:val="center"/>
          </w:tcPr>
          <w:p w:rsidR="00BF00A2" w:rsidRDefault="00BF00A2" w:rsidP="00272772"/>
        </w:tc>
        <w:tc>
          <w:tcPr>
            <w:tcW w:w="565" w:type="dxa"/>
            <w:vMerge/>
            <w:tcBorders>
              <w:top w:val="single" w:sz="4" w:space="0" w:color="000000"/>
              <w:left w:val="single" w:sz="4" w:space="0" w:color="000000"/>
              <w:bottom w:val="nil"/>
              <w:right w:val="single" w:sz="4" w:space="0" w:color="000000"/>
            </w:tcBorders>
            <w:vAlign w:val="center"/>
          </w:tcPr>
          <w:p w:rsidR="00BF00A2" w:rsidRDefault="00BF00A2" w:rsidP="00272772"/>
        </w:tc>
        <w:tc>
          <w:tcPr>
            <w:tcW w:w="551" w:type="dxa"/>
            <w:vMerge w:val="restart"/>
            <w:tcBorders>
              <w:top w:val="single" w:sz="4" w:space="0" w:color="000000"/>
              <w:left w:val="single" w:sz="4" w:space="0" w:color="000000"/>
              <w:bottom w:val="nil"/>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资金落实</w:t>
            </w:r>
          </w:p>
        </w:tc>
        <w:tc>
          <w:tcPr>
            <w:tcW w:w="486" w:type="dxa"/>
            <w:vMerge w:val="restart"/>
            <w:tcBorders>
              <w:top w:val="single" w:sz="4" w:space="0" w:color="000000"/>
              <w:left w:val="single" w:sz="4" w:space="0" w:color="000000"/>
              <w:bottom w:val="nil"/>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10</w:t>
            </w:r>
          </w:p>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资金到位率</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textAlignment w:val="center"/>
              <w:rPr>
                <w:rFonts w:ascii="宋体" w:cs="仿宋_GB2312"/>
                <w:color w:val="000000"/>
                <w:szCs w:val="21"/>
              </w:rPr>
            </w:pPr>
            <w:r>
              <w:rPr>
                <w:rFonts w:ascii="宋体" w:cs="仿宋_GB2312" w:hint="eastAsia"/>
                <w:color w:val="000000"/>
                <w:kern w:val="0"/>
                <w:szCs w:val="21"/>
                <w:lang/>
              </w:rPr>
              <w:t>资金到位率＝（实际到位资金</w:t>
            </w:r>
            <w:r>
              <w:rPr>
                <w:rFonts w:ascii="宋体" w:cs="仿宋_GB2312" w:hint="eastAsia"/>
                <w:color w:val="000000"/>
                <w:kern w:val="0"/>
                <w:szCs w:val="21"/>
                <w:lang/>
              </w:rPr>
              <w:t>/</w:t>
            </w:r>
            <w:r>
              <w:rPr>
                <w:rFonts w:ascii="宋体" w:cs="仿宋_GB2312" w:hint="eastAsia"/>
                <w:color w:val="000000"/>
                <w:kern w:val="0"/>
                <w:szCs w:val="21"/>
                <w:lang/>
              </w:rPr>
              <w:t>计划投入资金）×</w:t>
            </w:r>
            <w:r>
              <w:rPr>
                <w:rFonts w:ascii="宋体" w:cs="仿宋_GB2312" w:hint="eastAsia"/>
                <w:color w:val="000000"/>
                <w:kern w:val="0"/>
                <w:szCs w:val="21"/>
                <w:lang/>
              </w:rPr>
              <w:t>100%</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资金足额到位记</w:t>
            </w:r>
            <w:r>
              <w:rPr>
                <w:rFonts w:ascii="宋体" w:cs="仿宋_GB2312" w:hint="eastAsia"/>
                <w:color w:val="000000"/>
                <w:kern w:val="0"/>
                <w:szCs w:val="21"/>
                <w:lang/>
              </w:rPr>
              <w:t>5</w:t>
            </w:r>
            <w:r>
              <w:rPr>
                <w:rFonts w:ascii="宋体" w:cs="仿宋_GB2312" w:hint="eastAsia"/>
                <w:color w:val="000000"/>
                <w:kern w:val="0"/>
                <w:szCs w:val="21"/>
                <w:lang/>
              </w:rPr>
              <w:t>分，未足额到位按比例计分。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484"/>
        </w:trPr>
        <w:tc>
          <w:tcPr>
            <w:tcW w:w="565" w:type="dxa"/>
            <w:vMerge/>
            <w:tcBorders>
              <w:top w:val="single" w:sz="4" w:space="0" w:color="000000"/>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000000"/>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000000"/>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000000"/>
              <w:left w:val="single" w:sz="4" w:space="0" w:color="000000"/>
              <w:bottom w:val="single" w:sz="4" w:space="0" w:color="auto"/>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到位及时率</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textAlignment w:val="center"/>
              <w:rPr>
                <w:rFonts w:ascii="宋体" w:cs="仿宋_GB2312"/>
                <w:color w:val="000000"/>
                <w:szCs w:val="21"/>
              </w:rPr>
            </w:pPr>
            <w:r>
              <w:rPr>
                <w:rFonts w:ascii="宋体" w:cs="仿宋_GB2312" w:hint="eastAsia"/>
                <w:color w:val="000000"/>
                <w:kern w:val="0"/>
                <w:szCs w:val="21"/>
                <w:lang/>
              </w:rPr>
              <w:t>到位及时率＝（及时到位资金</w:t>
            </w:r>
            <w:r>
              <w:rPr>
                <w:rFonts w:ascii="宋体" w:cs="仿宋_GB2312" w:hint="eastAsia"/>
                <w:color w:val="000000"/>
                <w:kern w:val="0"/>
                <w:szCs w:val="21"/>
                <w:lang/>
              </w:rPr>
              <w:t>/</w:t>
            </w:r>
            <w:r>
              <w:rPr>
                <w:rFonts w:ascii="宋体" w:cs="仿宋_GB2312" w:hint="eastAsia"/>
                <w:color w:val="000000"/>
                <w:kern w:val="0"/>
                <w:szCs w:val="21"/>
                <w:lang/>
              </w:rPr>
              <w:t>应到位资金）×</w:t>
            </w:r>
            <w:r>
              <w:rPr>
                <w:rFonts w:ascii="宋体" w:cs="仿宋_GB2312" w:hint="eastAsia"/>
                <w:color w:val="000000"/>
                <w:kern w:val="0"/>
                <w:szCs w:val="21"/>
                <w:lang/>
              </w:rPr>
              <w:t>100%</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资金按时到位记</w:t>
            </w:r>
            <w:r>
              <w:rPr>
                <w:rFonts w:ascii="宋体" w:cs="仿宋_GB2312" w:hint="eastAsia"/>
                <w:color w:val="000000"/>
                <w:kern w:val="0"/>
                <w:szCs w:val="21"/>
                <w:lang/>
              </w:rPr>
              <w:t>5</w:t>
            </w:r>
            <w:r>
              <w:rPr>
                <w:rFonts w:ascii="宋体" w:cs="仿宋_GB2312" w:hint="eastAsia"/>
                <w:color w:val="000000"/>
                <w:kern w:val="0"/>
                <w:szCs w:val="21"/>
                <w:lang/>
              </w:rPr>
              <w:t>分，未按时按比例计分。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945"/>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过程</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30</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业务管理</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15</w:t>
            </w:r>
          </w:p>
        </w:tc>
        <w:tc>
          <w:tcPr>
            <w:tcW w:w="1156" w:type="dxa"/>
            <w:tcBorders>
              <w:top w:val="single" w:sz="4" w:space="0" w:color="000000"/>
              <w:left w:val="single" w:sz="4" w:space="0" w:color="auto"/>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管理制度健全性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textAlignment w:val="center"/>
              <w:rPr>
                <w:rFonts w:ascii="宋体" w:cs="仿宋_GB2312"/>
                <w:color w:val="000000"/>
                <w:szCs w:val="21"/>
              </w:rPr>
            </w:pPr>
            <w:r>
              <w:rPr>
                <w:rFonts w:ascii="宋体" w:cs="仿宋_GB2312" w:hint="eastAsia"/>
                <w:color w:val="000000"/>
                <w:kern w:val="0"/>
                <w:szCs w:val="21"/>
                <w:lang/>
              </w:rPr>
              <w:t>项目实施单位的业务管理制度是否健全，用以反映和考核业务管理制度对项目顺利实施的保障情况。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①已制定或具有相应的业务管理制度记</w:t>
            </w:r>
            <w:r>
              <w:rPr>
                <w:rFonts w:ascii="宋体" w:cs="仿宋_GB2312" w:hint="eastAsia"/>
                <w:color w:val="000000"/>
                <w:kern w:val="0"/>
                <w:szCs w:val="21"/>
                <w:lang/>
              </w:rPr>
              <w:t>2.5</w:t>
            </w:r>
            <w:r>
              <w:rPr>
                <w:rFonts w:ascii="宋体" w:cs="仿宋_GB2312" w:hint="eastAsia"/>
                <w:color w:val="000000"/>
                <w:kern w:val="0"/>
                <w:szCs w:val="21"/>
                <w:lang/>
              </w:rPr>
              <w:t>分，</w:t>
            </w:r>
            <w:r>
              <w:rPr>
                <w:rFonts w:ascii="宋体" w:cs="仿宋_GB2312" w:hint="eastAsia"/>
                <w:color w:val="000000"/>
                <w:kern w:val="0"/>
                <w:szCs w:val="21"/>
                <w:lang/>
              </w:rPr>
              <w:t xml:space="preserve"> </w:t>
            </w:r>
            <w:r>
              <w:rPr>
                <w:rFonts w:ascii="宋体" w:cs="仿宋_GB2312" w:hint="eastAsia"/>
                <w:color w:val="000000"/>
                <w:kern w:val="0"/>
                <w:szCs w:val="21"/>
                <w:lang/>
              </w:rPr>
              <w:t>不制定不记分；</w:t>
            </w:r>
            <w:r>
              <w:rPr>
                <w:rFonts w:ascii="宋体" w:cs="仿宋_GB2312" w:hint="eastAsia"/>
                <w:color w:val="000000"/>
                <w:kern w:val="0"/>
                <w:szCs w:val="21"/>
                <w:lang/>
              </w:rPr>
              <w:t xml:space="preserve">                                        </w:t>
            </w:r>
            <w:r>
              <w:rPr>
                <w:rFonts w:ascii="宋体" w:cs="仿宋_GB2312" w:hint="eastAsia"/>
                <w:color w:val="000000"/>
                <w:kern w:val="0"/>
                <w:szCs w:val="21"/>
                <w:lang/>
              </w:rPr>
              <w:t>②业务管理制度合法、合规、完整记</w:t>
            </w:r>
            <w:r>
              <w:rPr>
                <w:rFonts w:ascii="宋体" w:cs="仿宋_GB2312" w:hint="eastAsia"/>
                <w:color w:val="000000"/>
                <w:kern w:val="0"/>
                <w:szCs w:val="21"/>
                <w:lang/>
              </w:rPr>
              <w:t>2.5</w:t>
            </w:r>
            <w:r>
              <w:rPr>
                <w:rFonts w:ascii="宋体" w:cs="仿宋_GB2312" w:hint="eastAsia"/>
                <w:color w:val="000000"/>
                <w:kern w:val="0"/>
                <w:szCs w:val="21"/>
                <w:lang/>
              </w:rPr>
              <w:t>分；不合法、不合规、不完整不记分。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869"/>
        </w:trPr>
        <w:tc>
          <w:tcPr>
            <w:tcW w:w="565" w:type="dxa"/>
            <w:vMerge/>
            <w:tcBorders>
              <w:top w:val="single" w:sz="4" w:space="0" w:color="auto"/>
              <w:left w:val="single" w:sz="4" w:space="0" w:color="auto"/>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auto"/>
            </w:tcBorders>
            <w:vAlign w:val="center"/>
          </w:tcPr>
          <w:p w:rsidR="00BF00A2" w:rsidRDefault="00BF00A2" w:rsidP="00272772"/>
        </w:tc>
        <w:tc>
          <w:tcPr>
            <w:tcW w:w="1156" w:type="dxa"/>
            <w:tcBorders>
              <w:top w:val="single" w:sz="4" w:space="0" w:color="000000"/>
              <w:left w:val="single" w:sz="4" w:space="0" w:color="auto"/>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制度执行有效性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项目实施是否符合相关业务管理规定，用以反映和考核业务管理制度的有效执行情况。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遵守相关法律法规和业务管理规定记</w:t>
            </w:r>
            <w:r>
              <w:rPr>
                <w:rFonts w:ascii="宋体" w:cs="仿宋_GB2312" w:hint="eastAsia"/>
                <w:color w:val="000000"/>
                <w:kern w:val="0"/>
                <w:szCs w:val="21"/>
                <w:lang/>
              </w:rPr>
              <w:t>5</w:t>
            </w:r>
            <w:r>
              <w:rPr>
                <w:rFonts w:ascii="宋体" w:cs="仿宋_GB2312" w:hint="eastAsia"/>
                <w:color w:val="000000"/>
                <w:kern w:val="0"/>
                <w:szCs w:val="21"/>
                <w:lang/>
              </w:rPr>
              <w:t>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1170"/>
        </w:trPr>
        <w:tc>
          <w:tcPr>
            <w:tcW w:w="565" w:type="dxa"/>
            <w:vMerge/>
            <w:tcBorders>
              <w:top w:val="single" w:sz="4" w:space="0" w:color="auto"/>
              <w:left w:val="single" w:sz="4" w:space="0" w:color="auto"/>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auto"/>
            </w:tcBorders>
            <w:vAlign w:val="center"/>
          </w:tcPr>
          <w:p w:rsidR="00BF00A2" w:rsidRDefault="00BF00A2" w:rsidP="00272772"/>
        </w:tc>
        <w:tc>
          <w:tcPr>
            <w:tcW w:w="1156" w:type="dxa"/>
            <w:tcBorders>
              <w:top w:val="single" w:sz="4" w:space="0" w:color="000000"/>
              <w:left w:val="single" w:sz="4" w:space="0" w:color="auto"/>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项目质量可控性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项目实施至位是否为达到项目质量要求而采取了必需的措施，用以反映和考核项目实施单位对项目质量的控制情况。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①制定或有相应的项目质量要求或标准记</w:t>
            </w:r>
            <w:r>
              <w:rPr>
                <w:rFonts w:ascii="宋体" w:cs="仿宋_GB2312" w:hint="eastAsia"/>
                <w:color w:val="000000"/>
                <w:kern w:val="0"/>
                <w:szCs w:val="21"/>
                <w:lang/>
              </w:rPr>
              <w:t>2.5</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②采取了相应的项目质量检查、验收等必需的控制措施或手段记</w:t>
            </w:r>
            <w:r>
              <w:rPr>
                <w:rFonts w:ascii="宋体" w:cs="仿宋_GB2312" w:hint="eastAsia"/>
                <w:color w:val="000000"/>
                <w:kern w:val="0"/>
                <w:szCs w:val="21"/>
                <w:lang/>
              </w:rPr>
              <w:t>2.5</w:t>
            </w:r>
            <w:r>
              <w:rPr>
                <w:rFonts w:ascii="宋体" w:cs="仿宋_GB2312" w:hint="eastAsia"/>
                <w:color w:val="000000"/>
                <w:kern w:val="0"/>
                <w:szCs w:val="21"/>
                <w:lang/>
              </w:rPr>
              <w:t>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915"/>
        </w:trPr>
        <w:tc>
          <w:tcPr>
            <w:tcW w:w="565" w:type="dxa"/>
            <w:vMerge/>
            <w:tcBorders>
              <w:top w:val="single" w:sz="4" w:space="0" w:color="auto"/>
              <w:left w:val="single" w:sz="4" w:space="0" w:color="auto"/>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财务管理</w:t>
            </w:r>
          </w:p>
        </w:tc>
        <w:tc>
          <w:tcPr>
            <w:tcW w:w="486"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15</w:t>
            </w:r>
          </w:p>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管理制度健全性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项目实施单位的财务制度是否健全，用以反映和考核财务管理制度对资金规范、安全运行的保障情况。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①已制定或具有相应的项目资金管理办法记</w:t>
            </w:r>
            <w:r>
              <w:rPr>
                <w:rFonts w:ascii="宋体" w:cs="仿宋_GB2312" w:hint="eastAsia"/>
                <w:color w:val="000000"/>
                <w:kern w:val="0"/>
                <w:szCs w:val="21"/>
                <w:lang/>
              </w:rPr>
              <w:t>2.5</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②项目资金管理办法符合相关财务会计制定记</w:t>
            </w:r>
            <w:r>
              <w:rPr>
                <w:rFonts w:ascii="宋体" w:cs="仿宋_GB2312" w:hint="eastAsia"/>
                <w:color w:val="000000"/>
                <w:kern w:val="0"/>
                <w:szCs w:val="21"/>
                <w:lang/>
              </w:rPr>
              <w:t>2.5</w:t>
            </w:r>
            <w:r>
              <w:rPr>
                <w:rFonts w:ascii="宋体" w:cs="仿宋_GB2312" w:hint="eastAsia"/>
                <w:color w:val="000000"/>
                <w:kern w:val="0"/>
                <w:szCs w:val="21"/>
                <w:lang/>
              </w:rPr>
              <w:t>分，否则不记分。</w:t>
            </w:r>
          </w:p>
        </w:tc>
        <w:tc>
          <w:tcPr>
            <w:tcW w:w="510" w:type="dxa"/>
            <w:tcBorders>
              <w:top w:val="single" w:sz="4" w:space="0" w:color="000000"/>
              <w:left w:val="nil"/>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nil"/>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1695"/>
        </w:trPr>
        <w:tc>
          <w:tcPr>
            <w:tcW w:w="565" w:type="dxa"/>
            <w:vMerge/>
            <w:tcBorders>
              <w:top w:val="single" w:sz="4" w:space="0" w:color="auto"/>
              <w:left w:val="single" w:sz="4" w:space="0" w:color="auto"/>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资金使用合规性</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项目资金使用是否符合相关的财务管理制度规定，用以反映和考核项目资金的规范运行情况。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①符合国家财经法规和财务管理制度以及有关专项资金管理办法的规定记</w:t>
            </w:r>
            <w:r>
              <w:rPr>
                <w:rFonts w:ascii="宋体" w:cs="仿宋_GB2312" w:hint="eastAsia"/>
                <w:color w:val="000000"/>
                <w:kern w:val="0"/>
                <w:szCs w:val="21"/>
                <w:lang/>
              </w:rPr>
              <w:t>1</w:t>
            </w:r>
            <w:r>
              <w:rPr>
                <w:rFonts w:ascii="宋体" w:cs="仿宋_GB2312" w:hint="eastAsia"/>
                <w:color w:val="000000"/>
                <w:kern w:val="0"/>
                <w:szCs w:val="21"/>
                <w:lang/>
              </w:rPr>
              <w:t>分</w:t>
            </w:r>
            <w:r>
              <w:rPr>
                <w:rFonts w:ascii="宋体" w:cs="仿宋_GB2312" w:hint="eastAsia"/>
                <w:color w:val="000000"/>
                <w:kern w:val="0"/>
                <w:szCs w:val="21"/>
                <w:lang/>
              </w:rPr>
              <w:t>,</w:t>
            </w:r>
            <w:r>
              <w:rPr>
                <w:rFonts w:ascii="宋体" w:cs="仿宋_GB2312" w:hint="eastAsia"/>
                <w:color w:val="000000"/>
                <w:kern w:val="0"/>
                <w:szCs w:val="21"/>
                <w:lang/>
              </w:rPr>
              <w:t>否则不记分；</w:t>
            </w:r>
            <w:r>
              <w:rPr>
                <w:rFonts w:ascii="宋体" w:cs="仿宋_GB2312" w:hint="eastAsia"/>
                <w:color w:val="000000"/>
                <w:kern w:val="0"/>
                <w:szCs w:val="21"/>
                <w:lang/>
              </w:rPr>
              <w:t xml:space="preserve">                                                           </w:t>
            </w:r>
            <w:r>
              <w:rPr>
                <w:rFonts w:ascii="宋体" w:cs="仿宋_GB2312" w:hint="eastAsia"/>
                <w:color w:val="000000"/>
                <w:kern w:val="0"/>
                <w:szCs w:val="21"/>
                <w:lang/>
              </w:rPr>
              <w:t>②资金的拨付有完整的审批程序和手续记</w:t>
            </w:r>
            <w:r>
              <w:rPr>
                <w:rFonts w:ascii="宋体" w:cs="仿宋_GB2312" w:hint="eastAsia"/>
                <w:color w:val="000000"/>
                <w:kern w:val="0"/>
                <w:szCs w:val="21"/>
                <w:lang/>
              </w:rPr>
              <w:t>1</w:t>
            </w:r>
            <w:r>
              <w:rPr>
                <w:rFonts w:ascii="宋体" w:cs="仿宋_GB2312" w:hint="eastAsia"/>
                <w:color w:val="000000"/>
                <w:kern w:val="0"/>
                <w:szCs w:val="21"/>
                <w:lang/>
              </w:rPr>
              <w:t>分</w:t>
            </w:r>
            <w:r>
              <w:rPr>
                <w:rFonts w:ascii="宋体" w:cs="仿宋_GB2312" w:hint="eastAsia"/>
                <w:color w:val="000000"/>
                <w:kern w:val="0"/>
                <w:szCs w:val="21"/>
                <w:lang/>
              </w:rPr>
              <w:t>,</w:t>
            </w:r>
            <w:r>
              <w:rPr>
                <w:rFonts w:ascii="宋体" w:cs="仿宋_GB2312" w:hint="eastAsia"/>
                <w:color w:val="000000"/>
                <w:kern w:val="0"/>
                <w:szCs w:val="21"/>
                <w:lang/>
              </w:rPr>
              <w:t>否则不记分；</w:t>
            </w:r>
            <w:r>
              <w:rPr>
                <w:rFonts w:ascii="宋体" w:cs="仿宋_GB2312" w:hint="eastAsia"/>
                <w:color w:val="000000"/>
                <w:kern w:val="0"/>
                <w:szCs w:val="21"/>
                <w:lang/>
              </w:rPr>
              <w:t xml:space="preserve">                                              </w:t>
            </w:r>
            <w:r>
              <w:rPr>
                <w:rFonts w:ascii="宋体" w:cs="仿宋_GB2312" w:hint="eastAsia"/>
                <w:color w:val="000000"/>
                <w:kern w:val="0"/>
                <w:szCs w:val="21"/>
                <w:lang/>
              </w:rPr>
              <w:t>③是否存在支出依据不合规、虚列项目支出的情况；是否存在截留、挤占、挪用项目资金情况；是否存在超标准开支情况</w:t>
            </w:r>
            <w:r>
              <w:rPr>
                <w:rFonts w:ascii="宋体" w:cs="仿宋_GB2312" w:hint="eastAsia"/>
                <w:color w:val="000000"/>
                <w:kern w:val="0"/>
                <w:szCs w:val="21"/>
                <w:lang/>
              </w:rPr>
              <w:t>;</w:t>
            </w:r>
            <w:r>
              <w:rPr>
                <w:rFonts w:ascii="宋体" w:cs="仿宋_GB2312" w:hint="eastAsia"/>
                <w:color w:val="000000"/>
                <w:kern w:val="0"/>
                <w:szCs w:val="21"/>
                <w:lang/>
              </w:rPr>
              <w:t>资金管理、费用支出等制度是否健全，是否严格执行；会计核算是否规范</w:t>
            </w:r>
            <w:r>
              <w:rPr>
                <w:rFonts w:ascii="宋体" w:cs="仿宋_GB2312" w:hint="eastAsia"/>
                <w:color w:val="000000"/>
                <w:kern w:val="0"/>
                <w:szCs w:val="21"/>
                <w:lang/>
              </w:rPr>
              <w:t>(3</w:t>
            </w:r>
            <w:r>
              <w:rPr>
                <w:rFonts w:ascii="宋体" w:cs="仿宋_GB2312" w:hint="eastAsia"/>
                <w:color w:val="000000"/>
                <w:kern w:val="0"/>
                <w:szCs w:val="21"/>
                <w:lang/>
              </w:rPr>
              <w:t>分）</w:t>
            </w:r>
          </w:p>
        </w:tc>
        <w:tc>
          <w:tcPr>
            <w:tcW w:w="510" w:type="dxa"/>
            <w:tcBorders>
              <w:top w:val="nil"/>
              <w:left w:val="nil"/>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nil"/>
              <w:left w:val="nil"/>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1144"/>
        </w:trPr>
        <w:tc>
          <w:tcPr>
            <w:tcW w:w="565" w:type="dxa"/>
            <w:vMerge/>
            <w:tcBorders>
              <w:top w:val="single" w:sz="4" w:space="0" w:color="auto"/>
              <w:left w:val="single" w:sz="4" w:space="0" w:color="auto"/>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auto"/>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财务监控有效性</w:t>
            </w:r>
          </w:p>
        </w:tc>
        <w:tc>
          <w:tcPr>
            <w:tcW w:w="533" w:type="dxa"/>
            <w:tcBorders>
              <w:top w:val="single" w:sz="4" w:space="0" w:color="000000"/>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项目单位是否为保障资金的安全、规范运行而采取了必要的监控措施，用以反映和考核项目单位对资金运行的控制情况。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①已制定或具有相应的监控机制记</w:t>
            </w:r>
            <w:r>
              <w:rPr>
                <w:rFonts w:ascii="宋体" w:cs="仿宋_GB2312" w:hint="eastAsia"/>
                <w:color w:val="000000"/>
                <w:kern w:val="0"/>
                <w:szCs w:val="21"/>
                <w:lang/>
              </w:rPr>
              <w:t>2.5</w:t>
            </w:r>
            <w:r>
              <w:rPr>
                <w:rFonts w:ascii="宋体" w:cs="仿宋_GB2312" w:hint="eastAsia"/>
                <w:color w:val="000000"/>
                <w:kern w:val="0"/>
                <w:szCs w:val="21"/>
                <w:lang/>
              </w:rPr>
              <w:t>分，否则不记分；</w:t>
            </w:r>
            <w:r>
              <w:rPr>
                <w:rFonts w:ascii="宋体" w:cs="仿宋_GB2312" w:hint="eastAsia"/>
                <w:color w:val="000000"/>
                <w:kern w:val="0"/>
                <w:szCs w:val="21"/>
                <w:lang/>
              </w:rPr>
              <w:t xml:space="preserve">                                       </w:t>
            </w:r>
            <w:r>
              <w:rPr>
                <w:rFonts w:ascii="宋体" w:cs="仿宋_GB2312" w:hint="eastAsia"/>
                <w:color w:val="000000"/>
                <w:kern w:val="0"/>
                <w:szCs w:val="21"/>
                <w:lang/>
              </w:rPr>
              <w:t>②采取了相应的财务检查等必要的监控措施或手段记</w:t>
            </w:r>
            <w:r>
              <w:rPr>
                <w:rFonts w:ascii="宋体" w:cs="仿宋_GB2312" w:hint="eastAsia"/>
                <w:color w:val="000000"/>
                <w:kern w:val="0"/>
                <w:szCs w:val="21"/>
                <w:lang/>
              </w:rPr>
              <w:t>2.5</w:t>
            </w:r>
            <w:r>
              <w:rPr>
                <w:rFonts w:ascii="宋体" w:cs="仿宋_GB2312" w:hint="eastAsia"/>
                <w:color w:val="000000"/>
                <w:kern w:val="0"/>
                <w:szCs w:val="21"/>
                <w:lang/>
              </w:rPr>
              <w:t>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336"/>
        </w:trPr>
        <w:tc>
          <w:tcPr>
            <w:tcW w:w="565"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产出</w:t>
            </w:r>
          </w:p>
        </w:tc>
        <w:tc>
          <w:tcPr>
            <w:tcW w:w="565"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24</w:t>
            </w:r>
          </w:p>
        </w:tc>
        <w:tc>
          <w:tcPr>
            <w:tcW w:w="551" w:type="dxa"/>
            <w:vMerge w:val="restart"/>
            <w:tcBorders>
              <w:top w:val="single" w:sz="4" w:space="0" w:color="auto"/>
              <w:left w:val="single" w:sz="4" w:space="0" w:color="000000"/>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项目产</w:t>
            </w:r>
            <w:r>
              <w:rPr>
                <w:rFonts w:ascii="宋体" w:cs="仿宋_GB2312" w:hint="eastAsia"/>
                <w:color w:val="000000"/>
                <w:kern w:val="0"/>
                <w:szCs w:val="21"/>
                <w:lang/>
              </w:rPr>
              <w:lastRenderedPageBreak/>
              <w:t>出</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lastRenderedPageBreak/>
              <w:t>24</w:t>
            </w:r>
          </w:p>
        </w:tc>
        <w:tc>
          <w:tcPr>
            <w:tcW w:w="1156"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公卫资金补偿率</w:t>
            </w:r>
          </w:p>
        </w:tc>
        <w:tc>
          <w:tcPr>
            <w:tcW w:w="533"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auto"/>
              <w:bottom w:val="single" w:sz="4" w:space="0" w:color="000000"/>
              <w:right w:val="single" w:sz="4" w:space="0" w:color="000000"/>
            </w:tcBorders>
            <w:vAlign w:val="center"/>
          </w:tcPr>
          <w:p w:rsidR="00BF00A2" w:rsidRDefault="00BF00A2" w:rsidP="00272772">
            <w:pPr>
              <w:jc w:val="left"/>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达到绩效目标得</w:t>
            </w:r>
            <w:r>
              <w:rPr>
                <w:rFonts w:ascii="宋体" w:cs="仿宋_GB2312" w:hint="eastAsia"/>
                <w:color w:val="000000"/>
                <w:kern w:val="0"/>
                <w:szCs w:val="21"/>
                <w:lang/>
              </w:rPr>
              <w:t>5</w:t>
            </w:r>
            <w:r>
              <w:rPr>
                <w:rFonts w:ascii="宋体" w:cs="仿宋_GB2312" w:hint="eastAsia"/>
                <w:color w:val="000000"/>
                <w:kern w:val="0"/>
                <w:szCs w:val="21"/>
                <w:lang/>
              </w:rPr>
              <w:t>分，没达到目标每减少一个百分点扣</w:t>
            </w:r>
            <w:r>
              <w:rPr>
                <w:rFonts w:ascii="宋体" w:cs="仿宋_GB2312" w:hint="eastAsia"/>
                <w:color w:val="000000"/>
                <w:kern w:val="0"/>
                <w:szCs w:val="21"/>
                <w:lang/>
              </w:rPr>
              <w:t>0.1</w:t>
            </w:r>
            <w:r>
              <w:rPr>
                <w:rFonts w:ascii="宋体" w:cs="仿宋_GB2312" w:hint="eastAsia"/>
                <w:color w:val="000000"/>
                <w:kern w:val="0"/>
                <w:szCs w:val="21"/>
                <w:lang/>
              </w:rPr>
              <w:t>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380"/>
        </w:trPr>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auto"/>
            </w:tcBorders>
            <w:vAlign w:val="center"/>
          </w:tcPr>
          <w:p w:rsidR="00BF00A2" w:rsidRDefault="00BF00A2" w:rsidP="00272772"/>
        </w:tc>
        <w:tc>
          <w:tcPr>
            <w:tcW w:w="486" w:type="dxa"/>
            <w:vMerge/>
            <w:tcBorders>
              <w:top w:val="single" w:sz="4" w:space="0" w:color="auto"/>
              <w:left w:val="single" w:sz="4" w:space="0" w:color="auto"/>
              <w:bottom w:val="single" w:sz="4" w:space="0" w:color="auto"/>
              <w:right w:val="single" w:sz="4" w:space="0" w:color="auto"/>
            </w:tcBorders>
            <w:vAlign w:val="center"/>
          </w:tcPr>
          <w:p w:rsidR="00BF00A2" w:rsidRDefault="00BF00A2" w:rsidP="00272772"/>
        </w:tc>
        <w:tc>
          <w:tcPr>
            <w:tcW w:w="1156"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居民服务率</w:t>
            </w:r>
          </w:p>
        </w:tc>
        <w:tc>
          <w:tcPr>
            <w:tcW w:w="533"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3318" w:type="dxa"/>
            <w:tcBorders>
              <w:top w:val="single" w:sz="4" w:space="0" w:color="000000"/>
              <w:left w:val="single" w:sz="4" w:space="0" w:color="auto"/>
              <w:bottom w:val="single" w:sz="4" w:space="0" w:color="000000"/>
              <w:right w:val="single" w:sz="4" w:space="0" w:color="000000"/>
            </w:tcBorders>
            <w:vAlign w:val="center"/>
          </w:tcPr>
          <w:p w:rsidR="00BF00A2" w:rsidRDefault="00BF00A2" w:rsidP="00272772">
            <w:pPr>
              <w:jc w:val="left"/>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达到绩效目标得</w:t>
            </w:r>
            <w:r>
              <w:rPr>
                <w:rFonts w:ascii="宋体" w:cs="仿宋_GB2312" w:hint="eastAsia"/>
                <w:color w:val="000000"/>
                <w:kern w:val="0"/>
                <w:szCs w:val="21"/>
                <w:lang/>
              </w:rPr>
              <w:t>5</w:t>
            </w:r>
            <w:r>
              <w:rPr>
                <w:rFonts w:ascii="宋体" w:cs="仿宋_GB2312" w:hint="eastAsia"/>
                <w:color w:val="000000"/>
                <w:kern w:val="0"/>
                <w:szCs w:val="21"/>
                <w:lang/>
              </w:rPr>
              <w:t>分，没达到目标每减少一个百分点扣</w:t>
            </w:r>
            <w:r>
              <w:rPr>
                <w:rFonts w:ascii="宋体" w:cs="仿宋_GB2312" w:hint="eastAsia"/>
                <w:color w:val="000000"/>
                <w:kern w:val="0"/>
                <w:szCs w:val="21"/>
                <w:lang/>
              </w:rPr>
              <w:t>0.1</w:t>
            </w:r>
            <w:r>
              <w:rPr>
                <w:rFonts w:ascii="宋体" w:cs="仿宋_GB2312" w:hint="eastAsia"/>
                <w:color w:val="000000"/>
                <w:kern w:val="0"/>
                <w:szCs w:val="21"/>
                <w:lang/>
              </w:rPr>
              <w:t>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590"/>
        </w:trPr>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auto"/>
            </w:tcBorders>
            <w:vAlign w:val="center"/>
          </w:tcPr>
          <w:p w:rsidR="00BF00A2" w:rsidRDefault="00BF00A2" w:rsidP="00272772"/>
        </w:tc>
        <w:tc>
          <w:tcPr>
            <w:tcW w:w="486" w:type="dxa"/>
            <w:vMerge/>
            <w:tcBorders>
              <w:top w:val="single" w:sz="4" w:space="0" w:color="auto"/>
              <w:left w:val="single" w:sz="4" w:space="0" w:color="auto"/>
              <w:bottom w:val="single" w:sz="4" w:space="0" w:color="auto"/>
              <w:right w:val="single" w:sz="4" w:space="0" w:color="auto"/>
            </w:tcBorders>
            <w:vAlign w:val="center"/>
          </w:tcPr>
          <w:p w:rsidR="00BF00A2" w:rsidRDefault="00BF00A2" w:rsidP="00272772"/>
        </w:tc>
        <w:tc>
          <w:tcPr>
            <w:tcW w:w="1156"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基金使用率</w:t>
            </w:r>
          </w:p>
        </w:tc>
        <w:tc>
          <w:tcPr>
            <w:tcW w:w="533"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3318" w:type="dxa"/>
            <w:tcBorders>
              <w:top w:val="nil"/>
              <w:left w:val="single" w:sz="4" w:space="0" w:color="auto"/>
              <w:bottom w:val="nil"/>
              <w:right w:val="nil"/>
            </w:tcBorders>
            <w:vAlign w:val="center"/>
          </w:tcPr>
          <w:p w:rsidR="00BF00A2" w:rsidRDefault="00BF00A2" w:rsidP="00272772">
            <w:pPr>
              <w:widowControl/>
              <w:jc w:val="left"/>
              <w:textAlignment w:val="center"/>
              <w:rPr>
                <w:rFonts w:ascii="宋体" w:cs="仿宋_GB2312"/>
                <w:color w:val="333333"/>
                <w:szCs w:val="21"/>
              </w:rPr>
            </w:pPr>
            <w:r>
              <w:rPr>
                <w:rFonts w:ascii="宋体" w:cs="仿宋_GB2312" w:hint="eastAsia"/>
                <w:color w:val="333333"/>
                <w:kern w:val="0"/>
                <w:szCs w:val="21"/>
                <w:lang/>
              </w:rPr>
              <w:t>所花费的资金占全部资金的比率</w:t>
            </w:r>
            <w:r>
              <w:rPr>
                <w:rFonts w:ascii="宋体" w:cs="仿宋_GB2312" w:hint="eastAsia"/>
                <w:color w:val="333333"/>
                <w:kern w:val="0"/>
                <w:szCs w:val="21"/>
                <w:lang/>
              </w:rPr>
              <w:t>,</w:t>
            </w:r>
            <w:r>
              <w:rPr>
                <w:rFonts w:ascii="宋体" w:cs="仿宋_GB2312" w:hint="eastAsia"/>
                <w:color w:val="333333"/>
                <w:kern w:val="0"/>
                <w:szCs w:val="21"/>
                <w:lang/>
              </w:rPr>
              <w:t>项目资金</w:t>
            </w:r>
            <w:r>
              <w:rPr>
                <w:rFonts w:ascii="宋体" w:cs="仿宋_GB2312" w:hint="eastAsia"/>
                <w:color w:val="333333"/>
                <w:kern w:val="0"/>
                <w:szCs w:val="21"/>
                <w:lang/>
              </w:rPr>
              <w:t>/</w:t>
            </w:r>
            <w:r>
              <w:rPr>
                <w:rFonts w:ascii="宋体" w:cs="仿宋_GB2312" w:hint="eastAsia"/>
                <w:color w:val="333333"/>
                <w:kern w:val="0"/>
                <w:szCs w:val="21"/>
                <w:lang/>
              </w:rPr>
              <w:t>全部资金</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达到绩效目标得</w:t>
            </w:r>
            <w:r>
              <w:rPr>
                <w:rFonts w:ascii="宋体" w:cs="仿宋_GB2312" w:hint="eastAsia"/>
                <w:color w:val="000000"/>
                <w:kern w:val="0"/>
                <w:szCs w:val="21"/>
                <w:lang/>
              </w:rPr>
              <w:t>4</w:t>
            </w:r>
            <w:r>
              <w:rPr>
                <w:rFonts w:ascii="宋体" w:cs="仿宋_GB2312" w:hint="eastAsia"/>
                <w:color w:val="000000"/>
                <w:kern w:val="0"/>
                <w:szCs w:val="21"/>
                <w:lang/>
              </w:rPr>
              <w:t>分，没达到目标每减少一个百分点扣</w:t>
            </w:r>
            <w:r>
              <w:rPr>
                <w:rFonts w:ascii="宋体" w:cs="仿宋_GB2312" w:hint="eastAsia"/>
                <w:color w:val="000000"/>
                <w:kern w:val="0"/>
                <w:szCs w:val="21"/>
                <w:lang/>
              </w:rPr>
              <w:t>0.1</w:t>
            </w:r>
            <w:r>
              <w:rPr>
                <w:rFonts w:ascii="宋体" w:cs="仿宋_GB2312" w:hint="eastAsia"/>
                <w:color w:val="000000"/>
                <w:kern w:val="0"/>
                <w:szCs w:val="21"/>
                <w:lang/>
              </w:rPr>
              <w:t>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456"/>
        </w:trPr>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auto"/>
            </w:tcBorders>
            <w:vAlign w:val="center"/>
          </w:tcPr>
          <w:p w:rsidR="00BF00A2" w:rsidRDefault="00BF00A2" w:rsidP="00272772"/>
        </w:tc>
        <w:tc>
          <w:tcPr>
            <w:tcW w:w="486" w:type="dxa"/>
            <w:vMerge/>
            <w:tcBorders>
              <w:top w:val="single" w:sz="4" w:space="0" w:color="auto"/>
              <w:left w:val="single" w:sz="4" w:space="0" w:color="auto"/>
              <w:bottom w:val="single" w:sz="4" w:space="0" w:color="auto"/>
              <w:right w:val="single" w:sz="4" w:space="0" w:color="auto"/>
            </w:tcBorders>
            <w:vAlign w:val="center"/>
          </w:tcPr>
          <w:p w:rsidR="00BF00A2" w:rsidRDefault="00BF00A2" w:rsidP="00272772"/>
        </w:tc>
        <w:tc>
          <w:tcPr>
            <w:tcW w:w="1156"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基金累计结余率</w:t>
            </w:r>
          </w:p>
        </w:tc>
        <w:tc>
          <w:tcPr>
            <w:tcW w:w="533" w:type="dxa"/>
            <w:tcBorders>
              <w:top w:val="single" w:sz="4" w:space="0" w:color="auto"/>
              <w:left w:val="single" w:sz="4" w:space="0" w:color="auto"/>
              <w:bottom w:val="single" w:sz="4" w:space="0" w:color="auto"/>
              <w:right w:val="single" w:sz="4" w:space="0" w:color="auto"/>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3318" w:type="dxa"/>
            <w:tcBorders>
              <w:top w:val="single" w:sz="4" w:space="0" w:color="000000"/>
              <w:left w:val="single" w:sz="4" w:space="0" w:color="auto"/>
              <w:bottom w:val="single" w:sz="4" w:space="0" w:color="000000"/>
              <w:right w:val="single" w:sz="4" w:space="0" w:color="000000"/>
            </w:tcBorders>
            <w:vAlign w:val="center"/>
          </w:tcPr>
          <w:p w:rsidR="00BF00A2" w:rsidRDefault="00BF00A2" w:rsidP="00272772">
            <w:pPr>
              <w:jc w:val="left"/>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达到绩效目标得</w:t>
            </w:r>
            <w:r>
              <w:rPr>
                <w:rFonts w:ascii="宋体" w:cs="仿宋_GB2312" w:hint="eastAsia"/>
                <w:color w:val="000000"/>
                <w:kern w:val="0"/>
                <w:szCs w:val="21"/>
                <w:lang/>
              </w:rPr>
              <w:t>4</w:t>
            </w:r>
            <w:r>
              <w:rPr>
                <w:rFonts w:ascii="宋体" w:cs="仿宋_GB2312" w:hint="eastAsia"/>
                <w:color w:val="000000"/>
                <w:kern w:val="0"/>
                <w:szCs w:val="21"/>
                <w:lang/>
              </w:rPr>
              <w:t>分，没达到目标每减少一个百分点扣</w:t>
            </w:r>
            <w:r>
              <w:rPr>
                <w:rFonts w:ascii="宋体" w:cs="仿宋_GB2312" w:hint="eastAsia"/>
                <w:color w:val="000000"/>
                <w:kern w:val="0"/>
                <w:szCs w:val="21"/>
                <w:lang/>
              </w:rPr>
              <w:t>0.1</w:t>
            </w:r>
            <w:r>
              <w:rPr>
                <w:rFonts w:ascii="宋体" w:cs="仿宋_GB2312" w:hint="eastAsia"/>
                <w:color w:val="000000"/>
                <w:kern w:val="0"/>
                <w:szCs w:val="21"/>
                <w:lang/>
              </w:rPr>
              <w:t>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587"/>
        </w:trPr>
        <w:tc>
          <w:tcPr>
            <w:tcW w:w="565"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效果</w:t>
            </w:r>
          </w:p>
        </w:tc>
        <w:tc>
          <w:tcPr>
            <w:tcW w:w="565"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26</w:t>
            </w:r>
          </w:p>
        </w:tc>
        <w:tc>
          <w:tcPr>
            <w:tcW w:w="551"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项目效益</w:t>
            </w:r>
          </w:p>
        </w:tc>
        <w:tc>
          <w:tcPr>
            <w:tcW w:w="486" w:type="dxa"/>
            <w:vMerge w:val="restart"/>
            <w:tcBorders>
              <w:top w:val="single" w:sz="4" w:space="0" w:color="auto"/>
              <w:left w:val="single" w:sz="4" w:space="0" w:color="000000"/>
              <w:bottom w:val="single" w:sz="4" w:space="0" w:color="auto"/>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26</w:t>
            </w:r>
          </w:p>
        </w:tc>
        <w:tc>
          <w:tcPr>
            <w:tcW w:w="1156" w:type="dxa"/>
            <w:tcBorders>
              <w:top w:val="single" w:sz="4" w:space="0" w:color="auto"/>
              <w:left w:val="single" w:sz="4" w:space="0" w:color="000000"/>
              <w:bottom w:val="nil"/>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经济效益</w:t>
            </w:r>
          </w:p>
        </w:tc>
        <w:tc>
          <w:tcPr>
            <w:tcW w:w="533" w:type="dxa"/>
            <w:tcBorders>
              <w:top w:val="single" w:sz="4" w:space="0" w:color="auto"/>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6</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是否真正减少主要健康危险因素，减少慢病发生率，减少医疗费用负担（结合调查问卷）</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100%</w:t>
            </w:r>
            <w:r>
              <w:rPr>
                <w:rFonts w:ascii="宋体" w:cs="仿宋_GB2312" w:hint="eastAsia"/>
                <w:color w:val="000000"/>
                <w:kern w:val="0"/>
                <w:szCs w:val="21"/>
                <w:lang/>
              </w:rPr>
              <w:t>为</w:t>
            </w:r>
            <w:r>
              <w:rPr>
                <w:rStyle w:val="font21"/>
                <w:rFonts w:cs="仿宋_GB2312" w:hint="eastAsia"/>
                <w:sz w:val="21"/>
                <w:szCs w:val="21"/>
                <w:lang/>
              </w:rPr>
              <w:t>6分，每减少一个百分点扣0.2分。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857"/>
        </w:trPr>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社会效益</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6</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促进居民健康意识提高，居民健康状况改善，减少主要健康危险因素（结合调查问卷）</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100%</w:t>
            </w:r>
            <w:r>
              <w:rPr>
                <w:rFonts w:ascii="宋体" w:cs="仿宋_GB2312" w:hint="eastAsia"/>
                <w:color w:val="000000"/>
                <w:kern w:val="0"/>
                <w:szCs w:val="21"/>
                <w:lang/>
              </w:rPr>
              <w:t>为</w:t>
            </w:r>
            <w:r>
              <w:rPr>
                <w:rStyle w:val="font21"/>
                <w:rFonts w:cs="仿宋_GB2312" w:hint="eastAsia"/>
                <w:sz w:val="21"/>
                <w:szCs w:val="21"/>
                <w:lang/>
              </w:rPr>
              <w:t>6分，每减少一个百分点扣0.2分。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751"/>
        </w:trPr>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可持续影响</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6</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项目产出能持续运用；项目运行所依赖的政策制度能持续执行</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结合调查问卷了解居民继续享受服务意愿、增长率计算评分，继续享受服务意愿＝调查样本中愿意继续参合对象</w:t>
            </w:r>
            <w:r>
              <w:rPr>
                <w:rFonts w:ascii="宋体" w:cs="仿宋_GB2312" w:hint="eastAsia"/>
                <w:color w:val="000000"/>
                <w:kern w:val="0"/>
                <w:szCs w:val="21"/>
                <w:lang/>
              </w:rPr>
              <w:t>/</w:t>
            </w:r>
            <w:r>
              <w:rPr>
                <w:rFonts w:ascii="宋体" w:cs="仿宋_GB2312" w:hint="eastAsia"/>
                <w:color w:val="000000"/>
                <w:kern w:val="0"/>
                <w:szCs w:val="21"/>
                <w:lang/>
              </w:rPr>
              <w:t>被调查对象总量</w:t>
            </w:r>
            <w:r>
              <w:rPr>
                <w:rFonts w:ascii="宋体" w:cs="仿宋_GB2312" w:hint="eastAsia"/>
                <w:color w:val="000000"/>
                <w:kern w:val="0"/>
                <w:szCs w:val="21"/>
                <w:lang/>
              </w:rPr>
              <w:t>*100%</w:t>
            </w:r>
            <w:r>
              <w:rPr>
                <w:rFonts w:ascii="宋体" w:cs="仿宋_GB2312" w:hint="eastAsia"/>
                <w:color w:val="000000"/>
                <w:kern w:val="0"/>
                <w:szCs w:val="21"/>
                <w:lang/>
              </w:rPr>
              <w:t>（</w:t>
            </w:r>
            <w:r>
              <w:rPr>
                <w:rStyle w:val="font21"/>
                <w:rFonts w:cs="仿宋_GB2312" w:hint="eastAsia"/>
                <w:sz w:val="21"/>
                <w:szCs w:val="21"/>
                <w:lang/>
              </w:rPr>
              <w:t>3分），参合增长率＝（本年参合率-上年参合率）/上年参合率*100%（3分）。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cantSplit/>
          <w:trHeight w:val="1050"/>
        </w:trPr>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65"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551"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486" w:type="dxa"/>
            <w:vMerge/>
            <w:tcBorders>
              <w:top w:val="single" w:sz="4" w:space="0" w:color="auto"/>
              <w:left w:val="single" w:sz="4" w:space="0" w:color="000000"/>
              <w:bottom w:val="single" w:sz="4" w:space="0" w:color="auto"/>
              <w:right w:val="single" w:sz="4" w:space="0" w:color="000000"/>
            </w:tcBorders>
            <w:vAlign w:val="center"/>
          </w:tcPr>
          <w:p w:rsidR="00BF00A2" w:rsidRDefault="00BF00A2" w:rsidP="00272772"/>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公众满意度</w:t>
            </w: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受益群体政策知晓度（问卷调查）受益群体对基层医疗卫生机构工作人员的满意度（问卷调查）是否有效投诉案例</w:t>
            </w: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受益群体政策知晓度＝知晓对象</w:t>
            </w:r>
            <w:r>
              <w:rPr>
                <w:rFonts w:ascii="宋体" w:cs="仿宋_GB2312" w:hint="eastAsia"/>
                <w:color w:val="000000"/>
                <w:kern w:val="0"/>
                <w:szCs w:val="21"/>
                <w:lang/>
              </w:rPr>
              <w:t>/</w:t>
            </w:r>
            <w:r>
              <w:rPr>
                <w:rFonts w:ascii="宋体" w:cs="仿宋_GB2312" w:hint="eastAsia"/>
                <w:color w:val="000000"/>
                <w:kern w:val="0"/>
                <w:szCs w:val="21"/>
                <w:lang/>
              </w:rPr>
              <w:t>被调查对象</w:t>
            </w:r>
            <w:r>
              <w:rPr>
                <w:rFonts w:ascii="宋体" w:cs="仿宋_GB2312" w:hint="eastAsia"/>
                <w:color w:val="000000"/>
                <w:kern w:val="0"/>
                <w:szCs w:val="21"/>
                <w:lang/>
              </w:rPr>
              <w:t>*100%</w:t>
            </w:r>
            <w:r>
              <w:rPr>
                <w:rFonts w:ascii="宋体" w:cs="仿宋_GB2312" w:hint="eastAsia"/>
                <w:color w:val="000000"/>
                <w:kern w:val="0"/>
                <w:szCs w:val="21"/>
                <w:lang/>
              </w:rPr>
              <w:t>（</w:t>
            </w:r>
            <w:r>
              <w:rPr>
                <w:rFonts w:ascii="宋体" w:cs="仿宋_GB2312" w:hint="eastAsia"/>
                <w:color w:val="000000"/>
                <w:kern w:val="0"/>
                <w:szCs w:val="21"/>
                <w:lang/>
              </w:rPr>
              <w:t>3</w:t>
            </w:r>
            <w:r>
              <w:rPr>
                <w:rFonts w:ascii="宋体" w:cs="仿宋_GB2312" w:hint="eastAsia"/>
                <w:color w:val="000000"/>
                <w:kern w:val="0"/>
                <w:szCs w:val="21"/>
                <w:lang/>
              </w:rPr>
              <w:t>分）；受益群体对医务工作人员的满意度＝满意对象</w:t>
            </w:r>
            <w:r>
              <w:rPr>
                <w:rFonts w:ascii="宋体" w:cs="仿宋_GB2312" w:hint="eastAsia"/>
                <w:color w:val="000000"/>
                <w:kern w:val="0"/>
                <w:szCs w:val="21"/>
                <w:lang/>
              </w:rPr>
              <w:t>/</w:t>
            </w:r>
            <w:r>
              <w:rPr>
                <w:rFonts w:ascii="宋体" w:cs="仿宋_GB2312" w:hint="eastAsia"/>
                <w:color w:val="000000"/>
                <w:kern w:val="0"/>
                <w:szCs w:val="21"/>
                <w:lang/>
              </w:rPr>
              <w:t>被调查对象</w:t>
            </w:r>
            <w:r>
              <w:rPr>
                <w:rFonts w:ascii="宋体" w:cs="仿宋_GB2312" w:hint="eastAsia"/>
                <w:color w:val="000000"/>
                <w:kern w:val="0"/>
                <w:szCs w:val="21"/>
                <w:lang/>
              </w:rPr>
              <w:t>*100%</w:t>
            </w:r>
            <w:r>
              <w:rPr>
                <w:rFonts w:ascii="宋体" w:cs="仿宋_GB2312" w:hint="eastAsia"/>
                <w:color w:val="000000"/>
                <w:kern w:val="0"/>
                <w:szCs w:val="21"/>
                <w:lang/>
              </w:rPr>
              <w:t>（</w:t>
            </w:r>
            <w:r>
              <w:rPr>
                <w:rFonts w:ascii="宋体" w:cs="仿宋_GB2312" w:hint="eastAsia"/>
                <w:color w:val="000000"/>
                <w:kern w:val="0"/>
                <w:szCs w:val="21"/>
                <w:lang/>
              </w:rPr>
              <w:t>3</w:t>
            </w:r>
            <w:r>
              <w:rPr>
                <w:rFonts w:ascii="宋体" w:cs="仿宋_GB2312" w:hint="eastAsia"/>
                <w:color w:val="000000"/>
                <w:kern w:val="0"/>
                <w:szCs w:val="21"/>
                <w:lang/>
              </w:rPr>
              <w:t>分）；无有效投诉案例发生（</w:t>
            </w:r>
            <w:r>
              <w:rPr>
                <w:rFonts w:ascii="宋体" w:cs="仿宋_GB2312" w:hint="eastAsia"/>
                <w:color w:val="000000"/>
                <w:kern w:val="0"/>
                <w:szCs w:val="21"/>
                <w:lang/>
              </w:rPr>
              <w:t>2</w:t>
            </w:r>
            <w:r>
              <w:rPr>
                <w:rFonts w:ascii="宋体" w:cs="仿宋_GB2312" w:hint="eastAsia"/>
                <w:color w:val="000000"/>
                <w:kern w:val="0"/>
                <w:szCs w:val="21"/>
                <w:lang/>
              </w:rPr>
              <w:t>分）</w:t>
            </w: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r w:rsidR="00BF00A2" w:rsidTr="00272772">
        <w:trPr>
          <w:trHeight w:val="510"/>
        </w:trPr>
        <w:tc>
          <w:tcPr>
            <w:tcW w:w="565" w:type="dxa"/>
            <w:tcBorders>
              <w:top w:val="single" w:sz="4" w:space="0" w:color="auto"/>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总分</w:t>
            </w:r>
          </w:p>
        </w:tc>
        <w:tc>
          <w:tcPr>
            <w:tcW w:w="565" w:type="dxa"/>
            <w:tcBorders>
              <w:top w:val="single" w:sz="4" w:space="0" w:color="auto"/>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100</w:t>
            </w:r>
          </w:p>
        </w:tc>
        <w:tc>
          <w:tcPr>
            <w:tcW w:w="551" w:type="dxa"/>
            <w:tcBorders>
              <w:top w:val="single" w:sz="4" w:space="0" w:color="auto"/>
              <w:left w:val="single" w:sz="4" w:space="0" w:color="000000"/>
              <w:bottom w:val="single" w:sz="4" w:space="0" w:color="000000"/>
              <w:right w:val="single" w:sz="4" w:space="0" w:color="000000"/>
            </w:tcBorders>
            <w:vAlign w:val="center"/>
          </w:tcPr>
          <w:p w:rsidR="00BF00A2" w:rsidRDefault="00BF00A2" w:rsidP="00272772">
            <w:pPr>
              <w:rPr>
                <w:rFonts w:ascii="宋体" w:cs="仿宋_GB2312"/>
                <w:color w:val="000000"/>
                <w:szCs w:val="21"/>
              </w:rPr>
            </w:pPr>
          </w:p>
        </w:tc>
        <w:tc>
          <w:tcPr>
            <w:tcW w:w="486" w:type="dxa"/>
            <w:tcBorders>
              <w:top w:val="single" w:sz="4" w:space="0" w:color="auto"/>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100</w:t>
            </w:r>
          </w:p>
        </w:tc>
        <w:tc>
          <w:tcPr>
            <w:tcW w:w="1156"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rPr>
                <w:rFonts w:ascii="宋体" w:cs="仿宋_GB2312"/>
                <w:color w:val="000000"/>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left"/>
              <w:textAlignment w:val="center"/>
              <w:rPr>
                <w:rFonts w:ascii="宋体" w:cs="仿宋_GB2312"/>
                <w:color w:val="000000"/>
                <w:szCs w:val="21"/>
              </w:rPr>
            </w:pPr>
            <w:r>
              <w:rPr>
                <w:rFonts w:ascii="宋体" w:cs="仿宋_GB2312" w:hint="eastAsia"/>
                <w:color w:val="000000"/>
                <w:kern w:val="0"/>
                <w:szCs w:val="21"/>
                <w:lang/>
              </w:rPr>
              <w:t>100</w:t>
            </w:r>
          </w:p>
        </w:tc>
        <w:tc>
          <w:tcPr>
            <w:tcW w:w="3318"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rPr>
                <w:rFonts w:ascii="宋体" w:cs="仿宋_GB2312"/>
                <w:color w:val="00000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szCs w:val="21"/>
              </w:rPr>
            </w:pPr>
            <w:r>
              <w:rPr>
                <w:rFonts w:ascii="宋体" w:cs="仿宋_GB2312" w:hint="eastAsia"/>
                <w:color w:val="000000"/>
                <w:kern w:val="0"/>
                <w:szCs w:val="21"/>
                <w:lang/>
              </w:rPr>
              <w:t>97</w:t>
            </w:r>
          </w:p>
        </w:tc>
        <w:tc>
          <w:tcPr>
            <w:tcW w:w="540" w:type="dxa"/>
            <w:tcBorders>
              <w:top w:val="single" w:sz="4" w:space="0" w:color="000000"/>
              <w:left w:val="single" w:sz="4" w:space="0" w:color="000000"/>
              <w:bottom w:val="single" w:sz="4" w:space="0" w:color="000000"/>
              <w:right w:val="single" w:sz="4" w:space="0" w:color="000000"/>
            </w:tcBorders>
            <w:vAlign w:val="center"/>
          </w:tcPr>
          <w:p w:rsidR="00BF00A2" w:rsidRDefault="00BF00A2" w:rsidP="00272772">
            <w:pPr>
              <w:widowControl/>
              <w:jc w:val="center"/>
              <w:textAlignment w:val="center"/>
              <w:rPr>
                <w:rFonts w:ascii="宋体" w:cs="仿宋_GB2312"/>
                <w:color w:val="000000"/>
                <w:kern w:val="0"/>
                <w:szCs w:val="21"/>
                <w:lang/>
              </w:rPr>
            </w:pPr>
          </w:p>
        </w:tc>
      </w:tr>
    </w:tbl>
    <w:p w:rsidR="00BF00A2" w:rsidRDefault="00BF00A2" w:rsidP="00BF00A2">
      <w:pPr>
        <w:spacing w:line="600" w:lineRule="exact"/>
        <w:ind w:right="600"/>
        <w:rPr>
          <w:rFonts w:cs="仿宋_GB2312"/>
        </w:rPr>
      </w:pPr>
    </w:p>
    <w:p w:rsidR="00BF00A2" w:rsidRDefault="00BF00A2" w:rsidP="00BF00A2"/>
    <w:p w:rsidR="00BF00A2" w:rsidRDefault="00BF00A2" w:rsidP="00BF00A2"/>
    <w:p w:rsidR="00445DD5" w:rsidRPr="00445DD5" w:rsidRDefault="00445DD5" w:rsidP="00445DD5">
      <w:pPr>
        <w:spacing w:line="600" w:lineRule="exact"/>
        <w:ind w:right="600"/>
        <w:rPr>
          <w:rFonts w:cs="仿宋_GB2312"/>
          <w:sz w:val="18"/>
          <w:szCs w:val="18"/>
        </w:rPr>
      </w:pPr>
    </w:p>
    <w:p w:rsidR="00445DD5" w:rsidRDefault="00445DD5" w:rsidP="00445DD5"/>
    <w:p w:rsidR="00445DD5" w:rsidRDefault="00445DD5" w:rsidP="00445DD5"/>
    <w:p w:rsidR="00445DD5" w:rsidRDefault="00445DD5"/>
    <w:p w:rsidR="001D7C24" w:rsidRDefault="001D7C24"/>
    <w:p w:rsidR="001D7C24" w:rsidRDefault="001D7C24"/>
    <w:p w:rsidR="001D7C24" w:rsidRDefault="001D7C24"/>
    <w:p w:rsidR="001D7C24" w:rsidRDefault="001D7C24"/>
    <w:p w:rsidR="001D7C24" w:rsidRDefault="001D7C24"/>
    <w:p w:rsidR="001D7C24" w:rsidRDefault="001D7C24"/>
    <w:p w:rsidR="001D7C24" w:rsidRDefault="001D7C24"/>
    <w:p w:rsidR="001D7C24" w:rsidRDefault="001D7C24"/>
    <w:sectPr w:rsidR="001D7C24" w:rsidSect="00BF00A2">
      <w:pgSz w:w="16838" w:h="11906" w:orient="landscape"/>
      <w:pgMar w:top="1588" w:right="1440" w:bottom="1871" w:left="1610"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B33" w:rsidRDefault="00AC6B33" w:rsidP="00996CBF">
      <w:r>
        <w:separator/>
      </w:r>
    </w:p>
  </w:endnote>
  <w:endnote w:type="continuationSeparator" w:id="0">
    <w:p w:rsidR="00AC6B33" w:rsidRDefault="00AC6B33" w:rsidP="0099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BF" w:rsidRDefault="00221524">
    <w:pPr>
      <w:pStyle w:val="a3"/>
      <w:framePr w:wrap="around" w:vAnchor="text" w:hAnchor="margin" w:xAlign="center" w:y="1"/>
      <w:rPr>
        <w:rStyle w:val="a5"/>
      </w:rPr>
    </w:pPr>
    <w:r>
      <w:fldChar w:fldCharType="begin"/>
    </w:r>
    <w:r w:rsidR="00D55FDC">
      <w:rPr>
        <w:rStyle w:val="a5"/>
      </w:rPr>
      <w:instrText xml:space="preserve">PAGE  </w:instrText>
    </w:r>
    <w:r>
      <w:fldChar w:fldCharType="end"/>
    </w:r>
  </w:p>
  <w:p w:rsidR="00996CBF" w:rsidRDefault="00996CB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BF" w:rsidRDefault="00221524">
    <w:pPr>
      <w:pStyle w:val="a3"/>
      <w:framePr w:wrap="around" w:vAnchor="text" w:hAnchor="margin" w:xAlign="center" w:y="1"/>
      <w:rPr>
        <w:rStyle w:val="a5"/>
      </w:rPr>
    </w:pPr>
    <w:r>
      <w:fldChar w:fldCharType="begin"/>
    </w:r>
    <w:r w:rsidR="00D55FDC">
      <w:rPr>
        <w:rStyle w:val="a5"/>
      </w:rPr>
      <w:instrText xml:space="preserve">PAGE  </w:instrText>
    </w:r>
    <w:r>
      <w:fldChar w:fldCharType="separate"/>
    </w:r>
    <w:r w:rsidR="00BF00A2">
      <w:rPr>
        <w:rStyle w:val="a5"/>
        <w:noProof/>
      </w:rPr>
      <w:t>- 9 -</w:t>
    </w:r>
    <w:r>
      <w:fldChar w:fldCharType="end"/>
    </w:r>
  </w:p>
  <w:p w:rsidR="00996CBF" w:rsidRDefault="00996C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B33" w:rsidRDefault="00AC6B33" w:rsidP="00996CBF">
      <w:r>
        <w:separator/>
      </w:r>
    </w:p>
  </w:footnote>
  <w:footnote w:type="continuationSeparator" w:id="0">
    <w:p w:rsidR="00AC6B33" w:rsidRDefault="00AC6B33" w:rsidP="0099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BF" w:rsidRDefault="00996CB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3A39"/>
    <w:multiLevelType w:val="singleLevel"/>
    <w:tmpl w:val="EA183A39"/>
    <w:lvl w:ilvl="0">
      <w:start w:val="3"/>
      <w:numFmt w:val="chineseCounting"/>
      <w:suff w:val="nothing"/>
      <w:lvlText w:val="（%1）"/>
      <w:lvlJc w:val="left"/>
      <w:rPr>
        <w:rFonts w:hint="eastAsia"/>
      </w:rPr>
    </w:lvl>
  </w:abstractNum>
  <w:abstractNum w:abstractNumId="1">
    <w:nsid w:val="337AC8A6"/>
    <w:multiLevelType w:val="singleLevel"/>
    <w:tmpl w:val="337AC8A6"/>
    <w:lvl w:ilvl="0">
      <w:start w:val="3"/>
      <w:numFmt w:val="chineseCounting"/>
      <w:suff w:val="nothing"/>
      <w:lvlText w:val="（%1）"/>
      <w:lvlJc w:val="left"/>
      <w:pPr>
        <w:ind w:left="48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192F14"/>
    <w:rsid w:val="001D7C24"/>
    <w:rsid w:val="00221524"/>
    <w:rsid w:val="00445DD5"/>
    <w:rsid w:val="007F7416"/>
    <w:rsid w:val="00996CBF"/>
    <w:rsid w:val="00A3651F"/>
    <w:rsid w:val="00AC6B33"/>
    <w:rsid w:val="00BF00A2"/>
    <w:rsid w:val="00D55FDC"/>
    <w:rsid w:val="00FD134C"/>
    <w:rsid w:val="47192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CBF"/>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96CBF"/>
    <w:pPr>
      <w:tabs>
        <w:tab w:val="center" w:pos="4153"/>
        <w:tab w:val="right" w:pos="8306"/>
      </w:tabs>
      <w:snapToGrid w:val="0"/>
      <w:jc w:val="left"/>
    </w:pPr>
    <w:rPr>
      <w:sz w:val="18"/>
      <w:szCs w:val="18"/>
    </w:rPr>
  </w:style>
  <w:style w:type="paragraph" w:styleId="a4">
    <w:name w:val="header"/>
    <w:basedOn w:val="a"/>
    <w:qFormat/>
    <w:rsid w:val="00996CBF"/>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996CBF"/>
  </w:style>
  <w:style w:type="character" w:customStyle="1" w:styleId="articlef14">
    <w:name w:val="article_f14"/>
    <w:basedOn w:val="a0"/>
    <w:qFormat/>
    <w:rsid w:val="00996CBF"/>
  </w:style>
  <w:style w:type="character" w:customStyle="1" w:styleId="NormalCharacter">
    <w:name w:val="NormalCharacter"/>
    <w:qFormat/>
    <w:rsid w:val="00996CBF"/>
  </w:style>
  <w:style w:type="character" w:customStyle="1" w:styleId="font21">
    <w:name w:val="font21"/>
    <w:basedOn w:val="a0"/>
    <w:qFormat/>
    <w:rsid w:val="001D7C24"/>
    <w:rPr>
      <w:rFonts w:ascii="宋体" w:eastAsia="宋体" w:cs="宋体"/>
      <w:color w:val="000000"/>
      <w:sz w:val="18"/>
      <w:szCs w:val="18"/>
      <w:u w:val="none"/>
      <w:lang w:bidi="ar-SA"/>
    </w:rPr>
  </w:style>
  <w:style w:type="paragraph" w:styleId="a6">
    <w:name w:val="Balloon Text"/>
    <w:basedOn w:val="a"/>
    <w:link w:val="Char"/>
    <w:rsid w:val="001D7C24"/>
    <w:rPr>
      <w:sz w:val="18"/>
      <w:szCs w:val="18"/>
    </w:rPr>
  </w:style>
  <w:style w:type="character" w:customStyle="1" w:styleId="Char">
    <w:name w:val="批注框文本 Char"/>
    <w:basedOn w:val="a0"/>
    <w:link w:val="a6"/>
    <w:rsid w:val="001D7C24"/>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cp:revision>
  <dcterms:created xsi:type="dcterms:W3CDTF">2021-04-01T03:30:00Z</dcterms:created>
  <dcterms:modified xsi:type="dcterms:W3CDTF">2021-07-22T01:47:00Z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