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宋体"/>
          <w:b/>
          <w:bCs/>
          <w:sz w:val="40"/>
          <w:szCs w:val="40"/>
        </w:rPr>
      </w:pPr>
      <w:r>
        <w:rPr>
          <w:rFonts w:hint="eastAsia" w:ascii="宋体"/>
          <w:b/>
          <w:bCs/>
          <w:sz w:val="40"/>
          <w:szCs w:val="40"/>
        </w:rPr>
        <w:t>芷江侗族自治县卫生健康局202</w:t>
      </w:r>
      <w:r>
        <w:rPr>
          <w:rFonts w:hint="eastAsia" w:ascii="宋体"/>
          <w:b/>
          <w:bCs/>
          <w:sz w:val="40"/>
          <w:szCs w:val="40"/>
          <w:lang w:val="en-US" w:eastAsia="zh-CN"/>
        </w:rPr>
        <w:t>1</w:t>
      </w:r>
      <w:r>
        <w:rPr>
          <w:rFonts w:hint="eastAsia" w:ascii="宋体"/>
          <w:b/>
          <w:bCs/>
          <w:sz w:val="40"/>
          <w:szCs w:val="40"/>
        </w:rPr>
        <w:t>年</w:t>
      </w:r>
    </w:p>
    <w:p>
      <w:pPr>
        <w:spacing w:line="520" w:lineRule="exact"/>
        <w:jc w:val="center"/>
        <w:rPr>
          <w:rFonts w:ascii="仿宋_GB2312" w:eastAsia="仿宋_GB2312"/>
          <w:b/>
          <w:bCs/>
          <w:sz w:val="30"/>
          <w:szCs w:val="30"/>
        </w:rPr>
      </w:pPr>
      <w:r>
        <w:rPr>
          <w:rFonts w:hint="eastAsia" w:ascii="宋体"/>
          <w:b/>
          <w:bCs/>
          <w:sz w:val="40"/>
          <w:szCs w:val="40"/>
          <w:lang w:val="en-US" w:eastAsia="zh-CN"/>
        </w:rPr>
        <w:t>中医</w:t>
      </w:r>
      <w:r>
        <w:rPr>
          <w:rFonts w:hint="eastAsia" w:ascii="宋体"/>
          <w:b/>
          <w:bCs/>
          <w:sz w:val="40"/>
          <w:szCs w:val="40"/>
        </w:rPr>
        <w:t>医院定额补助绩效自评报告</w:t>
      </w:r>
    </w:p>
    <w:p>
      <w:pPr>
        <w:shd w:val="clear" w:color="auto" w:fill="FFFFFF"/>
        <w:spacing w:line="580" w:lineRule="exact"/>
        <w:ind w:firstLine="592" w:firstLineChars="200"/>
        <w:rPr>
          <w:rFonts w:ascii="仿宋" w:hAnsi="仿宋" w:eastAsia="仿宋" w:cs="仿宋"/>
          <w:spacing w:val="-2"/>
          <w:sz w:val="30"/>
          <w:szCs w:val="30"/>
        </w:rPr>
      </w:pPr>
    </w:p>
    <w:p>
      <w:pPr>
        <w:shd w:val="clear" w:color="auto" w:fill="FFFFFF"/>
        <w:spacing w:line="580" w:lineRule="exact"/>
        <w:ind w:firstLine="592" w:firstLineChars="200"/>
        <w:rPr>
          <w:rFonts w:ascii="仿宋" w:hAnsi="仿宋" w:eastAsia="仿宋" w:cs="仿宋"/>
          <w:spacing w:val="-2"/>
          <w:sz w:val="30"/>
          <w:szCs w:val="30"/>
        </w:rPr>
      </w:pPr>
      <w:r>
        <w:rPr>
          <w:rFonts w:hint="eastAsia" w:ascii="仿宋" w:hAnsi="仿宋" w:eastAsia="仿宋" w:cs="仿宋"/>
          <w:spacing w:val="-2"/>
          <w:sz w:val="30"/>
          <w:szCs w:val="30"/>
        </w:rPr>
        <w:t>一、基本情况</w:t>
      </w:r>
    </w:p>
    <w:p>
      <w:pPr>
        <w:shd w:val="clear" w:color="auto" w:fill="FFFFFF"/>
        <w:spacing w:line="580" w:lineRule="exact"/>
        <w:ind w:firstLine="592" w:firstLineChars="200"/>
        <w:rPr>
          <w:rFonts w:hint="eastAsia" w:ascii="仿宋" w:hAnsi="仿宋" w:eastAsia="仿宋" w:cs="仿宋"/>
          <w:spacing w:val="-2"/>
          <w:sz w:val="30"/>
          <w:szCs w:val="30"/>
        </w:rPr>
      </w:pPr>
      <w:r>
        <w:rPr>
          <w:rFonts w:hint="eastAsia" w:ascii="仿宋" w:hAnsi="仿宋" w:eastAsia="仿宋" w:cs="仿宋"/>
          <w:spacing w:val="-2"/>
          <w:sz w:val="30"/>
          <w:szCs w:val="30"/>
        </w:rPr>
        <w:t>芷江县</w:t>
      </w:r>
      <w:r>
        <w:rPr>
          <w:rFonts w:hint="eastAsia" w:ascii="仿宋" w:hAnsi="仿宋" w:eastAsia="仿宋" w:cs="仿宋"/>
          <w:spacing w:val="-2"/>
          <w:sz w:val="30"/>
          <w:szCs w:val="30"/>
          <w:lang w:val="en-US" w:eastAsia="zh-CN"/>
        </w:rPr>
        <w:t>中医</w:t>
      </w:r>
      <w:r>
        <w:rPr>
          <w:rFonts w:hint="eastAsia" w:ascii="仿宋" w:hAnsi="仿宋" w:eastAsia="仿宋" w:cs="仿宋"/>
          <w:spacing w:val="-2"/>
          <w:sz w:val="30"/>
          <w:szCs w:val="30"/>
        </w:rPr>
        <w:t>医院，位于芷江侗族自治县东南方向凯旋路11号，交通便利，是一所二级全民所有制性质非赢利性综合医院。现占地面积4999平方米，建筑面积8585平方米，现有业务用房5332平方米。 现编制床位300张，开发病床260张。医院按照“院有特色、科有特点、人有专长”的办院宗旨，充分挖掘现有医疗卫生资源，积极培养发展具有中医特色的医疗服务项目。分设外科、内儿科、糖尿病专科、妇产科、骨伤科、脊柱科、针灸理疗科、口腔科、影像科、检验科、药剂科、手术室、体外碎石室，门诊部等科室。医院配有美国GE16排螺旋CT机、奥林巴斯腹腔镜、等离子电切镜、经皮肾镜、膀胱镜、输尿管镜、宫腔镜、妇科利普刀、500maX光机、C型臂X光机、</w:t>
      </w:r>
      <w:r>
        <w:rPr>
          <w:rFonts w:hint="eastAsia" w:ascii="仿宋" w:hAnsi="仿宋" w:eastAsia="仿宋" w:cs="仿宋"/>
          <w:spacing w:val="-2"/>
          <w:sz w:val="30"/>
          <w:szCs w:val="30"/>
          <w:lang w:val="en-US" w:eastAsia="zh-CN"/>
        </w:rPr>
        <w:t>D</w:t>
      </w:r>
      <w:r>
        <w:rPr>
          <w:rFonts w:hint="eastAsia" w:ascii="仿宋" w:hAnsi="仿宋" w:eastAsia="仿宋" w:cs="仿宋"/>
          <w:spacing w:val="-2"/>
          <w:sz w:val="30"/>
          <w:szCs w:val="30"/>
        </w:rPr>
        <w:t>R放射诊断系统、奥林巴斯电子胃镜、GE背白B超、飞利浦彩超、彩色经颅多普勒、全自动生化分析仪、麻醉机、全自动电脑搅拌煎药包装机等大型医疗设备。配备救护车</w:t>
      </w:r>
      <w:r>
        <w:rPr>
          <w:rFonts w:hint="eastAsia" w:ascii="仿宋" w:hAnsi="仿宋" w:eastAsia="仿宋" w:cs="仿宋"/>
          <w:spacing w:val="-2"/>
          <w:sz w:val="30"/>
          <w:szCs w:val="30"/>
          <w:lang w:val="en-US" w:eastAsia="zh-CN"/>
        </w:rPr>
        <w:t>两</w:t>
      </w:r>
      <w:r>
        <w:rPr>
          <w:rFonts w:hint="eastAsia" w:ascii="仿宋" w:hAnsi="仿宋" w:eastAsia="仿宋" w:cs="仿宋"/>
          <w:spacing w:val="-2"/>
          <w:sz w:val="30"/>
          <w:szCs w:val="30"/>
        </w:rPr>
        <w:t>辆24小时为病人提供服务。 </w:t>
      </w:r>
    </w:p>
    <w:p>
      <w:pPr>
        <w:shd w:val="clear" w:color="auto" w:fill="FFFFFF"/>
        <w:spacing w:line="580" w:lineRule="exact"/>
        <w:ind w:firstLine="592" w:firstLineChars="200"/>
        <w:rPr>
          <w:rFonts w:ascii="仿宋" w:hAnsi="仿宋" w:eastAsia="仿宋" w:cs="仿宋"/>
          <w:spacing w:val="-2"/>
          <w:sz w:val="30"/>
          <w:szCs w:val="30"/>
        </w:rPr>
      </w:pPr>
      <w:r>
        <w:rPr>
          <w:rFonts w:hint="eastAsia" w:ascii="仿宋" w:hAnsi="仿宋" w:eastAsia="仿宋" w:cs="仿宋"/>
          <w:spacing w:val="-2"/>
          <w:sz w:val="30"/>
          <w:szCs w:val="30"/>
        </w:rPr>
        <w:t>二、</w:t>
      </w:r>
      <w:r>
        <w:rPr>
          <w:rFonts w:ascii="仿宋" w:hAnsi="仿宋" w:eastAsia="仿宋" w:cs="仿宋"/>
          <w:spacing w:val="-2"/>
          <w:sz w:val="30"/>
          <w:szCs w:val="30"/>
        </w:rPr>
        <w:t>整体支出</w:t>
      </w:r>
      <w:r>
        <w:rPr>
          <w:rFonts w:hint="eastAsia" w:ascii="仿宋" w:hAnsi="仿宋" w:eastAsia="仿宋" w:cs="仿宋"/>
          <w:spacing w:val="-2"/>
          <w:sz w:val="30"/>
          <w:szCs w:val="30"/>
        </w:rPr>
        <w:t>管理及使用</w:t>
      </w:r>
      <w:r>
        <w:rPr>
          <w:rFonts w:ascii="仿宋" w:hAnsi="仿宋" w:eastAsia="仿宋" w:cs="仿宋"/>
          <w:spacing w:val="-2"/>
          <w:sz w:val="30"/>
          <w:szCs w:val="30"/>
        </w:rPr>
        <w:t>情况</w:t>
      </w:r>
    </w:p>
    <w:p>
      <w:pPr>
        <w:shd w:val="clear" w:color="auto" w:fill="FFFFFF"/>
        <w:spacing w:line="580" w:lineRule="exact"/>
        <w:ind w:firstLine="592" w:firstLineChars="200"/>
        <w:rPr>
          <w:rFonts w:ascii="仿宋" w:hAnsi="仿宋" w:eastAsia="仿宋" w:cs="仿宋"/>
          <w:color w:val="000000"/>
          <w:spacing w:val="-2"/>
          <w:sz w:val="30"/>
          <w:szCs w:val="30"/>
          <w:shd w:val="clear" w:color="FFFFFF" w:fill="FFFFFF"/>
        </w:rPr>
      </w:pPr>
      <w:r>
        <w:rPr>
          <w:rFonts w:hint="eastAsia" w:ascii="仿宋" w:hAnsi="仿宋" w:eastAsia="仿宋" w:cs="仿宋"/>
          <w:spacing w:val="-2"/>
          <w:sz w:val="30"/>
          <w:szCs w:val="30"/>
        </w:rPr>
        <w:t>整体支出包括医疗业务支出</w:t>
      </w:r>
      <w:r>
        <w:rPr>
          <w:rFonts w:hint="eastAsia" w:ascii="仿宋" w:hAnsi="仿宋" w:eastAsia="仿宋" w:cs="仿宋"/>
          <w:spacing w:val="-2"/>
          <w:sz w:val="30"/>
          <w:szCs w:val="30"/>
          <w:lang w:val="en-US" w:eastAsia="zh-CN"/>
        </w:rPr>
        <w:t>7586</w:t>
      </w:r>
      <w:r>
        <w:rPr>
          <w:rFonts w:hint="eastAsia" w:ascii="仿宋" w:hAnsi="仿宋" w:eastAsia="仿宋" w:cs="仿宋"/>
          <w:spacing w:val="-2"/>
          <w:sz w:val="30"/>
          <w:szCs w:val="30"/>
        </w:rPr>
        <w:t>万元，</w:t>
      </w:r>
      <w:r>
        <w:rPr>
          <w:rFonts w:hint="eastAsia" w:ascii="仿宋" w:hAnsi="仿宋" w:eastAsia="仿宋" w:cs="仿宋"/>
          <w:color w:val="000000"/>
          <w:spacing w:val="-2"/>
          <w:sz w:val="30"/>
          <w:szCs w:val="30"/>
          <w:shd w:val="clear" w:color="FFFFFF" w:fill="FFFFFF"/>
        </w:rPr>
        <w:t>其中定额补助</w:t>
      </w:r>
      <w:r>
        <w:rPr>
          <w:rFonts w:hint="eastAsia" w:ascii="仿宋" w:hAnsi="仿宋" w:eastAsia="仿宋" w:cs="仿宋"/>
          <w:color w:val="000000"/>
          <w:spacing w:val="-2"/>
          <w:sz w:val="30"/>
          <w:szCs w:val="30"/>
          <w:shd w:val="clear" w:color="FFFFFF" w:fill="FFFFFF"/>
          <w:lang w:val="en-US" w:eastAsia="zh-CN"/>
        </w:rPr>
        <w:t>100</w:t>
      </w:r>
      <w:r>
        <w:rPr>
          <w:rFonts w:hint="eastAsia" w:ascii="仿宋" w:hAnsi="仿宋" w:eastAsia="仿宋" w:cs="仿宋"/>
          <w:color w:val="000000"/>
          <w:spacing w:val="-2"/>
          <w:sz w:val="30"/>
          <w:szCs w:val="30"/>
          <w:shd w:val="clear" w:color="FFFFFF" w:fill="FFFFFF"/>
        </w:rPr>
        <w:t>万元。</w:t>
      </w:r>
      <w:r>
        <w:rPr>
          <w:rFonts w:hint="eastAsia" w:ascii="仿宋" w:hAnsi="仿宋" w:eastAsia="仿宋" w:cs="仿宋"/>
          <w:color w:val="000000"/>
          <w:spacing w:val="-2"/>
          <w:sz w:val="30"/>
          <w:szCs w:val="30"/>
          <w:shd w:val="clear" w:color="FFFFFF" w:fill="FFFFFF"/>
          <w:lang w:val="en-US" w:eastAsia="zh-CN"/>
        </w:rPr>
        <w:t>主要</w:t>
      </w:r>
      <w:r>
        <w:rPr>
          <w:rFonts w:hint="eastAsia" w:ascii="仿宋" w:hAnsi="仿宋" w:eastAsia="仿宋" w:cs="仿宋"/>
          <w:color w:val="000000"/>
          <w:spacing w:val="-2"/>
          <w:sz w:val="30"/>
          <w:szCs w:val="30"/>
          <w:shd w:val="clear" w:color="FFFFFF" w:fill="FFFFFF"/>
        </w:rPr>
        <w:t>用于事业单位差额编制在职和临聘人员基本工资</w:t>
      </w:r>
      <w:r>
        <w:rPr>
          <w:rFonts w:hint="eastAsia" w:ascii="仿宋" w:hAnsi="仿宋" w:eastAsia="仿宋" w:cs="仿宋"/>
          <w:color w:val="000000"/>
          <w:spacing w:val="-2"/>
          <w:sz w:val="30"/>
          <w:szCs w:val="30"/>
          <w:shd w:val="clear" w:color="FFFFFF" w:fill="FFFFFF"/>
          <w:lang w:eastAsia="zh-CN"/>
        </w:rPr>
        <w:t>、</w:t>
      </w:r>
      <w:r>
        <w:rPr>
          <w:rFonts w:hint="eastAsia" w:ascii="仿宋" w:hAnsi="仿宋" w:eastAsia="仿宋" w:cs="仿宋"/>
          <w:color w:val="000000"/>
          <w:spacing w:val="-2"/>
          <w:sz w:val="30"/>
          <w:szCs w:val="30"/>
          <w:shd w:val="clear" w:color="FFFFFF" w:fill="FFFFFF"/>
          <w:lang w:val="en-US" w:eastAsia="zh-CN"/>
        </w:rPr>
        <w:t>人才培养，提升医疗技术水平等方面</w:t>
      </w:r>
      <w:r>
        <w:rPr>
          <w:rFonts w:hint="eastAsia" w:ascii="仿宋" w:hAnsi="仿宋" w:eastAsia="仿宋" w:cs="仿宋"/>
          <w:color w:val="000000"/>
          <w:spacing w:val="-2"/>
          <w:sz w:val="30"/>
          <w:szCs w:val="30"/>
          <w:shd w:val="clear" w:color="FFFFFF" w:fill="FFFFFF"/>
        </w:rPr>
        <w:t>。</w:t>
      </w:r>
    </w:p>
    <w:p>
      <w:pPr>
        <w:ind w:firstLine="640" w:firstLineChars="200"/>
        <w:rPr>
          <w:rFonts w:ascii="仿宋" w:hAnsi="仿宋" w:eastAsia="仿宋" w:cs="仿宋"/>
          <w:sz w:val="32"/>
          <w:szCs w:val="32"/>
        </w:rPr>
      </w:pPr>
      <w:r>
        <w:rPr>
          <w:rFonts w:hint="eastAsia" w:ascii="仿宋" w:hAnsi="仿宋" w:eastAsia="仿宋" w:cs="仿宋"/>
          <w:sz w:val="32"/>
          <w:szCs w:val="32"/>
        </w:rPr>
        <w:t>三、制定实施方案，落实考核标准。</w:t>
      </w:r>
    </w:p>
    <w:p>
      <w:pPr>
        <w:shd w:val="clear" w:color="auto" w:fill="FFFFFF"/>
        <w:spacing w:line="580" w:lineRule="exact"/>
        <w:ind w:firstLine="640" w:firstLineChars="200"/>
        <w:rPr>
          <w:rFonts w:ascii="仿宋_GB2312" w:hAnsi="仿宋_GB2312" w:eastAsia="仿宋" w:cs="仿宋_GB2312"/>
          <w:sz w:val="32"/>
          <w:szCs w:val="32"/>
        </w:rPr>
      </w:pPr>
      <w:r>
        <w:rPr>
          <w:rFonts w:hint="eastAsia" w:ascii="仿宋_GB2312" w:hAnsi="仿宋_GB2312" w:eastAsia="仿宋" w:cs="仿宋_GB2312"/>
          <w:sz w:val="32"/>
          <w:szCs w:val="32"/>
        </w:rPr>
        <w:t>为强化医院管理，提高医疗护理质量，我院出台了《科室绩效考评细则》，以发挥奖金的激励机制作用，充分调动全院职工工作积极性，增强全员的服务意识、质量意识和成本意识为目标，明确了全院各职能科室考核细则、评分标准，促进医院良性发展。</w:t>
      </w:r>
    </w:p>
    <w:p>
      <w:pPr>
        <w:shd w:val="clear" w:color="auto" w:fill="FFFFFF"/>
        <w:spacing w:line="580" w:lineRule="exact"/>
        <w:ind w:firstLine="640" w:firstLineChars="200"/>
        <w:rPr>
          <w:rFonts w:ascii="仿宋" w:hAnsi="仿宋" w:eastAsia="仿宋" w:cs="仿宋"/>
          <w:sz w:val="32"/>
          <w:szCs w:val="32"/>
        </w:rPr>
      </w:pPr>
      <w:r>
        <w:rPr>
          <w:rFonts w:hint="eastAsia" w:ascii="仿宋_GB2312" w:hAnsi="仿宋_GB2312" w:eastAsia="仿宋" w:cs="仿宋_GB2312"/>
          <w:sz w:val="32"/>
          <w:szCs w:val="32"/>
        </w:rPr>
        <w:t>四、</w:t>
      </w:r>
      <w:r>
        <w:rPr>
          <w:rFonts w:hint="eastAsia" w:ascii="仿宋" w:hAnsi="仿宋" w:eastAsia="仿宋" w:cs="仿宋"/>
          <w:sz w:val="32"/>
          <w:szCs w:val="32"/>
        </w:rPr>
        <w:t>加强医患沟通，改善服务态度。</w:t>
      </w:r>
    </w:p>
    <w:p>
      <w:pPr>
        <w:shd w:val="clear" w:color="auto" w:fill="FFFFFF"/>
        <w:spacing w:line="580" w:lineRule="exact"/>
        <w:ind w:firstLine="640" w:firstLineChars="200"/>
        <w:rPr>
          <w:rFonts w:ascii="仿宋_GB2312" w:hAnsi="仿宋_GB2312" w:eastAsia="仿宋" w:cs="仿宋_GB2312"/>
          <w:sz w:val="32"/>
          <w:szCs w:val="32"/>
        </w:rPr>
      </w:pPr>
      <w:r>
        <w:rPr>
          <w:rFonts w:hint="eastAsia" w:ascii="仿宋" w:hAnsi="仿宋" w:eastAsia="仿宋" w:cs="仿宋"/>
          <w:sz w:val="32"/>
          <w:szCs w:val="32"/>
          <w:lang w:val="en-US" w:eastAsia="zh-CN"/>
        </w:rPr>
        <w:t>因部分</w:t>
      </w:r>
      <w:r>
        <w:rPr>
          <w:rFonts w:hint="eastAsia" w:ascii="仿宋" w:hAnsi="仿宋" w:eastAsia="仿宋" w:cs="仿宋"/>
          <w:sz w:val="32"/>
          <w:szCs w:val="32"/>
        </w:rPr>
        <w:t>医护人员服务意识不强、与患者沟通不到位等问题，我</w:t>
      </w:r>
      <w:r>
        <w:rPr>
          <w:rFonts w:hint="eastAsia" w:ascii="仿宋" w:hAnsi="仿宋" w:eastAsia="仿宋" w:cs="仿宋"/>
          <w:sz w:val="32"/>
          <w:szCs w:val="32"/>
          <w:lang w:val="en-US" w:eastAsia="zh-CN"/>
        </w:rPr>
        <w:t>院采取</w:t>
      </w:r>
      <w:r>
        <w:rPr>
          <w:rFonts w:hint="eastAsia" w:ascii="仿宋" w:hAnsi="仿宋" w:eastAsia="仿宋" w:cs="仿宋"/>
          <w:sz w:val="32"/>
          <w:szCs w:val="32"/>
        </w:rPr>
        <w:t>不断加强对职工的教育和培训，</w:t>
      </w:r>
      <w:r>
        <w:rPr>
          <w:rFonts w:hint="eastAsia" w:ascii="仿宋_GB2312" w:hAnsi="仿宋_GB2312" w:eastAsia="仿宋" w:cs="仿宋_GB2312"/>
          <w:sz w:val="32"/>
          <w:szCs w:val="32"/>
        </w:rPr>
        <w:t>增强职工的服务意识，加强医患沟通。我院</w:t>
      </w:r>
      <w:r>
        <w:rPr>
          <w:rFonts w:hint="eastAsia" w:ascii="仿宋_GB2312" w:hAnsi="仿宋_GB2312" w:eastAsia="仿宋" w:cs="仿宋_GB2312"/>
          <w:sz w:val="32"/>
          <w:szCs w:val="32"/>
          <w:lang w:val="en-US" w:eastAsia="zh-CN"/>
        </w:rPr>
        <w:t>还将</w:t>
      </w:r>
      <w:r>
        <w:rPr>
          <w:rFonts w:hint="eastAsia" w:ascii="仿宋_GB2312" w:hAnsi="仿宋_GB2312" w:eastAsia="仿宋" w:cs="仿宋_GB2312"/>
          <w:sz w:val="32"/>
          <w:szCs w:val="32"/>
        </w:rPr>
        <w:t>定期组织</w:t>
      </w:r>
      <w:r>
        <w:rPr>
          <w:rFonts w:hint="eastAsia" w:ascii="仿宋_GB2312" w:hAnsi="仿宋_GB2312" w:eastAsia="仿宋" w:cs="仿宋_GB2312"/>
          <w:sz w:val="32"/>
          <w:szCs w:val="32"/>
          <w:lang w:val="en-US" w:eastAsia="zh-CN"/>
        </w:rPr>
        <w:t>职工大会，</w:t>
      </w:r>
      <w:r>
        <w:rPr>
          <w:rFonts w:hint="eastAsia" w:ascii="仿宋_GB2312" w:hAnsi="仿宋_GB2312" w:eastAsia="仿宋" w:cs="仿宋_GB2312"/>
          <w:sz w:val="32"/>
          <w:szCs w:val="32"/>
        </w:rPr>
        <w:t>分析医院当前面临的形势和任务，要求全体医护人员牢固树立“以病人为中心”的</w:t>
      </w:r>
      <w:r>
        <w:rPr>
          <w:rFonts w:hint="eastAsia" w:ascii="仿宋_GB2312" w:hAnsi="仿宋_GB2312" w:eastAsia="仿宋" w:cs="仿宋_GB2312"/>
          <w:sz w:val="32"/>
          <w:szCs w:val="32"/>
          <w:lang w:val="en-US" w:eastAsia="zh-CN"/>
        </w:rPr>
        <w:t>服务</w:t>
      </w:r>
      <w:r>
        <w:rPr>
          <w:rFonts w:hint="eastAsia" w:ascii="仿宋_GB2312" w:hAnsi="仿宋_GB2312" w:eastAsia="仿宋" w:cs="仿宋_GB2312"/>
          <w:sz w:val="32"/>
          <w:szCs w:val="32"/>
        </w:rPr>
        <w:t>理念，增强服务意识和责任意识，改善服务态度和服务方式，尊重每一位患者，多与患者进行讲技巧、知内容、会方法、有质量的沟通，赢得患者的信任和理解，缓解医患矛盾，建立和谐医患关系，提高患者满意度。</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提高医疗服务质量，完善医疗服务水平。</w:t>
      </w:r>
    </w:p>
    <w:p>
      <w:pPr>
        <w:numPr>
          <w:ilvl w:val="0"/>
          <w:numId w:val="0"/>
        </w:num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医疗质量安全涉及医院方方面面，各质量管理职能部门各负其责，既有分工又有协作，做到医疗护理服务质量和后勤安全建设齐抓并管，确保患者安全。</w:t>
      </w:r>
    </w:p>
    <w:p>
      <w:pPr>
        <w:ind w:firstLine="643" w:firstLineChars="200"/>
        <w:rPr>
          <w:rFonts w:ascii="仿宋_GB2312" w:hAnsi="仿宋_GB2312" w:eastAsia="仿宋" w:cs="仿宋_GB2312"/>
          <w:sz w:val="32"/>
          <w:szCs w:val="32"/>
        </w:rPr>
      </w:pPr>
      <w:r>
        <w:rPr>
          <w:rFonts w:hint="eastAsia" w:ascii="仿宋_GB2312" w:hAnsi="仿宋_GB2312" w:eastAsia="仿宋" w:cs="仿宋_GB2312"/>
          <w:b/>
          <w:bCs/>
          <w:sz w:val="32"/>
          <w:szCs w:val="32"/>
        </w:rPr>
        <w:t>一是</w:t>
      </w:r>
      <w:r>
        <w:rPr>
          <w:rFonts w:hint="eastAsia" w:ascii="仿宋_GB2312" w:hAnsi="仿宋_GB2312" w:eastAsia="仿宋" w:cs="仿宋_GB2312"/>
          <w:b w:val="0"/>
          <w:bCs w:val="0"/>
          <w:sz w:val="32"/>
          <w:szCs w:val="32"/>
        </w:rPr>
        <w:t>各部门按质量检查标准定期进行检查，对检查中发现的安全隐患问题，采取有效纠正、预防措施，及时进行整改。并按要求进行汇总上报主管院长。对重要安全问题在院周会上强调引起全院重视，消除隐患、确保安全。</w:t>
      </w:r>
      <w:r>
        <w:rPr>
          <w:rFonts w:hint="eastAsia" w:ascii="仿宋_GB2312" w:hAnsi="仿宋_GB2312" w:eastAsia="仿宋" w:cs="仿宋_GB2312"/>
          <w:b/>
          <w:bCs/>
          <w:sz w:val="32"/>
          <w:szCs w:val="32"/>
        </w:rPr>
        <w:t>二是</w:t>
      </w:r>
      <w:r>
        <w:rPr>
          <w:rFonts w:hint="eastAsia" w:ascii="仿宋_GB2312" w:hAnsi="仿宋_GB2312" w:eastAsia="仿宋" w:cs="仿宋_GB2312"/>
          <w:b w:val="0"/>
          <w:bCs w:val="0"/>
          <w:sz w:val="32"/>
          <w:szCs w:val="32"/>
        </w:rPr>
        <w:t>每季度进行一次联合检查（以内审形式）并记录，对全院医疗质量情况进行分析总结，形成审核报告</w:t>
      </w:r>
      <w:r>
        <w:rPr>
          <w:rFonts w:hint="eastAsia" w:ascii="仿宋_GB2312" w:hAnsi="仿宋_GB2312" w:eastAsia="仿宋" w:cs="仿宋_GB2312"/>
          <w:sz w:val="32"/>
          <w:szCs w:val="32"/>
        </w:rPr>
        <w:t>。</w:t>
      </w:r>
      <w:r>
        <w:rPr>
          <w:rFonts w:hint="eastAsia" w:ascii="仿宋_GB2312" w:hAnsi="仿宋_GB2312" w:eastAsia="仿宋" w:cs="仿宋_GB2312"/>
          <w:b/>
          <w:bCs/>
          <w:sz w:val="32"/>
          <w:szCs w:val="32"/>
        </w:rPr>
        <w:t>三是</w:t>
      </w:r>
      <w:r>
        <w:rPr>
          <w:rFonts w:hint="eastAsia" w:ascii="仿宋_GB2312" w:hAnsi="仿宋_GB2312" w:eastAsia="仿宋" w:cs="仿宋_GB2312"/>
          <w:sz w:val="32"/>
          <w:szCs w:val="32"/>
        </w:rPr>
        <w:t>强化各环节质量检查工作，每月不定期到各临床、医技科室进行质量检查，对各科室临床危急值实行动态监管，开展绿色通道，细化会诊转诊流程，增强科室之间合作意识。</w:t>
      </w:r>
      <w:r>
        <w:rPr>
          <w:rFonts w:hint="eastAsia" w:ascii="仿宋_GB2312" w:hAnsi="仿宋_GB2312" w:eastAsia="仿宋" w:cs="仿宋_GB2312"/>
          <w:b/>
          <w:bCs/>
          <w:sz w:val="32"/>
          <w:szCs w:val="32"/>
        </w:rPr>
        <w:t>四是</w:t>
      </w:r>
      <w:r>
        <w:rPr>
          <w:rFonts w:hint="eastAsia" w:ascii="仿宋_GB2312" w:hAnsi="仿宋_GB2312" w:eastAsia="仿宋" w:cs="仿宋_GB2312"/>
          <w:b w:val="0"/>
          <w:bCs w:val="0"/>
          <w:sz w:val="32"/>
          <w:szCs w:val="32"/>
          <w:lang w:eastAsia="zh-CN"/>
        </w:rPr>
        <w:t>医务科以定期和不定期的形式对全院医疗质量进行全面检查，尤其是对病历书写规范性及时性、合理检查、合理诊断、合理用药以及临床用血、知情告知、处方规范等重点环节加大质量管理，对质量检查中发现的问题要进行认真研究及时反馈，提出整改措施和对策。</w:t>
      </w:r>
      <w:r>
        <w:rPr>
          <w:rFonts w:hint="eastAsia" w:ascii="仿宋_GB2312" w:hAnsi="仿宋_GB2312" w:eastAsia="仿宋" w:cs="仿宋_GB2312"/>
          <w:b/>
          <w:bCs/>
          <w:sz w:val="32"/>
          <w:szCs w:val="32"/>
          <w:lang w:val="en-US" w:eastAsia="zh-CN"/>
        </w:rPr>
        <w:t>五</w:t>
      </w:r>
      <w:r>
        <w:rPr>
          <w:rFonts w:hint="eastAsia" w:ascii="仿宋_GB2312" w:hAnsi="仿宋_GB2312" w:eastAsia="仿宋" w:cs="仿宋_GB2312"/>
          <w:b/>
          <w:bCs/>
          <w:sz w:val="32"/>
          <w:szCs w:val="32"/>
        </w:rPr>
        <w:t>是</w:t>
      </w:r>
      <w:r>
        <w:rPr>
          <w:rFonts w:hint="eastAsia" w:ascii="仿宋_GB2312" w:hAnsi="仿宋_GB2312" w:eastAsia="仿宋" w:cs="仿宋_GB2312"/>
          <w:sz w:val="32"/>
          <w:szCs w:val="32"/>
        </w:rPr>
        <w:t>强化医院感染管理，预防和控制医院感染。我院制定了院感控制方案，成立了领导小组，随时督查，层层签订了责任状，科主任、护士长为第一责任人，严格执行院感有关管理规定，严格执行无菌操作技术，按照《医疗废物管理条例》等法规和规章，加强对医疗废物的分类、运送、暂存处理工作，加强了医疗废物的规范化管理，有效预防和控制医院感染，杜绝感染事件发生。</w:t>
      </w:r>
      <w:r>
        <w:rPr>
          <w:rFonts w:hint="eastAsia" w:ascii="仿宋_GB2312" w:hAnsi="仿宋_GB2312" w:eastAsia="仿宋" w:cs="仿宋_GB2312"/>
          <w:b/>
          <w:bCs/>
          <w:sz w:val="32"/>
          <w:szCs w:val="32"/>
          <w:lang w:val="en-US" w:eastAsia="zh-CN"/>
        </w:rPr>
        <w:t>六</w:t>
      </w:r>
      <w:r>
        <w:rPr>
          <w:rFonts w:hint="eastAsia" w:ascii="仿宋_GB2312" w:hAnsi="仿宋_GB2312" w:eastAsia="仿宋" w:cs="仿宋_GB2312"/>
          <w:b/>
          <w:bCs/>
          <w:sz w:val="32"/>
          <w:szCs w:val="32"/>
        </w:rPr>
        <w:t>是</w:t>
      </w:r>
      <w:r>
        <w:rPr>
          <w:rFonts w:hint="eastAsia" w:ascii="仿宋_GB2312" w:hAnsi="仿宋_GB2312" w:eastAsia="仿宋" w:cs="仿宋_GB2312"/>
          <w:b w:val="0"/>
          <w:bCs w:val="0"/>
          <w:sz w:val="32"/>
          <w:szCs w:val="32"/>
          <w:lang w:eastAsia="zh-CN"/>
        </w:rPr>
        <w:t>各职能部门以定期和不定期的形式检查是否按病种进行收费；是否按规定的医疗服务项目和标准收费、有无违规自立项目收费、分解项目收费、擅自提高收费标准和重复收费等乱收费行为；药品(中药饮片除外)零差率执行情况；是否落实费用清单制度;是否落实医疗服务价格公示制度；使用一次性医用卫生材料，是否按政策规定进行收费；有无重复收取一次性卫生材料费;允许单独收费的一次性卫生材料，有无超过规定的加价率(额)，以及是否存在虚增使用数量等方式变相多收费。</w:t>
      </w:r>
      <w:r>
        <w:rPr>
          <w:rFonts w:hint="eastAsia" w:ascii="仿宋_GB2312" w:hAnsi="仿宋_GB2312" w:eastAsia="仿宋" w:cs="仿宋_GB2312"/>
          <w:b/>
          <w:bCs/>
          <w:sz w:val="32"/>
          <w:szCs w:val="32"/>
          <w:lang w:val="en-US" w:eastAsia="zh-CN"/>
        </w:rPr>
        <w:t>七</w:t>
      </w:r>
      <w:r>
        <w:rPr>
          <w:rFonts w:hint="eastAsia" w:ascii="仿宋_GB2312" w:hAnsi="仿宋_GB2312" w:eastAsia="仿宋" w:cs="仿宋_GB2312"/>
          <w:b/>
          <w:bCs/>
          <w:sz w:val="32"/>
          <w:szCs w:val="32"/>
        </w:rPr>
        <w:t>是</w:t>
      </w:r>
      <w:r>
        <w:rPr>
          <w:rFonts w:hint="eastAsia" w:ascii="仿宋_GB2312" w:hAnsi="仿宋_GB2312" w:eastAsia="仿宋" w:cs="仿宋_GB2312"/>
          <w:b w:val="0"/>
          <w:bCs w:val="0"/>
          <w:sz w:val="32"/>
          <w:szCs w:val="32"/>
          <w:lang w:eastAsia="zh-CN"/>
        </w:rPr>
        <w:t>各职能部门要定期多部门联合下科室进行质量检查，重点检查医疗卫生法律、法规和规章制度执行情况，上级医师查房指导能力，住院医师“三基”能力和“三严”作风。</w:t>
      </w:r>
      <w:r>
        <w:rPr>
          <w:rFonts w:hint="eastAsia" w:ascii="仿宋_GB2312" w:hAnsi="仿宋_GB2312" w:eastAsia="仿宋" w:cs="仿宋_GB2312"/>
          <w:b/>
          <w:bCs/>
          <w:sz w:val="32"/>
          <w:szCs w:val="32"/>
          <w:lang w:val="en-US" w:eastAsia="zh-CN"/>
        </w:rPr>
        <w:t>八</w:t>
      </w:r>
      <w:r>
        <w:rPr>
          <w:rFonts w:hint="eastAsia" w:ascii="仿宋_GB2312" w:hAnsi="仿宋_GB2312" w:eastAsia="仿宋" w:cs="仿宋_GB2312"/>
          <w:b/>
          <w:bCs/>
          <w:sz w:val="32"/>
          <w:szCs w:val="32"/>
        </w:rPr>
        <w:t>是</w:t>
      </w:r>
      <w:r>
        <w:rPr>
          <w:rFonts w:hint="eastAsia" w:ascii="仿宋_GB2312" w:hAnsi="仿宋_GB2312" w:eastAsia="仿宋" w:cs="仿宋_GB2312"/>
          <w:sz w:val="32"/>
          <w:szCs w:val="32"/>
        </w:rPr>
        <w:t>加强医疗质量安全教育，定期组织医务人员开展医疗安全相关法律法规专题讲座培训，结合典型案例进行剖析，教育广大医务人员如何有效地防范医疗纠纷，保护患者和及其医务人员自身合法权益，提高医务人员法律意识、医疗安全意识和自我保护意识。</w:t>
      </w:r>
    </w:p>
    <w:p>
      <w:pPr>
        <w:ind w:firstLine="640" w:firstLineChars="200"/>
        <w:rPr>
          <w:rFonts w:ascii="仿宋" w:hAnsi="仿宋" w:eastAsia="仿宋" w:cs="仿宋"/>
          <w:sz w:val="32"/>
          <w:szCs w:val="32"/>
        </w:rPr>
      </w:pPr>
      <w:r>
        <w:rPr>
          <w:rFonts w:hint="eastAsia" w:ascii="仿宋" w:hAnsi="仿宋" w:eastAsia="仿宋" w:cs="仿宋"/>
          <w:sz w:val="32"/>
          <w:szCs w:val="32"/>
        </w:rPr>
        <w:t>七、管理运行状况</w:t>
      </w:r>
    </w:p>
    <w:p>
      <w:pPr>
        <w:ind w:firstLine="640" w:firstLineChars="200"/>
        <w:rPr>
          <w:rFonts w:ascii="仿宋_GB2312" w:hAnsi="仿宋_GB2312" w:eastAsia="仿宋" w:cs="仿宋_GB2312"/>
          <w:sz w:val="32"/>
          <w:szCs w:val="32"/>
        </w:rPr>
      </w:pPr>
      <w:r>
        <w:rPr>
          <w:rFonts w:hint="eastAsia" w:ascii="仿宋" w:hAnsi="仿宋" w:eastAsia="仿宋" w:cs="仿宋"/>
          <w:sz w:val="32"/>
          <w:szCs w:val="32"/>
          <w:lang w:eastAsia="zh-CN"/>
        </w:rPr>
        <w:t>为了正确执行国家价格政策,规范医院价格收费,维护患者与医院的合法权益,加强医疗服务收费管理，</w:t>
      </w:r>
      <w:r>
        <w:rPr>
          <w:rFonts w:hint="eastAsia" w:ascii="仿宋" w:hAnsi="仿宋" w:eastAsia="仿宋" w:cs="仿宋"/>
          <w:sz w:val="32"/>
          <w:szCs w:val="32"/>
        </w:rPr>
        <w:t>加强院务公开</w:t>
      </w:r>
      <w:r>
        <w:rPr>
          <w:rFonts w:hint="eastAsia" w:ascii="仿宋_GB2312" w:hAnsi="仿宋_GB2312" w:eastAsia="仿宋" w:cs="仿宋_GB2312"/>
          <w:sz w:val="32"/>
          <w:szCs w:val="32"/>
        </w:rPr>
        <w:t xml:space="preserve">针对新农合报销流程和比例、药品价格等热点问题，我院在门诊大厅和门诊收费处醒目位置，利用电子显示屏社会全面公示公开了药品、检查、收费项目和收费标准。  </w:t>
      </w:r>
    </w:p>
    <w:p>
      <w:pPr>
        <w:ind w:firstLine="640" w:firstLineChars="200"/>
        <w:rPr>
          <w:rFonts w:ascii="仿宋_GB2312" w:hAnsi="仿宋_GB2312" w:eastAsia="仿宋_GB2312" w:cs="仿宋_GB2312"/>
          <w:sz w:val="32"/>
          <w:szCs w:val="32"/>
        </w:rPr>
      </w:pPr>
    </w:p>
    <w:p>
      <w:pPr>
        <w:shd w:val="clear" w:color="auto" w:fill="FFFFFF"/>
        <w:spacing w:line="580" w:lineRule="exact"/>
        <w:ind w:firstLine="640" w:firstLineChars="200"/>
        <w:rPr>
          <w:rFonts w:ascii="仿宋_GB2312" w:hAnsi="仿宋_GB2312" w:eastAsia="仿宋_GB2312" w:cs="仿宋_GB2312"/>
          <w:sz w:val="32"/>
          <w:szCs w:val="32"/>
        </w:rPr>
      </w:pPr>
    </w:p>
    <w:p>
      <w:pPr>
        <w:shd w:val="clear" w:color="auto" w:fill="FFFFFF"/>
        <w:spacing w:line="580" w:lineRule="exact"/>
        <w:ind w:firstLine="947" w:firstLineChars="320"/>
        <w:rPr>
          <w:rFonts w:ascii="仿宋" w:hAnsi="仿宋" w:eastAsia="仿宋" w:cs="仿宋"/>
          <w:spacing w:val="-2"/>
          <w:sz w:val="30"/>
          <w:szCs w:val="30"/>
        </w:rPr>
      </w:pPr>
    </w:p>
    <w:p>
      <w:pPr>
        <w:shd w:val="clear" w:color="auto" w:fill="FFFFFF"/>
        <w:spacing w:line="580" w:lineRule="exact"/>
        <w:ind w:firstLine="947" w:firstLineChars="320"/>
        <w:rPr>
          <w:rFonts w:ascii="仿宋" w:hAnsi="仿宋" w:eastAsia="仿宋" w:cs="仿宋"/>
          <w:spacing w:val="-2"/>
          <w:sz w:val="30"/>
          <w:szCs w:val="30"/>
        </w:rPr>
      </w:pPr>
      <w:r>
        <w:rPr>
          <w:rFonts w:hint="eastAsia" w:ascii="仿宋" w:hAnsi="仿宋" w:eastAsia="仿宋" w:cs="仿宋"/>
          <w:spacing w:val="-2"/>
          <w:sz w:val="30"/>
          <w:szCs w:val="30"/>
        </w:rPr>
        <w:t xml:space="preserve">                       芷江侗族自治县</w:t>
      </w:r>
      <w:r>
        <w:rPr>
          <w:rFonts w:hint="eastAsia" w:ascii="仿宋" w:hAnsi="仿宋" w:eastAsia="仿宋" w:cs="仿宋"/>
          <w:spacing w:val="-2"/>
          <w:sz w:val="30"/>
          <w:szCs w:val="30"/>
          <w:lang w:val="en-US" w:eastAsia="zh-CN"/>
        </w:rPr>
        <w:t>中医</w:t>
      </w:r>
      <w:r>
        <w:rPr>
          <w:rFonts w:hint="eastAsia" w:ascii="仿宋" w:hAnsi="仿宋" w:eastAsia="仿宋" w:cs="仿宋"/>
          <w:spacing w:val="-2"/>
          <w:sz w:val="30"/>
          <w:szCs w:val="30"/>
        </w:rPr>
        <w:t>医院</w:t>
      </w:r>
    </w:p>
    <w:p>
      <w:pPr>
        <w:shd w:val="clear" w:color="auto" w:fill="FFFFFF"/>
        <w:spacing w:line="580" w:lineRule="exact"/>
        <w:ind w:firstLine="947" w:firstLineChars="320"/>
        <w:rPr>
          <w:rFonts w:ascii="仿宋" w:hAnsi="仿宋" w:eastAsia="仿宋" w:cs="仿宋"/>
          <w:spacing w:val="-2"/>
          <w:sz w:val="30"/>
          <w:szCs w:val="30"/>
        </w:rPr>
      </w:pPr>
      <w:r>
        <w:rPr>
          <w:rFonts w:hint="eastAsia" w:ascii="仿宋" w:hAnsi="仿宋" w:eastAsia="仿宋" w:cs="仿宋"/>
          <w:spacing w:val="-2"/>
          <w:sz w:val="30"/>
          <w:szCs w:val="30"/>
        </w:rPr>
        <w:t xml:space="preserve">                          </w:t>
      </w:r>
      <w:r>
        <w:rPr>
          <w:rFonts w:hint="eastAsia" w:ascii="仿宋" w:hAnsi="仿宋" w:eastAsia="仿宋" w:cs="仿宋"/>
          <w:spacing w:val="-2"/>
          <w:sz w:val="30"/>
          <w:szCs w:val="30"/>
          <w:lang w:eastAsia="zh-CN"/>
        </w:rPr>
        <w:t>二〇二二年六月</w:t>
      </w:r>
      <w:r>
        <w:rPr>
          <w:rFonts w:hint="eastAsia" w:ascii="仿宋" w:hAnsi="仿宋" w:eastAsia="仿宋" w:cs="仿宋"/>
          <w:spacing w:val="-2"/>
          <w:sz w:val="30"/>
          <w:szCs w:val="30"/>
          <w:lang w:val="en-US" w:eastAsia="zh-CN"/>
        </w:rPr>
        <w:t>一</w:t>
      </w:r>
      <w:r>
        <w:rPr>
          <w:rFonts w:hint="eastAsia" w:ascii="仿宋" w:hAnsi="仿宋" w:eastAsia="仿宋" w:cs="仿宋"/>
          <w:spacing w:val="-2"/>
          <w:sz w:val="30"/>
          <w:szCs w:val="30"/>
          <w:lang w:eastAsia="zh-CN"/>
        </w:rPr>
        <w:t>日</w:t>
      </w:r>
    </w:p>
    <w:p>
      <w:pPr>
        <w:shd w:val="clear" w:color="auto" w:fill="FFFFFF"/>
        <w:spacing w:line="580" w:lineRule="exact"/>
        <w:ind w:firstLine="947" w:firstLineChars="320"/>
        <w:rPr>
          <w:rFonts w:ascii="仿宋" w:hAnsi="仿宋" w:eastAsia="仿宋" w:cs="仿宋"/>
          <w:spacing w:val="-2"/>
          <w:sz w:val="30"/>
          <w:szCs w:val="30"/>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5</w:t>
      </w:r>
    </w:p>
    <w:p>
      <w:pPr>
        <w:widowControl/>
        <w:ind w:left="93"/>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lang w:eastAsia="zh-CN"/>
        </w:rPr>
        <w:t>专项</w:t>
      </w:r>
      <w:r>
        <w:rPr>
          <w:rFonts w:hint="eastAsia" w:ascii="方正小标宋_GBK" w:hAnsi="宋体" w:eastAsia="方正小标宋_GBK" w:cs="宋体"/>
          <w:kern w:val="0"/>
          <w:sz w:val="36"/>
          <w:szCs w:val="36"/>
        </w:rPr>
        <w:t>资金绩效评价共性指标表</w:t>
      </w:r>
    </w:p>
    <w:p>
      <w:pPr>
        <w:widowControl/>
        <w:tabs>
          <w:tab w:val="left" w:pos="833"/>
          <w:tab w:val="left" w:pos="1533"/>
          <w:tab w:val="left" w:pos="2533"/>
          <w:tab w:val="left" w:pos="4833"/>
        </w:tabs>
        <w:ind w:left="93"/>
        <w:jc w:val="left"/>
        <w:rPr>
          <w:rFonts w:ascii="宋体" w:cs="宋体"/>
          <w:kern w:val="0"/>
          <w:sz w:val="24"/>
        </w:rPr>
      </w:pPr>
    </w:p>
    <w:tbl>
      <w:tblPr>
        <w:tblStyle w:val="6"/>
        <w:tblW w:w="9489" w:type="dxa"/>
        <w:tblInd w:w="0" w:type="dxa"/>
        <w:tblLayout w:type="fixed"/>
        <w:tblCellMar>
          <w:top w:w="0" w:type="dxa"/>
          <w:left w:w="108" w:type="dxa"/>
          <w:bottom w:w="0" w:type="dxa"/>
          <w:right w:w="108" w:type="dxa"/>
        </w:tblCellMar>
      </w:tblPr>
      <w:tblGrid>
        <w:gridCol w:w="385"/>
        <w:gridCol w:w="364"/>
        <w:gridCol w:w="855"/>
        <w:gridCol w:w="416"/>
        <w:gridCol w:w="2316"/>
        <w:gridCol w:w="4680"/>
        <w:gridCol w:w="473"/>
      </w:tblGrid>
      <w:tr>
        <w:tblPrEx>
          <w:tblCellMar>
            <w:top w:w="0" w:type="dxa"/>
            <w:left w:w="108" w:type="dxa"/>
            <w:bottom w:w="0" w:type="dxa"/>
            <w:right w:w="108" w:type="dxa"/>
          </w:tblCellMar>
        </w:tblPrEx>
        <w:trPr>
          <w:tblHeader/>
        </w:trPr>
        <w:tc>
          <w:tcPr>
            <w:tcW w:w="385" w:type="dxa"/>
            <w:tcBorders>
              <w:top w:val="single" w:color="auto" w:sz="4" w:space="0"/>
              <w:left w:val="single" w:color="auto" w:sz="4" w:space="0"/>
              <w:bottom w:val="nil"/>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一级</w:t>
            </w:r>
          </w:p>
        </w:tc>
        <w:tc>
          <w:tcPr>
            <w:tcW w:w="364" w:type="dxa"/>
            <w:tcBorders>
              <w:top w:val="single" w:color="auto" w:sz="4" w:space="0"/>
              <w:left w:val="nil"/>
              <w:bottom w:val="nil"/>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二级</w:t>
            </w:r>
          </w:p>
        </w:tc>
        <w:tc>
          <w:tcPr>
            <w:tcW w:w="855"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三级指标</w:t>
            </w:r>
          </w:p>
        </w:tc>
        <w:tc>
          <w:tcPr>
            <w:tcW w:w="41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分值</w:t>
            </w:r>
          </w:p>
        </w:tc>
        <w:tc>
          <w:tcPr>
            <w:tcW w:w="231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指标解释</w:t>
            </w:r>
          </w:p>
        </w:tc>
        <w:tc>
          <w:tcPr>
            <w:tcW w:w="46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指标说明</w:t>
            </w:r>
          </w:p>
        </w:tc>
        <w:tc>
          <w:tcPr>
            <w:tcW w:w="473"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得分</w:t>
            </w:r>
          </w:p>
        </w:tc>
      </w:tr>
      <w:tr>
        <w:tblPrEx>
          <w:tblCellMar>
            <w:top w:w="0" w:type="dxa"/>
            <w:left w:w="108" w:type="dxa"/>
            <w:bottom w:w="0" w:type="dxa"/>
            <w:right w:w="108" w:type="dxa"/>
          </w:tblCellMar>
        </w:tblPrEx>
        <w:trPr>
          <w:tblHeader/>
        </w:trPr>
        <w:tc>
          <w:tcPr>
            <w:tcW w:w="385"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w:t>
            </w:r>
          </w:p>
        </w:tc>
        <w:tc>
          <w:tcPr>
            <w:tcW w:w="364"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w:t>
            </w:r>
          </w:p>
        </w:tc>
        <w:tc>
          <w:tcPr>
            <w:tcW w:w="855"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231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46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473"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投入</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项目立项</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项目立项规范性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项目的申请、设立过程是否符合相关要求，用以反映和考核项目立项的规范情况。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①项目是否按照规定的程序申请设立；</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②所提交的文件、材料是否符合相关要求；</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③事前是否已经过必要的可行性研究、专家论证、风险评估、集体决策等。</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绩效目标合理性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4</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项目所设定的绩效目标是否依椐充分，是否符合客观实际，用以反映和考核项目绩效目标与项目实施的相符情况。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①是否符合国家相关法律法规，国民经济发展规划和党委政府决策；</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②是否与项目实施单位或委托单位职责密切相关；</w:t>
            </w:r>
          </w:p>
        </w:tc>
        <w:tc>
          <w:tcPr>
            <w:tcW w:w="473" w:type="dxa"/>
            <w:tcBorders>
              <w:top w:val="nil"/>
              <w:left w:val="nil"/>
              <w:bottom w:val="nil"/>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③项目是否为促进事业发展所必需；</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④项目顸期产出效益和效果是否符合正常的业绩水平。</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绩效指标明确性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4</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依椐绩效目标设定的绩效指标是否清晰、细化、可衡量等，用以反映和考核项目绩效目标的明细化情况。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①是否将项目绩效目标细化分解为具体的绩效指标；</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②是否通过清晰、可衡量的指标值予以体现；</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③是否与项目年度任务教或计划数相对应；</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④是否与预期确定的项目投资</w:t>
            </w:r>
            <w:r>
              <w:rPr>
                <w:rFonts w:hint="eastAsia" w:ascii="宋体" w:hAnsi="宋体" w:cs="宋体"/>
                <w:color w:val="000000"/>
                <w:kern w:val="0"/>
                <w:sz w:val="20"/>
                <w:szCs w:val="20"/>
              </w:rPr>
              <w:t>额</w:t>
            </w:r>
            <w:r>
              <w:rPr>
                <w:rFonts w:hint="eastAsia" w:ascii="仿宋_GB2312" w:hAnsi="仿宋_GB2312" w:eastAsia="仿宋_GB2312" w:cs="仿宋_GB2312"/>
                <w:color w:val="000000"/>
                <w:kern w:val="0"/>
                <w:sz w:val="20"/>
                <w:szCs w:val="20"/>
              </w:rPr>
              <w:t>或资金量相匹配。</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资金落实</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资金到位率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实际到位资金与计划投入资金的比率，用以反映和考核资金落实情况对项目实施的总体保障程度。</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资金到位率</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（实际到位资金</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计划投入资金）×</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实际到位资金：一定时期（本年度或项目期）内实际落实到具体项目的资金。</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计划投入资金：一定时期（本年度或项目期）内计划投入到具体项目的资金。</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到位及时率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及时到位资金与应到位资金的比率，用以反映和考核项目资金落实的及时性程度。</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到位及时率＝（及时到位资金</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应到位资金）×</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及时到位资金：截至规定时点实际落实到具体项目的资金。</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r>
      <w:tr>
        <w:tblPrEx>
          <w:tblCellMar>
            <w:top w:w="0" w:type="dxa"/>
            <w:left w:w="108" w:type="dxa"/>
            <w:bottom w:w="0" w:type="dxa"/>
            <w:right w:w="108" w:type="dxa"/>
          </w:tblCellMar>
        </w:tblPrEx>
        <w:trPr>
          <w:trHeight w:val="764"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应到位资金：按照合同或项目进度要求截至规定时点应落实到具体项目的资金。</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过程</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业务管理</w:t>
            </w: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管理制度健全性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项目实施单位的业务管理制度是否健全，用以反映和考核业务管理制度对项目顺利实施的保障情况。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①是否已制定或具有相应的业务管理制度；</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836"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②业务管理制度是否合法、合规、完整。</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制度执行有效性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项目实施是否符合相关业务管理规定，用以反映和考核业务管理制度的有效执行</w:t>
            </w:r>
            <w:r>
              <w:rPr>
                <w:rFonts w:hint="eastAsia" w:ascii="仿宋_GB2312" w:hAnsi="宋体" w:eastAsia="仿宋_GB2312" w:cs="宋体"/>
                <w:color w:val="000000"/>
                <w:kern w:val="0"/>
                <w:sz w:val="20"/>
                <w:szCs w:val="20"/>
                <w:lang w:eastAsia="zh-CN"/>
              </w:rPr>
              <w:t>情况</w:t>
            </w:r>
            <w:r>
              <w:rPr>
                <w:rFonts w:hint="eastAsia" w:ascii="仿宋_GB2312" w:hAnsi="宋体" w:eastAsia="仿宋_GB2312" w:cs="宋体"/>
                <w:color w:val="000000"/>
                <w:kern w:val="0"/>
                <w:sz w:val="20"/>
                <w:szCs w:val="20"/>
              </w:rPr>
              <w:t>。</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①是否遵守相关法律法规和业务管理规定；</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②项目调整及支出调整手续是否完备；</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③项目合同书、验收报告、技术审定等资料是否齐全并及时归档</w:t>
            </w:r>
            <w:r>
              <w:rPr>
                <w:rFonts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rPr>
          <w:trHeight w:val="945" w:hRule="atLeast"/>
        </w:trPr>
        <w:tc>
          <w:tcPr>
            <w:tcW w:w="3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④项目实施的人员条件、场地设备，信息支撑等是否落实到位。</w:t>
            </w:r>
          </w:p>
          <w:p>
            <w:pPr>
              <w:widowControl/>
              <w:spacing w:line="240" w:lineRule="exact"/>
              <w:rPr>
                <w:rFonts w:ascii="仿宋_GB2312" w:hAnsi="宋体" w:eastAsia="仿宋_GB2312" w:cs="宋体"/>
                <w:color w:val="000000"/>
                <w:kern w:val="0"/>
                <w:sz w:val="20"/>
                <w:szCs w:val="20"/>
              </w:rPr>
            </w:pP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restart"/>
            <w:tcBorders>
              <w:top w:val="single" w:color="auto" w:sz="4" w:space="0"/>
              <w:left w:val="single" w:color="auto" w:sz="4" w:space="0"/>
              <w:bottom w:val="single" w:color="000000" w:sz="4" w:space="0"/>
              <w:right w:val="single" w:color="auto" w:sz="4" w:space="0"/>
            </w:tcBorders>
            <w:noWrap w:val="0"/>
            <w:vAlign w:val="center"/>
          </w:tcPr>
          <w:p>
            <w:pPr>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过程</w:t>
            </w:r>
          </w:p>
        </w:tc>
        <w:tc>
          <w:tcPr>
            <w:tcW w:w="364" w:type="dxa"/>
            <w:vMerge w:val="restart"/>
            <w:tcBorders>
              <w:top w:val="single" w:color="auto" w:sz="4" w:space="0"/>
              <w:left w:val="single" w:color="auto" w:sz="4" w:space="0"/>
              <w:bottom w:val="single" w:color="000000" w:sz="4" w:space="0"/>
              <w:right w:val="single" w:color="auto" w:sz="4" w:space="0"/>
            </w:tcBorders>
            <w:noWrap w:val="0"/>
            <w:vAlign w:val="center"/>
          </w:tcPr>
          <w:p>
            <w:pPr>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业务管理</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项目质量可控性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项目实施单位是否为达到项目质量要求而采取了必需的措施，用以反映和考核项目实施单位对项目质量的控制情况。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①是否已制定或其有相应的项目质量要求或标准；</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②是否采取了相应的项目质量检查、验收等必需的控制措施或手段。</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财务管理</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管理制度健全性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项目实施单位的财务制度是否健全，用以反映和考核财务管理制度对资金规范安全运行的保障情况。</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①是否已制定或具有相应的项目资金管理办法；</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②项目资金管理办法是否符合相关财务会计制度的规定。</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资金使用合规性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项目资金使用是否符合相关的财务管理制度规定，用以反映和考核项目资金的规范运行情况。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①是否符合国家财经法规和财务管理以及有关专项资金管理办法的规定；</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②资金的拨付是否有完整的审批程序和手续；</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③项目的重大开支是否经过评估认证；</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④是否符合项目预算批复或合同规定的用途；</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⑤是否存在截留、挤占、挪用、虚列支出等情况。</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财务监控有效性</w:t>
            </w:r>
          </w:p>
        </w:tc>
        <w:tc>
          <w:tcPr>
            <w:tcW w:w="416" w:type="dxa"/>
            <w:vMerge w:val="restart"/>
            <w:tcBorders>
              <w:top w:val="nil"/>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项目实施单位是否为保障资金的安全、规范运行而采取了必要的监控措施，用以反映和考核项目实施单位对资金运行的控制情况。</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①是否已制定或具有相应的监控机制；</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②是否采取了相应的财务检查等必要的监控措施或手段。</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产出</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项目产出</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实际完成率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项目实施的实际产出数与计划产出数的比率，用以反映和考核项目产出数量目标的实现程度。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实际完成率＝（实际产出数</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计划产出数）×</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实际产出数：一定时期（本年度或项目期）内项目实际产出的产品或提供的服务数。</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707"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计划产出数：项目绩效目标确定的在一定时期（本年度或项目期）内计划产出的产品或提供的服务数量。</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完成及时率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项目实际提前完成时间与计划完成时间的比率，用以反映和考核项目产出时效目标的实现程度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完成及时率</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计划完成时间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实际完成时间）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计划完成时间</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实际完成时间：项目实施单位完成该项目实际所耗用的时间。</w:t>
            </w:r>
          </w:p>
        </w:tc>
        <w:tc>
          <w:tcPr>
            <w:tcW w:w="473" w:type="dxa"/>
            <w:tcBorders>
              <w:top w:val="nil"/>
              <w:left w:val="nil"/>
              <w:bottom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rPr>
          <w:trHeight w:val="641"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计划完成时间：桉照项目实施计划或相关规定完成该项目所需的时间。</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质量达标率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项目完成的质量达标产出数与实际产出数的比率，用以反映和考核项目产出质量目标的实现程度。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质量达标率＝（质量达标产出数</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实际产出数）</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质量达标产出数：一定时期（本年度或项目期）内实际达到既定质量标准的产品或服务数量。</w:t>
            </w:r>
          </w:p>
        </w:tc>
        <w:tc>
          <w:tcPr>
            <w:tcW w:w="473" w:type="dxa"/>
            <w:tcBorders>
              <w:top w:val="nil"/>
              <w:left w:val="nil"/>
              <w:bottom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rPr>
          <w:trHeight w:val="878"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既定质量标准是指项目实施单位设立绩效目标时依据计划标准、行业标准、历史标准或其他标准而设定的绩效指标值。</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成本节约率</w:t>
            </w:r>
          </w:p>
        </w:tc>
        <w:tc>
          <w:tcPr>
            <w:tcW w:w="41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完成项目计划工作目标的实际节约成本与计划成本的比率，用以反映和考核项目的成本节约程度。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成本节约率＝</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计划成本</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实际成本</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计划成本×</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top"/>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实际成本：项目实施单位如期、保质、保量完成既定工作目标实际所耗费的支出。</w:t>
            </w:r>
          </w:p>
        </w:tc>
        <w:tc>
          <w:tcPr>
            <w:tcW w:w="473" w:type="dxa"/>
            <w:tcBorders>
              <w:top w:val="nil"/>
              <w:left w:val="nil"/>
              <w:bottom w:val="nil"/>
              <w:right w:val="single" w:color="auto" w:sz="4" w:space="0"/>
            </w:tcBorders>
            <w:noWrap w:val="0"/>
            <w:vAlign w:val="top"/>
          </w:tcPr>
          <w:p>
            <w:pPr>
              <w:widowControl/>
              <w:spacing w:line="240" w:lineRule="exact"/>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rPr>
          <w:trHeight w:val="765"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计划成本：项目实施单位为完成工作目标计划安排的支出，一般以项目预算为参考。</w:t>
            </w:r>
          </w:p>
        </w:tc>
        <w:tc>
          <w:tcPr>
            <w:tcW w:w="473" w:type="dxa"/>
            <w:tcBorders>
              <w:top w:val="nil"/>
              <w:left w:val="nil"/>
              <w:bottom w:val="single" w:color="auto" w:sz="4" w:space="0"/>
              <w:right w:val="single" w:color="auto" w:sz="4" w:space="0"/>
            </w:tcBorders>
            <w:noWrap w:val="0"/>
            <w:vAlign w:val="top"/>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p>
          <w:p>
            <w:pPr>
              <w:widowControl/>
              <w:spacing w:line="240" w:lineRule="exact"/>
              <w:jc w:val="center"/>
              <w:rPr>
                <w:rFonts w:ascii="仿宋_GB2312" w:hAnsi="宋体" w:eastAsia="仿宋_GB2312" w:cs="宋体"/>
                <w:color w:val="000000"/>
                <w:kern w:val="0"/>
                <w:sz w:val="20"/>
                <w:szCs w:val="20"/>
              </w:rPr>
            </w:pPr>
          </w:p>
          <w:p>
            <w:pPr>
              <w:widowControl/>
              <w:spacing w:line="240" w:lineRule="exact"/>
              <w:jc w:val="center"/>
              <w:rPr>
                <w:rFonts w:ascii="仿宋_GB2312" w:hAnsi="宋体" w:eastAsia="仿宋_GB2312" w:cs="宋体"/>
                <w:color w:val="000000"/>
                <w:kern w:val="0"/>
                <w:sz w:val="20"/>
                <w:szCs w:val="20"/>
              </w:rPr>
            </w:pPr>
          </w:p>
          <w:p>
            <w:pPr>
              <w:widowControl/>
              <w:spacing w:line="240" w:lineRule="exact"/>
              <w:jc w:val="center"/>
              <w:rPr>
                <w:rFonts w:ascii="仿宋_GB2312" w:hAnsi="宋体" w:eastAsia="仿宋_GB2312" w:cs="宋体"/>
                <w:color w:val="000000"/>
                <w:kern w:val="0"/>
                <w:sz w:val="20"/>
                <w:szCs w:val="20"/>
              </w:rPr>
            </w:pPr>
          </w:p>
          <w:p>
            <w:pPr>
              <w:widowControl/>
              <w:spacing w:line="240" w:lineRule="exact"/>
              <w:jc w:val="center"/>
              <w:rPr>
                <w:rFonts w:ascii="仿宋_GB2312" w:hAnsi="宋体" w:eastAsia="仿宋_GB2312" w:cs="宋体"/>
                <w:color w:val="000000"/>
                <w:kern w:val="0"/>
                <w:sz w:val="20"/>
                <w:szCs w:val="20"/>
              </w:rPr>
            </w:pPr>
          </w:p>
          <w:p>
            <w:pPr>
              <w:widowControl/>
              <w:spacing w:line="240" w:lineRule="exact"/>
              <w:jc w:val="center"/>
              <w:rPr>
                <w:rFonts w:ascii="仿宋_GB2312" w:hAnsi="宋体" w:eastAsia="仿宋_GB2312" w:cs="宋体"/>
                <w:color w:val="000000"/>
                <w:kern w:val="0"/>
                <w:sz w:val="20"/>
                <w:szCs w:val="20"/>
              </w:rPr>
            </w:pP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项目效益</w:t>
            </w: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经济效益</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项目实施对经济发展所带来的直接或间接影响情况。</w:t>
            </w:r>
          </w:p>
        </w:tc>
        <w:tc>
          <w:tcPr>
            <w:tcW w:w="4680" w:type="dxa"/>
            <w:vMerge w:val="restart"/>
            <w:tcBorders>
              <w:top w:val="nil"/>
              <w:left w:val="single" w:color="auto" w:sz="4" w:space="0"/>
              <w:bottom w:val="single" w:color="000000" w:sz="4" w:space="0"/>
              <w:right w:val="single" w:color="auto" w:sz="4" w:space="0"/>
            </w:tcBorders>
            <w:noWrap w:val="0"/>
            <w:vAlign w:val="top"/>
          </w:tcPr>
          <w:p>
            <w:pPr>
              <w:widowControl/>
              <w:numPr>
                <w:ilvl w:val="0"/>
                <w:numId w:val="2"/>
              </w:numPr>
              <w:spacing w:line="240" w:lineRule="exact"/>
              <w:ind w:left="420" w:leftChars="0"/>
              <w:jc w:val="lef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患者就医率明显提高。</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重点科室人才培养总人数10人，培训天数</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100天。</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Cs w:val="21"/>
                <w:lang w:val="en-US" w:eastAsia="zh-CN"/>
              </w:rPr>
              <w:t>医疗服务技术水平提高。</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职工基本待遇提高。</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药品、卫材成本控制率有所改善。</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医患关系保持稳定，社会影响力明显提升。</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保障了职工基本权益，促进中医药事业长效稳定发展。</w:t>
            </w:r>
          </w:p>
          <w:p>
            <w:pPr>
              <w:widowControl/>
              <w:numPr>
                <w:ilvl w:val="0"/>
                <w:numId w:val="2"/>
              </w:numPr>
              <w:spacing w:line="240" w:lineRule="exact"/>
              <w:ind w:left="420" w:leftChars="0"/>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患者、职工满意度</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lang w:val="en-US" w:eastAsia="zh-CN"/>
              </w:rPr>
              <w:t>95以上。</w:t>
            </w:r>
          </w:p>
        </w:tc>
        <w:tc>
          <w:tcPr>
            <w:tcW w:w="473" w:type="dxa"/>
            <w:vMerge w:val="restart"/>
            <w:tcBorders>
              <w:top w:val="nil"/>
              <w:left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p>
            <w:pPr>
              <w:widowControl/>
              <w:spacing w:line="240" w:lineRule="exact"/>
              <w:rPr>
                <w:rFonts w:hint="eastAsia" w:ascii="仿宋_GB2312" w:hAnsi="宋体" w:eastAsia="仿宋_GB2312" w:cs="宋体"/>
                <w:color w:val="000000"/>
                <w:kern w:val="0"/>
                <w:sz w:val="20"/>
                <w:szCs w:val="20"/>
                <w:lang w:val="en-US" w:eastAsia="zh-CN"/>
              </w:rPr>
            </w:pPr>
          </w:p>
          <w:p>
            <w:pPr>
              <w:widowControl/>
              <w:spacing w:line="240" w:lineRule="exact"/>
              <w:rPr>
                <w:rFonts w:hint="eastAsia" w:ascii="仿宋_GB2312" w:hAnsi="宋体" w:eastAsia="仿宋_GB2312" w:cs="宋体"/>
                <w:color w:val="000000"/>
                <w:kern w:val="0"/>
                <w:sz w:val="20"/>
                <w:szCs w:val="20"/>
                <w:lang w:val="en-US" w:eastAsia="zh-CN"/>
              </w:rPr>
            </w:pPr>
          </w:p>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p>
            <w:pPr>
              <w:widowControl/>
              <w:spacing w:line="240" w:lineRule="exact"/>
              <w:rPr>
                <w:rFonts w:hint="default" w:ascii="仿宋_GB2312" w:hAnsi="宋体" w:eastAsia="仿宋_GB2312" w:cs="宋体"/>
                <w:color w:val="000000"/>
                <w:kern w:val="0"/>
                <w:sz w:val="20"/>
                <w:szCs w:val="20"/>
                <w:lang w:val="en-US" w:eastAsia="zh-CN"/>
              </w:rPr>
            </w:pPr>
          </w:p>
          <w:p>
            <w:pPr>
              <w:widowControl/>
              <w:spacing w:line="240" w:lineRule="exact"/>
              <w:rPr>
                <w:rFonts w:hint="default" w:ascii="仿宋_GB2312" w:hAnsi="宋体" w:eastAsia="仿宋_GB2312" w:cs="宋体"/>
                <w:color w:val="000000"/>
                <w:kern w:val="0"/>
                <w:sz w:val="20"/>
                <w:szCs w:val="20"/>
                <w:lang w:val="en-US" w:eastAsia="zh-CN"/>
              </w:rPr>
            </w:pPr>
          </w:p>
          <w:p>
            <w:pPr>
              <w:widowControl/>
              <w:spacing w:line="240" w:lineRule="exact"/>
              <w:rPr>
                <w:rFonts w:hint="default" w:ascii="仿宋_GB2312" w:hAnsi="宋体" w:eastAsia="仿宋_GB2312" w:cs="宋体"/>
                <w:color w:val="000000"/>
                <w:kern w:val="0"/>
                <w:sz w:val="20"/>
                <w:szCs w:val="20"/>
                <w:lang w:val="en-US" w:eastAsia="zh-CN"/>
              </w:rPr>
            </w:pPr>
          </w:p>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p>
            <w:pPr>
              <w:widowControl/>
              <w:spacing w:line="240" w:lineRule="exact"/>
              <w:rPr>
                <w:rFonts w:hint="eastAsia" w:ascii="仿宋_GB2312" w:hAnsi="宋体" w:eastAsia="仿宋_GB2312" w:cs="宋体"/>
                <w:color w:val="000000"/>
                <w:kern w:val="0"/>
                <w:sz w:val="20"/>
                <w:szCs w:val="20"/>
                <w:lang w:val="en-US" w:eastAsia="zh-CN"/>
              </w:rPr>
            </w:pPr>
          </w:p>
          <w:p>
            <w:pPr>
              <w:widowControl/>
              <w:spacing w:line="240" w:lineRule="exact"/>
              <w:rPr>
                <w:rFonts w:hint="eastAsia" w:ascii="仿宋_GB2312" w:hAnsi="宋体" w:eastAsia="仿宋_GB2312" w:cs="宋体"/>
                <w:color w:val="000000"/>
                <w:kern w:val="0"/>
                <w:sz w:val="20"/>
                <w:szCs w:val="20"/>
                <w:lang w:val="en-US" w:eastAsia="zh-CN"/>
              </w:rPr>
            </w:pPr>
          </w:p>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社会效益</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项目实施对社会发展所带来的直接或间接影响情况。</w:t>
            </w:r>
          </w:p>
        </w:tc>
        <w:tc>
          <w:tcPr>
            <w:tcW w:w="46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73"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生态效益</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项目实施对生态环境所带来的直接或间接影响情况。</w:t>
            </w:r>
          </w:p>
        </w:tc>
        <w:tc>
          <w:tcPr>
            <w:tcW w:w="46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73"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可持续影响</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项目后续运行及成效发挥的可持续影响情况。</w:t>
            </w:r>
          </w:p>
        </w:tc>
        <w:tc>
          <w:tcPr>
            <w:tcW w:w="46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73"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社会公众或服务对象满意度</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社会公众或服务对象对项目实施效策的满意程度</w:t>
            </w: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社会公众或服务对象是指因该项目实施而受到影响的部门</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单位</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、群体或个人。一般采取社会调查的方式。</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r>
    </w:tbl>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eastAsia" w:ascii="黑体" w:hAnsi="宋体" w:eastAsia="黑体" w:cs="宋体"/>
          <w:kern w:val="0"/>
          <w:sz w:val="32"/>
          <w:szCs w:val="32"/>
          <w:lang w:val="en-US" w:eastAsia="zh-CN"/>
        </w:rPr>
      </w:pPr>
    </w:p>
    <w:p>
      <w:pPr>
        <w:spacing w:line="560" w:lineRule="exact"/>
        <w:rPr>
          <w:rFonts w:hint="default" w:ascii="黑体" w:hAnsi="宋体" w:eastAsia="黑体" w:cs="宋体"/>
          <w:kern w:val="0"/>
          <w:sz w:val="32"/>
          <w:szCs w:val="32"/>
          <w:lang w:val="en-US" w:eastAsia="zh-CN"/>
        </w:rPr>
      </w:pPr>
      <w:r>
        <w:rPr>
          <w:rFonts w:hint="eastAsia" w:ascii="黑体" w:hAnsi="宋体" w:eastAsia="黑体" w:cs="宋体"/>
          <w:kern w:val="0"/>
          <w:sz w:val="32"/>
          <w:szCs w:val="32"/>
          <w:lang w:val="en-US" w:eastAsia="zh-CN"/>
        </w:rPr>
        <w:t>附件6：</w:t>
      </w:r>
    </w:p>
    <w:p>
      <w:pPr>
        <w:spacing w:line="560" w:lineRule="exact"/>
        <w:ind w:firstLine="2240" w:firstLineChars="700"/>
        <w:rPr>
          <w:rFonts w:hint="eastAsia" w:ascii="黑体" w:hAnsi="宋体" w:eastAsia="黑体" w:cs="宋体"/>
          <w:kern w:val="0"/>
          <w:sz w:val="32"/>
          <w:szCs w:val="32"/>
          <w:lang w:val="en-US" w:eastAsia="zh-CN"/>
        </w:rPr>
      </w:pPr>
      <w:r>
        <w:rPr>
          <w:rFonts w:hint="eastAsia" w:ascii="黑体" w:hAnsi="宋体" w:eastAsia="黑体" w:cs="宋体"/>
          <w:kern w:val="0"/>
          <w:sz w:val="32"/>
          <w:szCs w:val="32"/>
          <w:lang w:val="en-US" w:eastAsia="zh-CN"/>
        </w:rPr>
        <w:t>专项资金绩效目标自评表</w:t>
      </w:r>
    </w:p>
    <w:tbl>
      <w:tblPr>
        <w:tblStyle w:val="6"/>
        <w:tblW w:w="10060" w:type="dxa"/>
        <w:jc w:val="center"/>
        <w:tblLayout w:type="fixed"/>
        <w:tblCellMar>
          <w:top w:w="0" w:type="dxa"/>
          <w:left w:w="108" w:type="dxa"/>
          <w:bottom w:w="0" w:type="dxa"/>
          <w:right w:w="108" w:type="dxa"/>
        </w:tblCellMar>
      </w:tblPr>
      <w:tblGrid>
        <w:gridCol w:w="769"/>
        <w:gridCol w:w="675"/>
        <w:gridCol w:w="709"/>
        <w:gridCol w:w="1701"/>
        <w:gridCol w:w="1304"/>
        <w:gridCol w:w="1905"/>
        <w:gridCol w:w="983"/>
        <w:gridCol w:w="772"/>
        <w:gridCol w:w="1242"/>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0"/>
            <w:vAlign w:val="center"/>
          </w:tcPr>
          <w:p>
            <w:pPr>
              <w:widowControl/>
              <w:jc w:val="center"/>
              <w:rPr>
                <w:rFonts w:ascii="楷体_GB2312" w:hAnsi="宋体" w:eastAsia="楷体_GB2312" w:cs="宋体"/>
                <w:b/>
                <w:bCs/>
                <w:color w:val="000000"/>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专项</w:t>
            </w:r>
            <w:r>
              <w:rPr>
                <w:rFonts w:hint="eastAsia" w:ascii="仿宋_GB2312" w:hAnsi="宋体" w:eastAsia="仿宋_GB2312" w:cs="宋体"/>
                <w:color w:val="000000"/>
                <w:kern w:val="0"/>
                <w:szCs w:val="21"/>
              </w:rPr>
              <w:t>资金名称</w:t>
            </w:r>
          </w:p>
        </w:tc>
        <w:tc>
          <w:tcPr>
            <w:tcW w:w="3005"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中医</w:t>
            </w:r>
            <w:r>
              <w:rPr>
                <w:rFonts w:hint="eastAsia" w:ascii="仿宋_GB2312" w:hAnsi="宋体" w:eastAsia="仿宋_GB2312" w:cs="宋体"/>
                <w:color w:val="000000"/>
                <w:kern w:val="0"/>
                <w:szCs w:val="21"/>
              </w:rPr>
              <w:t>医院定补助</w:t>
            </w:r>
          </w:p>
        </w:tc>
        <w:tc>
          <w:tcPr>
            <w:tcW w:w="190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负责人</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及电话</w:t>
            </w:r>
          </w:p>
        </w:tc>
        <w:tc>
          <w:tcPr>
            <w:tcW w:w="2997" w:type="dxa"/>
            <w:gridSpan w:val="3"/>
            <w:tcBorders>
              <w:top w:val="single" w:color="auto" w:sz="4" w:space="0"/>
              <w:left w:val="single" w:color="auto" w:sz="4" w:space="0"/>
              <w:bottom w:val="single" w:color="auto" w:sz="4" w:space="0"/>
              <w:right w:val="single" w:color="auto" w:sz="4" w:space="0"/>
            </w:tcBorders>
            <w:noWrap w:val="0"/>
            <w:vAlign w:val="bottom"/>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姚茂清13789262648</w:t>
            </w:r>
          </w:p>
        </w:tc>
      </w:tr>
      <w:tr>
        <w:tblPrEx>
          <w:tblCellMar>
            <w:top w:w="0" w:type="dxa"/>
            <w:left w:w="108" w:type="dxa"/>
            <w:bottom w:w="0" w:type="dxa"/>
            <w:right w:w="108" w:type="dxa"/>
          </w:tblCellMar>
        </w:tblPrEx>
        <w:trPr>
          <w:trHeight w:val="610"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7907"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芷江侗族自治县卫生健康局</w:t>
            </w:r>
          </w:p>
        </w:tc>
      </w:tr>
      <w:tr>
        <w:tblPrEx>
          <w:tblCellMar>
            <w:top w:w="0" w:type="dxa"/>
            <w:left w:w="108" w:type="dxa"/>
            <w:bottom w:w="0" w:type="dxa"/>
            <w:right w:w="108" w:type="dxa"/>
          </w:tblCellMar>
        </w:tblPrEx>
        <w:trPr>
          <w:trHeight w:val="610"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项目实施单位</w:t>
            </w:r>
          </w:p>
        </w:tc>
        <w:tc>
          <w:tcPr>
            <w:tcW w:w="3005" w:type="dxa"/>
            <w:gridSpan w:val="2"/>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芷江侗族自治县</w:t>
            </w:r>
            <w:r>
              <w:rPr>
                <w:rFonts w:hint="eastAsia" w:ascii="仿宋_GB2312" w:hAnsi="宋体" w:eastAsia="仿宋_GB2312" w:cs="宋体"/>
                <w:color w:val="000000"/>
                <w:kern w:val="0"/>
                <w:szCs w:val="21"/>
                <w:lang w:val="en-US" w:eastAsia="zh-CN"/>
              </w:rPr>
              <w:t>中医</w:t>
            </w:r>
            <w:r>
              <w:rPr>
                <w:rFonts w:hint="eastAsia" w:ascii="仿宋_GB2312" w:hAnsi="宋体" w:eastAsia="仿宋_GB2312" w:cs="宋体"/>
                <w:color w:val="000000"/>
                <w:kern w:val="0"/>
                <w:szCs w:val="21"/>
              </w:rPr>
              <w:t>医院　</w:t>
            </w:r>
          </w:p>
        </w:tc>
        <w:tc>
          <w:tcPr>
            <w:tcW w:w="1905" w:type="dxa"/>
            <w:tcBorders>
              <w:top w:val="single" w:color="auto" w:sz="4" w:space="0"/>
              <w:left w:val="nil"/>
              <w:bottom w:val="single" w:color="auto" w:sz="4" w:space="0"/>
              <w:right w:val="nil"/>
            </w:tcBorders>
            <w:noWrap/>
            <w:vAlign w:val="center"/>
          </w:tcPr>
          <w:p>
            <w:pPr>
              <w:widowControl/>
              <w:jc w:val="both"/>
              <w:rPr>
                <w:rFonts w:ascii="仿宋_GB2312" w:hAnsi="宋体" w:eastAsia="仿宋_GB2312" w:cs="宋体"/>
                <w:color w:val="000000"/>
                <w:kern w:val="0"/>
                <w:szCs w:val="21"/>
              </w:rPr>
            </w:pPr>
          </w:p>
        </w:tc>
        <w:tc>
          <w:tcPr>
            <w:tcW w:w="2997" w:type="dxa"/>
            <w:gridSpan w:val="3"/>
            <w:tcBorders>
              <w:top w:val="single" w:color="auto" w:sz="4" w:space="0"/>
              <w:left w:val="nil"/>
              <w:bottom w:val="single" w:color="auto" w:sz="4" w:space="0"/>
              <w:right w:val="single" w:color="auto" w:sz="4" w:space="0"/>
            </w:tcBorders>
            <w:noWrap/>
            <w:vAlign w:val="bottom"/>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575" w:hRule="atLeast"/>
          <w:jc w:val="center"/>
        </w:trPr>
        <w:tc>
          <w:tcPr>
            <w:tcW w:w="2153" w:type="dxa"/>
            <w:gridSpan w:val="3"/>
            <w:vMerge w:val="restart"/>
            <w:tcBorders>
              <w:top w:val="single" w:color="auto" w:sz="4" w:space="0"/>
              <w:left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全年预算数（A）</w:t>
            </w:r>
          </w:p>
        </w:tc>
        <w:tc>
          <w:tcPr>
            <w:tcW w:w="28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执行率（B／A）</w:t>
            </w:r>
          </w:p>
        </w:tc>
      </w:tr>
      <w:tr>
        <w:tblPrEx>
          <w:tblCellMar>
            <w:top w:w="0" w:type="dxa"/>
            <w:left w:w="108" w:type="dxa"/>
            <w:bottom w:w="0" w:type="dxa"/>
            <w:right w:w="108" w:type="dxa"/>
          </w:tblCellMar>
        </w:tblPrEx>
        <w:trPr>
          <w:trHeight w:val="525"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8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25"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其中：中央补助</w:t>
            </w:r>
          </w:p>
        </w:tc>
        <w:tc>
          <w:tcPr>
            <w:tcW w:w="1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8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10"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jc w:val="both"/>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省级资金</w:t>
            </w:r>
          </w:p>
        </w:tc>
        <w:tc>
          <w:tcPr>
            <w:tcW w:w="1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8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97"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 xml:space="preserve">    市级资金</w:t>
            </w:r>
          </w:p>
        </w:tc>
        <w:tc>
          <w:tcPr>
            <w:tcW w:w="1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8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07" w:hRule="atLeast"/>
          <w:jc w:val="center"/>
        </w:trPr>
        <w:tc>
          <w:tcPr>
            <w:tcW w:w="2153" w:type="dxa"/>
            <w:gridSpan w:val="3"/>
            <w:vMerge w:val="continue"/>
            <w:tcBorders>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其他资金</w:t>
            </w:r>
          </w:p>
        </w:tc>
        <w:tc>
          <w:tcPr>
            <w:tcW w:w="1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28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r>
      <w:tr>
        <w:tblPrEx>
          <w:tblCellMar>
            <w:top w:w="0" w:type="dxa"/>
            <w:left w:w="108" w:type="dxa"/>
            <w:bottom w:w="0" w:type="dxa"/>
            <w:right w:w="108" w:type="dxa"/>
          </w:tblCellMar>
        </w:tblPrEx>
        <w:trPr>
          <w:trHeight w:val="50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389"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仿宋_GB2312" w:hAnsi="宋体" w:eastAsia="仿宋_GB2312" w:cs="宋体"/>
                <w:color w:val="000000"/>
                <w:kern w:val="0"/>
                <w:szCs w:val="21"/>
              </w:rPr>
              <w:t>年初设定目标</w:t>
            </w:r>
            <w:r>
              <w:rPr>
                <w:rFonts w:hint="eastAsia" w:ascii="宋体" w:hAnsi="宋体" w:cs="宋体"/>
                <w:color w:val="000000"/>
                <w:kern w:val="0"/>
                <w:szCs w:val="21"/>
              </w:rPr>
              <w:t>　</w:t>
            </w:r>
          </w:p>
        </w:tc>
        <w:tc>
          <w:tcPr>
            <w:tcW w:w="490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全年实际完成情况</w:t>
            </w:r>
          </w:p>
        </w:tc>
      </w:tr>
      <w:tr>
        <w:tblPrEx>
          <w:tblCellMar>
            <w:top w:w="0" w:type="dxa"/>
            <w:left w:w="108" w:type="dxa"/>
            <w:bottom w:w="0" w:type="dxa"/>
            <w:right w:w="108" w:type="dxa"/>
          </w:tblCellMar>
        </w:tblPrEx>
        <w:trPr>
          <w:trHeight w:val="50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4389"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建立奖优罚劣、优绩优酬的分配机制，社会监督、民主评议机制。2、坚持绩效考核与社会效益挂钩，坚决制止绩效工资与药品收入、医疗设备检查收入挂钩。3、坚持公平、公正、综合考核评价，以医疗服务技术水平、质量、数量、成本控制、患者满意度等为考核重点，加大对医疗质量管理和服务效率的考核力度。　</w:t>
            </w:r>
          </w:p>
        </w:tc>
        <w:tc>
          <w:tcPr>
            <w:tcW w:w="490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绩</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指</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标</w:t>
            </w:r>
          </w:p>
        </w:tc>
        <w:tc>
          <w:tcPr>
            <w:tcW w:w="675" w:type="dxa"/>
            <w:tcBorders>
              <w:top w:val="single" w:color="auto" w:sz="4" w:space="0"/>
              <w:left w:val="nil"/>
              <w:bottom w:val="single" w:color="auto" w:sz="4" w:space="0"/>
              <w:right w:val="nil"/>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3005"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　</w:t>
            </w:r>
          </w:p>
        </w:tc>
        <w:tc>
          <w:tcPr>
            <w:tcW w:w="1905"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755" w:type="dxa"/>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242"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未完成原因和</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   出   指   标</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患者</w:t>
            </w:r>
            <w:r>
              <w:rPr>
                <w:rFonts w:hint="eastAsia" w:ascii="仿宋_GB2312" w:hAnsi="宋体" w:eastAsia="仿宋_GB2312" w:cs="宋体"/>
                <w:color w:val="000000"/>
                <w:kern w:val="0"/>
                <w:szCs w:val="21"/>
              </w:rPr>
              <w:t>就医率</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1242"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tabs>
                <w:tab w:val="center" w:pos="943"/>
                <w:tab w:val="right" w:pos="1767"/>
              </w:tabs>
              <w:jc w:val="left"/>
              <w:textAlignment w:val="center"/>
              <w:rPr>
                <w:rFonts w:hint="eastAsia" w:ascii="宋体" w:hAnsi="宋体" w:eastAsia="宋体" w:cs="宋体"/>
                <w:i w:val="0"/>
                <w:iCs w:val="0"/>
                <w:color w:val="000000"/>
                <w:kern w:val="2"/>
                <w:sz w:val="20"/>
                <w:szCs w:val="20"/>
                <w:u w:val="none"/>
                <w:lang w:val="en-US" w:eastAsia="zh-CN" w:bidi="ar-SA"/>
              </w:rPr>
            </w:pP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人才培养人数</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10</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10</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培训天数</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仿宋_GB2312" w:cs="宋体"/>
                <w:i w:val="0"/>
                <w:iCs w:val="0"/>
                <w:color w:val="000000"/>
                <w:kern w:val="2"/>
                <w:sz w:val="20"/>
                <w:szCs w:val="20"/>
                <w:u w:val="none"/>
                <w:lang w:val="en-US" w:eastAsia="zh-CN" w:bidi="ar-SA"/>
              </w:rPr>
            </w:pP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100天</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100天</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医疗服务技术水平提升</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≥90%</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w:t>
            </w:r>
            <w:r>
              <w:rPr>
                <w:rFonts w:hint="eastAsia" w:ascii="仿宋_GB2312" w:hAnsi="宋体" w:eastAsia="仿宋_GB2312" w:cs="宋体"/>
                <w:color w:val="000000"/>
                <w:kern w:val="0"/>
                <w:szCs w:val="21"/>
              </w:rPr>
              <w:t>0%</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职工基本待遇提高</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≥90%</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w:t>
            </w:r>
            <w:r>
              <w:rPr>
                <w:rFonts w:hint="eastAsia" w:ascii="仿宋_GB2312" w:hAnsi="宋体" w:eastAsia="仿宋_GB2312" w:cs="宋体"/>
                <w:color w:val="000000"/>
                <w:kern w:val="0"/>
                <w:szCs w:val="21"/>
              </w:rPr>
              <w:t>0%</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300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完成及时率</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300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预算成本</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≤50万元</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≤50万元</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药品成本控制</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成本控制率</w:t>
            </w:r>
            <w:r>
              <w:rPr>
                <w:rFonts w:hint="eastAsia" w:ascii="宋体" w:hAnsi="宋体" w:eastAsia="宋体" w:cs="宋体"/>
                <w:color w:val="000000"/>
                <w:kern w:val="0"/>
                <w:sz w:val="20"/>
                <w:szCs w:val="20"/>
              </w:rPr>
              <w:t>≥</w:t>
            </w:r>
            <w:r>
              <w:rPr>
                <w:rFonts w:hint="eastAsia" w:ascii="宋体" w:hAnsi="宋体" w:cs="宋体"/>
                <w:color w:val="000000"/>
                <w:kern w:val="0"/>
                <w:sz w:val="20"/>
                <w:szCs w:val="20"/>
                <w:lang w:val="en-US" w:eastAsia="zh-CN"/>
              </w:rPr>
              <w:t>90</w:t>
            </w:r>
            <w:r>
              <w:rPr>
                <w:rFonts w:hint="eastAsia" w:ascii="宋体" w:hAnsi="宋体" w:eastAsia="宋体" w:cs="宋体"/>
                <w:color w:val="000000"/>
                <w:kern w:val="0"/>
                <w:sz w:val="20"/>
                <w:szCs w:val="20"/>
              </w:rPr>
              <w:t>%</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成本控制率</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90</w:t>
            </w:r>
            <w:r>
              <w:rPr>
                <w:rFonts w:hint="eastAsia" w:ascii="宋体" w:hAnsi="宋体" w:eastAsia="宋体" w:cs="宋体"/>
                <w:color w:val="000000"/>
                <w:kern w:val="0"/>
                <w:sz w:val="20"/>
                <w:szCs w:val="20"/>
              </w:rPr>
              <w:t>%</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卫材成本控制</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成本控制率</w:t>
            </w:r>
            <w:r>
              <w:rPr>
                <w:rFonts w:hint="eastAsia" w:ascii="宋体" w:hAnsi="宋体" w:eastAsia="宋体" w:cs="宋体"/>
                <w:color w:val="000000"/>
                <w:kern w:val="0"/>
                <w:sz w:val="20"/>
                <w:szCs w:val="20"/>
              </w:rPr>
              <w:t>≥</w:t>
            </w:r>
            <w:r>
              <w:rPr>
                <w:rFonts w:hint="eastAsia" w:ascii="宋体" w:hAnsi="宋体" w:cs="宋体"/>
                <w:color w:val="000000"/>
                <w:kern w:val="0"/>
                <w:sz w:val="20"/>
                <w:szCs w:val="20"/>
                <w:lang w:val="en-US" w:eastAsia="zh-CN"/>
              </w:rPr>
              <w:t>9</w:t>
            </w:r>
            <w:r>
              <w:rPr>
                <w:rFonts w:hint="eastAsia" w:ascii="宋体" w:hAnsi="宋体" w:eastAsia="宋体" w:cs="宋体"/>
                <w:color w:val="000000"/>
                <w:kern w:val="0"/>
                <w:sz w:val="20"/>
                <w:szCs w:val="20"/>
                <w:lang w:val="en-US" w:eastAsia="zh-CN"/>
              </w:rPr>
              <w:t>0</w:t>
            </w:r>
            <w:r>
              <w:rPr>
                <w:rFonts w:hint="eastAsia" w:ascii="宋体" w:hAnsi="宋体" w:eastAsia="宋体" w:cs="宋体"/>
                <w:color w:val="000000"/>
                <w:kern w:val="0"/>
                <w:sz w:val="20"/>
                <w:szCs w:val="20"/>
              </w:rPr>
              <w:t>%</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成本控制率</w:t>
            </w:r>
            <w:r>
              <w:rPr>
                <w:rFonts w:hint="eastAsia" w:ascii="宋体" w:hAnsi="宋体" w:eastAsia="宋体" w:cs="宋体"/>
                <w:color w:val="000000"/>
                <w:kern w:val="0"/>
                <w:sz w:val="20"/>
                <w:szCs w:val="20"/>
              </w:rPr>
              <w:t>≥</w:t>
            </w:r>
            <w:r>
              <w:rPr>
                <w:rFonts w:hint="eastAsia" w:ascii="宋体" w:hAnsi="宋体" w:cs="宋体"/>
                <w:color w:val="000000"/>
                <w:kern w:val="0"/>
                <w:sz w:val="20"/>
                <w:szCs w:val="20"/>
                <w:lang w:val="en-US" w:eastAsia="zh-CN"/>
              </w:rPr>
              <w:t>8</w:t>
            </w:r>
            <w:r>
              <w:rPr>
                <w:rFonts w:hint="eastAsia" w:ascii="宋体" w:hAnsi="宋体" w:eastAsia="宋体" w:cs="宋体"/>
                <w:color w:val="000000"/>
                <w:kern w:val="0"/>
                <w:sz w:val="20"/>
                <w:szCs w:val="20"/>
                <w:lang w:val="en-US" w:eastAsia="zh-CN"/>
              </w:rPr>
              <w:t>0</w:t>
            </w:r>
            <w:r>
              <w:rPr>
                <w:rFonts w:hint="eastAsia" w:ascii="宋体" w:hAnsi="宋体" w:eastAsia="宋体" w:cs="宋体"/>
                <w:color w:val="000000"/>
                <w:kern w:val="0"/>
                <w:sz w:val="20"/>
                <w:szCs w:val="20"/>
              </w:rPr>
              <w:t>%</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47" w:hRule="atLeast"/>
          <w:jc w:val="center"/>
        </w:trPr>
        <w:tc>
          <w:tcPr>
            <w:tcW w:w="769" w:type="dxa"/>
            <w:vMerge w:val="continue"/>
            <w:tcBorders>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bidi="ar-SA"/>
              </w:rPr>
            </w:pP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bidi="ar-SA"/>
              </w:rPr>
            </w:pP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0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  指标</w:t>
            </w:r>
          </w:p>
        </w:tc>
        <w:tc>
          <w:tcPr>
            <w:tcW w:w="3005" w:type="dxa"/>
            <w:gridSpan w:val="2"/>
            <w:tcBorders>
              <w:top w:val="single" w:color="auto" w:sz="4" w:space="0"/>
              <w:left w:val="nil"/>
              <w:bottom w:val="single" w:color="auto" w:sz="4" w:space="0"/>
              <w:right w:val="single" w:color="auto" w:sz="4" w:space="0"/>
            </w:tcBorders>
            <w:noWrap/>
            <w:vAlign w:val="bottom"/>
          </w:tcPr>
          <w:p>
            <w:pPr>
              <w:widowControl/>
              <w:ind w:firstLine="210" w:firstLineChars="100"/>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绩效考核评分与服务挂钩</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长效</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长效</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34"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lang w:eastAsia="zh-CN"/>
              </w:rPr>
            </w:pPr>
          </w:p>
        </w:tc>
        <w:tc>
          <w:tcPr>
            <w:tcW w:w="675" w:type="dxa"/>
            <w:vMerge w:val="continue"/>
            <w:tcBorders>
              <w:left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709"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社会效益指标</w:t>
            </w:r>
          </w:p>
        </w:tc>
        <w:tc>
          <w:tcPr>
            <w:tcW w:w="300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社会影响力</w:t>
            </w:r>
            <w:bookmarkStart w:id="0" w:name="_GoBack"/>
            <w:bookmarkEnd w:id="0"/>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有所提升</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有所提升</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709" w:type="dxa"/>
            <w:vMerge w:val="continue"/>
            <w:tcBorders>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ind w:firstLine="800" w:firstLineChars="400"/>
              <w:jc w:val="left"/>
              <w:rPr>
                <w:rFonts w:hint="default" w:ascii="仿宋_GB2312" w:hAnsi="宋体" w:eastAsia="仿宋_GB2312" w:cs="宋体"/>
                <w:color w:val="000000"/>
                <w:kern w:val="0"/>
                <w:szCs w:val="21"/>
                <w:lang w:val="en-US" w:eastAsia="zh-CN"/>
              </w:rPr>
            </w:pPr>
            <w:r>
              <w:rPr>
                <w:rFonts w:hint="eastAsia" w:ascii="宋体" w:hAnsi="宋体" w:eastAsia="宋体" w:cs="宋体"/>
                <w:color w:val="000000"/>
                <w:kern w:val="0"/>
                <w:sz w:val="20"/>
                <w:szCs w:val="20"/>
                <w:lang w:val="en-US" w:eastAsia="zh-CN"/>
              </w:rPr>
              <w:t>医患</w:t>
            </w:r>
            <w:r>
              <w:rPr>
                <w:rFonts w:hint="eastAsia" w:ascii="宋体" w:hAnsi="宋体" w:cs="宋体"/>
                <w:color w:val="000000"/>
                <w:kern w:val="0"/>
                <w:sz w:val="20"/>
                <w:szCs w:val="20"/>
                <w:lang w:val="en-US" w:eastAsia="zh-CN"/>
              </w:rPr>
              <w:t>两者</w:t>
            </w:r>
            <w:r>
              <w:rPr>
                <w:rFonts w:hint="eastAsia" w:ascii="宋体" w:hAnsi="宋体" w:eastAsia="宋体" w:cs="宋体"/>
                <w:color w:val="000000"/>
                <w:kern w:val="0"/>
                <w:sz w:val="20"/>
                <w:szCs w:val="20"/>
                <w:lang w:val="en-US" w:eastAsia="zh-CN"/>
              </w:rPr>
              <w:t>关系</w:t>
            </w:r>
          </w:p>
        </w:tc>
        <w:tc>
          <w:tcPr>
            <w:tcW w:w="1905" w:type="dxa"/>
            <w:tcBorders>
              <w:top w:val="single" w:color="auto" w:sz="4" w:space="0"/>
              <w:left w:val="nil"/>
              <w:bottom w:val="single" w:color="auto" w:sz="4" w:space="0"/>
              <w:right w:val="single" w:color="auto" w:sz="4" w:space="0"/>
            </w:tcBorders>
            <w:noWrap/>
            <w:vAlign w:val="bottom"/>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保持稳定</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center"/>
              <w:rPr>
                <w:rFonts w:hint="eastAsia" w:ascii="宋体" w:hAnsi="宋体" w:eastAsia="宋体" w:cs="宋体"/>
                <w:color w:val="000000"/>
                <w:kern w:val="0"/>
                <w:sz w:val="20"/>
                <w:szCs w:val="20"/>
              </w:rPr>
            </w:pPr>
            <w:r>
              <w:rPr>
                <w:rFonts w:hint="eastAsia" w:ascii="宋体" w:hAnsi="宋体" w:cs="宋体"/>
                <w:color w:val="000000"/>
                <w:kern w:val="0"/>
                <w:sz w:val="20"/>
                <w:szCs w:val="20"/>
                <w:lang w:val="en-US" w:eastAsia="zh-CN"/>
              </w:rPr>
              <w:t>保持稳定</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709"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jc w:val="center"/>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  指标</w:t>
            </w: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300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让</w:t>
            </w:r>
            <w:r>
              <w:rPr>
                <w:rFonts w:hint="eastAsia" w:ascii="宋体" w:hAnsi="宋体" w:cs="宋体"/>
                <w:i w:val="0"/>
                <w:iCs w:val="0"/>
                <w:color w:val="000000"/>
                <w:kern w:val="0"/>
                <w:sz w:val="20"/>
                <w:szCs w:val="20"/>
                <w:u w:val="none"/>
                <w:lang w:val="en-US" w:eastAsia="zh-CN" w:bidi="ar"/>
              </w:rPr>
              <w:t>职工</w:t>
            </w:r>
            <w:r>
              <w:rPr>
                <w:rFonts w:hint="eastAsia" w:ascii="宋体" w:hAnsi="宋体" w:eastAsia="宋体" w:cs="宋体"/>
                <w:i w:val="0"/>
                <w:iCs w:val="0"/>
                <w:color w:val="000000"/>
                <w:kern w:val="0"/>
                <w:sz w:val="20"/>
                <w:szCs w:val="20"/>
                <w:u w:val="none"/>
                <w:lang w:val="en-US" w:eastAsia="zh-CN" w:bidi="ar"/>
              </w:rPr>
              <w:t>享受到基本权益</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长效</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长效</w:t>
            </w:r>
          </w:p>
        </w:tc>
        <w:tc>
          <w:tcPr>
            <w:tcW w:w="1242"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 w:val="20"/>
                <w:szCs w:val="20"/>
              </w:rPr>
              <w:t>　</w:t>
            </w:r>
            <w:r>
              <w:rPr>
                <w:rFonts w:hint="eastAsia" w:ascii="宋体" w:hAnsi="宋体" w:eastAsia="宋体" w:cs="宋体"/>
                <w:color w:val="000000"/>
                <w:kern w:val="0"/>
                <w:sz w:val="20"/>
                <w:szCs w:val="20"/>
                <w:lang w:val="en-US" w:eastAsia="zh-CN"/>
              </w:rPr>
              <w:t>促进医院中医药事业发展</w:t>
            </w:r>
          </w:p>
        </w:tc>
        <w:tc>
          <w:tcPr>
            <w:tcW w:w="1905" w:type="dxa"/>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长效</w:t>
            </w:r>
          </w:p>
        </w:tc>
        <w:tc>
          <w:tcPr>
            <w:tcW w:w="175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长效</w:t>
            </w:r>
          </w:p>
        </w:tc>
        <w:tc>
          <w:tcPr>
            <w:tcW w:w="1242"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center"/>
          </w:tcPr>
          <w:p>
            <w:pPr>
              <w:widowControl/>
              <w:spacing w:line="28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005"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2"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3005" w:type="dxa"/>
            <w:gridSpan w:val="2"/>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患者</w:t>
            </w:r>
            <w:r>
              <w:rPr>
                <w:rFonts w:hint="eastAsia" w:ascii="宋体" w:hAnsi="宋体" w:eastAsia="宋体" w:cs="宋体"/>
                <w:i w:val="0"/>
                <w:iCs w:val="0"/>
                <w:color w:val="000000"/>
                <w:kern w:val="0"/>
                <w:sz w:val="20"/>
                <w:szCs w:val="20"/>
                <w:u w:val="none"/>
                <w:lang w:val="en-US" w:eastAsia="zh-CN" w:bidi="ar"/>
              </w:rPr>
              <w:t>满意度</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≥95%</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≥95%</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2"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xml:space="preserve">    </w:t>
            </w:r>
            <w:r>
              <w:rPr>
                <w:rFonts w:hint="eastAsia" w:ascii="宋体" w:hAnsi="宋体" w:eastAsia="宋体" w:cs="宋体"/>
                <w:color w:val="000000"/>
                <w:kern w:val="0"/>
                <w:sz w:val="20"/>
                <w:szCs w:val="20"/>
                <w:lang w:val="en-US" w:eastAsia="zh-CN"/>
              </w:rPr>
              <w:t>职工满意度</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≥95%</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≥95%</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731"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2"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00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05"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55"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42"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val="0"/>
            <w:vAlign w:val="top"/>
          </w:tcPr>
          <w:p>
            <w:pPr>
              <w:widowControl/>
              <w:ind w:firstLine="420" w:firstLineChars="200"/>
              <w:jc w:val="left"/>
              <w:rPr>
                <w:rFonts w:hint="eastAsia" w:ascii="仿宋_GB2312" w:hAnsi="宋体" w:eastAsia="仿宋_GB2312" w:cs="宋体"/>
                <w:color w:val="000000"/>
                <w:kern w:val="0"/>
                <w:szCs w:val="21"/>
              </w:rPr>
            </w:pPr>
          </w:p>
          <w:p>
            <w:pPr>
              <w:widowControl/>
              <w:spacing w:line="360" w:lineRule="exact"/>
              <w:ind w:firstLine="420" w:firstLineChars="2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2、定量指标，资金使用单位填写本</w:t>
            </w:r>
            <w:r>
              <w:rPr>
                <w:rFonts w:hint="eastAsia" w:ascii="仿宋_GB2312" w:hAnsi="宋体" w:eastAsia="仿宋_GB2312" w:cs="宋体"/>
                <w:color w:val="000000"/>
                <w:kern w:val="0"/>
                <w:szCs w:val="21"/>
                <w:lang w:eastAsia="zh-CN"/>
              </w:rPr>
              <w:t>部门</w:t>
            </w:r>
            <w:r>
              <w:rPr>
                <w:rFonts w:hint="eastAsia" w:ascii="仿宋_GB2312" w:hAnsi="宋体" w:eastAsia="仿宋_GB2312" w:cs="宋体"/>
                <w:color w:val="000000"/>
                <w:kern w:val="0"/>
                <w:szCs w:val="21"/>
              </w:rPr>
              <w:t>实际完成数。</w:t>
            </w:r>
            <w:r>
              <w:rPr>
                <w:rFonts w:hint="eastAsia" w:ascii="仿宋_GB2312" w:hAnsi="宋体" w:eastAsia="仿宋_GB2312" w:cs="宋体"/>
                <w:color w:val="000000"/>
                <w:kern w:val="0"/>
                <w:szCs w:val="21"/>
                <w:lang w:eastAsia="zh-CN"/>
              </w:rPr>
              <w:t>主管部门</w:t>
            </w:r>
            <w:r>
              <w:rPr>
                <w:rFonts w:hint="eastAsia" w:ascii="仿宋_GB2312" w:hAnsi="宋体" w:eastAsia="仿宋_GB2312" w:cs="宋体"/>
                <w:color w:val="000000"/>
                <w:kern w:val="0"/>
                <w:szCs w:val="21"/>
              </w:rPr>
              <w:t>汇总时，对绝对值直接累加计算，相对值按照资金额度加权平均计算。</w:t>
            </w:r>
          </w:p>
          <w:p>
            <w:pPr>
              <w:widowControl/>
              <w:spacing w:line="360" w:lineRule="exact"/>
              <w:ind w:firstLine="420" w:firstLineChars="2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0"/>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0"/>
            <w:vAlign w:val="center"/>
          </w:tcPr>
          <w:p>
            <w:pPr>
              <w:widowControl/>
              <w:jc w:val="left"/>
              <w:rPr>
                <w:rFonts w:ascii="仿宋_GB2312" w:hAnsi="宋体" w:eastAsia="仿宋_GB2312" w:cs="宋体"/>
                <w:color w:val="000000"/>
                <w:kern w:val="0"/>
                <w:szCs w:val="21"/>
              </w:rPr>
            </w:pPr>
          </w:p>
        </w:tc>
      </w:tr>
    </w:tbl>
    <w:p/>
    <w:p>
      <w:pPr>
        <w:shd w:val="clear" w:color="auto" w:fill="FFFFFF"/>
        <w:spacing w:line="580" w:lineRule="exact"/>
        <w:ind w:firstLine="947" w:firstLineChars="320"/>
        <w:rPr>
          <w:rFonts w:ascii="仿宋" w:hAnsi="仿宋" w:eastAsia="仿宋" w:cs="仿宋"/>
          <w:spacing w:val="-2"/>
          <w:sz w:val="30"/>
          <w:szCs w:val="30"/>
        </w:rPr>
      </w:pPr>
    </w:p>
    <w:p>
      <w:pPr>
        <w:shd w:val="clear" w:color="auto" w:fill="FFFFFF"/>
        <w:spacing w:line="580" w:lineRule="exact"/>
        <w:ind w:firstLine="947" w:firstLineChars="320"/>
        <w:rPr>
          <w:rFonts w:ascii="仿宋" w:hAnsi="仿宋" w:eastAsia="仿宋" w:cs="仿宋"/>
          <w:spacing w:val="-2"/>
          <w:sz w:val="30"/>
          <w:szCs w:val="30"/>
        </w:rPr>
      </w:pPr>
    </w:p>
    <w:p>
      <w:pPr>
        <w:shd w:val="clear" w:color="auto" w:fill="FFFFFF"/>
        <w:spacing w:line="580" w:lineRule="exact"/>
        <w:ind w:firstLine="947" w:firstLineChars="320"/>
        <w:rPr>
          <w:rFonts w:ascii="仿宋" w:hAnsi="仿宋" w:eastAsia="仿宋" w:cs="仿宋"/>
          <w:spacing w:val="-2"/>
          <w:sz w:val="30"/>
          <w:szCs w:val="30"/>
        </w:rPr>
      </w:pPr>
    </w:p>
    <w:p>
      <w:pPr>
        <w:shd w:val="clear" w:color="auto" w:fill="FFFFFF"/>
        <w:spacing w:line="580" w:lineRule="exact"/>
        <w:ind w:firstLine="947" w:firstLineChars="320"/>
        <w:rPr>
          <w:rFonts w:ascii="仿宋" w:hAnsi="仿宋" w:eastAsia="仿宋" w:cs="仿宋"/>
          <w:spacing w:val="-2"/>
          <w:sz w:val="30"/>
          <w:szCs w:val="30"/>
        </w:rPr>
      </w:pPr>
    </w:p>
    <w:p>
      <w:pPr>
        <w:shd w:val="clear" w:color="auto" w:fill="FFFFFF"/>
        <w:spacing w:line="580" w:lineRule="exact"/>
        <w:ind w:firstLine="947" w:firstLineChars="320"/>
        <w:rPr>
          <w:rFonts w:ascii="仿宋" w:hAnsi="仿宋" w:eastAsia="仿宋" w:cs="仿宋"/>
          <w:spacing w:val="-2"/>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58FB2"/>
    <w:multiLevelType w:val="singleLevel"/>
    <w:tmpl w:val="2B058FB2"/>
    <w:lvl w:ilvl="0" w:tentative="0">
      <w:start w:val="1"/>
      <w:numFmt w:val="chineseCounting"/>
      <w:suff w:val="nothing"/>
      <w:lvlText w:val="%1、"/>
      <w:lvlJc w:val="left"/>
      <w:rPr>
        <w:rFonts w:hint="eastAsia"/>
      </w:rPr>
    </w:lvl>
  </w:abstractNum>
  <w:abstractNum w:abstractNumId="1">
    <w:nsid w:val="6F6A294A"/>
    <w:multiLevelType w:val="singleLevel"/>
    <w:tmpl w:val="6F6A294A"/>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zY2U1M2Y2YThhZDRiMGVjMWMzYjJmN2IyMDU4MDMifQ=="/>
  </w:docVars>
  <w:rsids>
    <w:rsidRoot w:val="7CE2656B"/>
    <w:rsid w:val="000226E7"/>
    <w:rsid w:val="001736E7"/>
    <w:rsid w:val="001A432A"/>
    <w:rsid w:val="001B585F"/>
    <w:rsid w:val="002B05F7"/>
    <w:rsid w:val="00363E26"/>
    <w:rsid w:val="003E2066"/>
    <w:rsid w:val="006F6FAC"/>
    <w:rsid w:val="007067CA"/>
    <w:rsid w:val="00711D30"/>
    <w:rsid w:val="007C4317"/>
    <w:rsid w:val="00847763"/>
    <w:rsid w:val="008C5BFD"/>
    <w:rsid w:val="00984C52"/>
    <w:rsid w:val="009A4425"/>
    <w:rsid w:val="00A2499E"/>
    <w:rsid w:val="00A47251"/>
    <w:rsid w:val="00A81146"/>
    <w:rsid w:val="00B27063"/>
    <w:rsid w:val="00C63222"/>
    <w:rsid w:val="00CE2D9C"/>
    <w:rsid w:val="00D837CE"/>
    <w:rsid w:val="00D85FD3"/>
    <w:rsid w:val="00E22B04"/>
    <w:rsid w:val="00EB0740"/>
    <w:rsid w:val="00ED1AA8"/>
    <w:rsid w:val="00F42E36"/>
    <w:rsid w:val="00FE130B"/>
    <w:rsid w:val="026C6D7F"/>
    <w:rsid w:val="04454F6C"/>
    <w:rsid w:val="051A0D14"/>
    <w:rsid w:val="097F55EA"/>
    <w:rsid w:val="103C2486"/>
    <w:rsid w:val="10754422"/>
    <w:rsid w:val="10B04D10"/>
    <w:rsid w:val="10BE2E9B"/>
    <w:rsid w:val="1360023A"/>
    <w:rsid w:val="1666405A"/>
    <w:rsid w:val="16A84049"/>
    <w:rsid w:val="17FD699F"/>
    <w:rsid w:val="19B1359D"/>
    <w:rsid w:val="1AE202F1"/>
    <w:rsid w:val="1BD9534F"/>
    <w:rsid w:val="1D74500E"/>
    <w:rsid w:val="1F494278"/>
    <w:rsid w:val="1F666BD8"/>
    <w:rsid w:val="1FFD2322"/>
    <w:rsid w:val="212E7DCA"/>
    <w:rsid w:val="2580492B"/>
    <w:rsid w:val="27C32548"/>
    <w:rsid w:val="2A053A76"/>
    <w:rsid w:val="2A4C2E3C"/>
    <w:rsid w:val="2A6A1762"/>
    <w:rsid w:val="2A7C7BF7"/>
    <w:rsid w:val="2AFE23BA"/>
    <w:rsid w:val="2B5446D0"/>
    <w:rsid w:val="2C6B1F6C"/>
    <w:rsid w:val="2F7630BE"/>
    <w:rsid w:val="32554B9F"/>
    <w:rsid w:val="333A3C4D"/>
    <w:rsid w:val="345968B4"/>
    <w:rsid w:val="36105698"/>
    <w:rsid w:val="363C7966"/>
    <w:rsid w:val="37C60704"/>
    <w:rsid w:val="37DE5A4E"/>
    <w:rsid w:val="39DC787B"/>
    <w:rsid w:val="3A0479DA"/>
    <w:rsid w:val="3B695FB7"/>
    <w:rsid w:val="3F174387"/>
    <w:rsid w:val="408D0011"/>
    <w:rsid w:val="41306BEE"/>
    <w:rsid w:val="41BE41FA"/>
    <w:rsid w:val="426E3E72"/>
    <w:rsid w:val="44466D8E"/>
    <w:rsid w:val="45CC5137"/>
    <w:rsid w:val="48D2352F"/>
    <w:rsid w:val="48F03EF2"/>
    <w:rsid w:val="4A0550BC"/>
    <w:rsid w:val="4FA42C81"/>
    <w:rsid w:val="51AD4494"/>
    <w:rsid w:val="53306F09"/>
    <w:rsid w:val="54FF095A"/>
    <w:rsid w:val="55533CA4"/>
    <w:rsid w:val="555E3759"/>
    <w:rsid w:val="556F5ADF"/>
    <w:rsid w:val="58612EBF"/>
    <w:rsid w:val="58CE0D6F"/>
    <w:rsid w:val="59436C93"/>
    <w:rsid w:val="5B1B7465"/>
    <w:rsid w:val="5FE80968"/>
    <w:rsid w:val="61A82F49"/>
    <w:rsid w:val="62E55633"/>
    <w:rsid w:val="63CA777E"/>
    <w:rsid w:val="65BF765D"/>
    <w:rsid w:val="69E17F5E"/>
    <w:rsid w:val="6B5B5B36"/>
    <w:rsid w:val="6DBB76BC"/>
    <w:rsid w:val="6E3F653F"/>
    <w:rsid w:val="6E8F56D2"/>
    <w:rsid w:val="70DC1E23"/>
    <w:rsid w:val="716B3369"/>
    <w:rsid w:val="732D4BB8"/>
    <w:rsid w:val="748702F8"/>
    <w:rsid w:val="74D53921"/>
    <w:rsid w:val="76025FDF"/>
    <w:rsid w:val="7BF70459"/>
    <w:rsid w:val="7CE2656B"/>
    <w:rsid w:val="7D0F6AD4"/>
    <w:rsid w:val="7D87017C"/>
    <w:rsid w:val="7F810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pPr>
      <w:ind w:left="100" w:leftChars="2500"/>
    </w:pPr>
  </w:style>
  <w:style w:type="paragraph" w:styleId="3">
    <w:name w:val="Balloon Text"/>
    <w:basedOn w:val="1"/>
    <w:link w:val="11"/>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Calibri" w:hAnsi="Calibri" w:eastAsia="宋体" w:cs="黑体"/>
      <w:kern w:val="2"/>
      <w:sz w:val="18"/>
      <w:szCs w:val="18"/>
    </w:rPr>
  </w:style>
  <w:style w:type="character" w:customStyle="1" w:styleId="9">
    <w:name w:val="页脚 Char"/>
    <w:basedOn w:val="7"/>
    <w:link w:val="4"/>
    <w:qFormat/>
    <w:uiPriority w:val="0"/>
    <w:rPr>
      <w:rFonts w:ascii="Calibri" w:hAnsi="Calibri" w:eastAsia="宋体" w:cs="黑体"/>
      <w:kern w:val="2"/>
      <w:sz w:val="18"/>
      <w:szCs w:val="18"/>
    </w:rPr>
  </w:style>
  <w:style w:type="character" w:customStyle="1" w:styleId="10">
    <w:name w:val="日期 Char"/>
    <w:basedOn w:val="7"/>
    <w:link w:val="2"/>
    <w:qFormat/>
    <w:uiPriority w:val="0"/>
    <w:rPr>
      <w:rFonts w:ascii="Calibri" w:hAnsi="Calibri" w:eastAsia="宋体" w:cs="黑体"/>
      <w:kern w:val="2"/>
      <w:sz w:val="21"/>
      <w:szCs w:val="24"/>
    </w:rPr>
  </w:style>
  <w:style w:type="character" w:customStyle="1" w:styleId="11">
    <w:name w:val="批注框文本 Char"/>
    <w:basedOn w:val="7"/>
    <w:link w:val="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5247</Words>
  <Characters>5371</Characters>
  <Lines>39</Lines>
  <Paragraphs>11</Paragraphs>
  <TotalTime>3</TotalTime>
  <ScaleCrop>false</ScaleCrop>
  <LinksUpToDate>false</LinksUpToDate>
  <CharactersWithSpaces>5619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2021-10-28T02:17:00Z</dcterms:created>
  <dc:creator>Administrator</dc:creator>
  <cp:lastModifiedBy>钟文</cp:lastModifiedBy>
  <cp:lastPrinted>2019-06-03T07:51:00Z</cp:lastPrinted>
  <dcterms:modified xsi:type="dcterms:W3CDTF">2022-06-21T02:09:05Z</dcterms:modified>
  <dc:title>芷江侗族自治县卫生和计划生育局2019年</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5C8FECF3663B40EC92AF6E488435C137</vt:lpwstr>
  </property>
</Properties>
</file>