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3A" w:rsidRDefault="005A2213">
      <w:pPr>
        <w:spacing w:line="600" w:lineRule="exact"/>
        <w:jc w:val="center"/>
        <w:rPr>
          <w:rFonts w:ascii="黑体" w:eastAsia="黑体" w:hAnsi="黑体" w:cs="方正大标宋_GBK"/>
          <w:sz w:val="36"/>
          <w:szCs w:val="36"/>
        </w:rPr>
      </w:pPr>
      <w:r>
        <w:rPr>
          <w:rFonts w:ascii="黑体" w:eastAsia="黑体" w:hAnsi="黑体" w:cs="方正大标宋_GBK" w:hint="eastAsia"/>
          <w:sz w:val="36"/>
          <w:szCs w:val="36"/>
        </w:rPr>
        <w:t>芷江县商务科技和工业信息化局 2020年度整体支出</w:t>
      </w:r>
    </w:p>
    <w:p w:rsidR="00F13E3A" w:rsidRDefault="005A2213">
      <w:pPr>
        <w:spacing w:line="600" w:lineRule="exact"/>
        <w:jc w:val="center"/>
        <w:rPr>
          <w:rFonts w:ascii="黑体" w:eastAsia="黑体" w:hAnsi="黑体" w:cs="方正大标宋_GBK"/>
          <w:sz w:val="36"/>
          <w:szCs w:val="36"/>
        </w:rPr>
      </w:pPr>
      <w:r>
        <w:rPr>
          <w:rFonts w:ascii="黑体" w:eastAsia="黑体" w:hAnsi="黑体" w:cs="方正大标宋_GBK" w:hint="eastAsia"/>
          <w:sz w:val="36"/>
          <w:szCs w:val="36"/>
        </w:rPr>
        <w:t>绩效自评报告</w:t>
      </w:r>
    </w:p>
    <w:p w:rsidR="00F13E3A" w:rsidRDefault="00F13E3A">
      <w:pPr>
        <w:spacing w:line="600" w:lineRule="exact"/>
        <w:jc w:val="center"/>
        <w:rPr>
          <w:rFonts w:ascii="黑体" w:eastAsia="黑体" w:hAnsi="黑体" w:cs="方正大标宋_GBK"/>
          <w:sz w:val="36"/>
          <w:szCs w:val="36"/>
        </w:rPr>
      </w:pPr>
    </w:p>
    <w:p w:rsidR="00F13E3A" w:rsidRDefault="005A221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pacing w:val="6"/>
          <w:sz w:val="32"/>
          <w:szCs w:val="32"/>
        </w:rPr>
        <w:t>县财政局《关于开展2020年度财政资金绩效评价工作的通知》（芷财绩〔2021〕1号）文件精神，我局对2020年度部门整体支出绩效进行了全面综合评价。现将有关情况报告如下:</w:t>
      </w:r>
    </w:p>
    <w:p w:rsidR="00F13E3A" w:rsidRDefault="005A2213">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一、部门概况</w:t>
      </w:r>
    </w:p>
    <w:p w:rsidR="00F13E3A" w:rsidRDefault="005A2213">
      <w:pPr>
        <w:spacing w:line="60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1、主要职能：</w:t>
      </w:r>
    </w:p>
    <w:p w:rsidR="00F13E3A" w:rsidRDefault="005A2213">
      <w:pPr>
        <w:spacing w:line="560" w:lineRule="exact"/>
        <w:ind w:firstLineChars="200" w:firstLine="640"/>
        <w:rPr>
          <w:rFonts w:ascii="仿宋" w:eastAsia="仿宋" w:hAnsi="仿宋"/>
          <w:snapToGrid w:val="0"/>
          <w:sz w:val="32"/>
          <w:szCs w:val="32"/>
        </w:rPr>
      </w:pPr>
      <w:r>
        <w:rPr>
          <w:rFonts w:ascii="仿宋" w:eastAsia="仿宋" w:hAnsi="仿宋"/>
          <w:snapToGrid w:val="0"/>
          <w:sz w:val="32"/>
          <w:szCs w:val="32"/>
        </w:rPr>
        <w:t>（一）贯彻执行国家国内外贸易、国际经济合作和区域经济合作的发展战略、政策，起草我</w:t>
      </w:r>
      <w:r>
        <w:rPr>
          <w:rFonts w:ascii="仿宋" w:eastAsia="仿宋" w:hAnsi="仿宋" w:hint="eastAsia"/>
          <w:snapToGrid w:val="0"/>
          <w:sz w:val="32"/>
          <w:szCs w:val="32"/>
        </w:rPr>
        <w:t>县</w:t>
      </w:r>
      <w:r>
        <w:rPr>
          <w:rFonts w:ascii="仿宋" w:eastAsia="仿宋" w:hAnsi="仿宋"/>
          <w:snapToGrid w:val="0"/>
          <w:sz w:val="32"/>
          <w:szCs w:val="32"/>
        </w:rPr>
        <w:t>国内外贸易、招商引资、承接产业转移、对外援助、对外投资和对外经济合作的地方性法规及规章草案、政策措施和实施办法，研究经济全球化、区域经济合作、现代流通方式的发展趋势和流通体制改革并提出建议。负责推进流通产业结构调整，指导流通企业改革，促进商贸服务业和社区商业发展，提出促进中小商贸企业发展的政策建议，推动流通标准化和连锁经营、商业特许经营、物流配送、电子商务等现代流通方式的发展。</w:t>
      </w:r>
    </w:p>
    <w:p w:rsidR="00F13E3A" w:rsidRDefault="005A2213">
      <w:pPr>
        <w:spacing w:line="560" w:lineRule="exact"/>
        <w:ind w:firstLineChars="200" w:firstLine="640"/>
        <w:rPr>
          <w:rFonts w:ascii="仿宋" w:eastAsia="仿宋" w:hAnsi="仿宋"/>
          <w:snapToGrid w:val="0"/>
          <w:sz w:val="32"/>
          <w:szCs w:val="32"/>
        </w:rPr>
      </w:pPr>
      <w:r>
        <w:rPr>
          <w:rFonts w:ascii="仿宋" w:eastAsia="仿宋" w:hAnsi="仿宋"/>
          <w:snapToGrid w:val="0"/>
          <w:sz w:val="32"/>
          <w:szCs w:val="32"/>
        </w:rPr>
        <w:t>（</w:t>
      </w:r>
      <w:r>
        <w:rPr>
          <w:rFonts w:ascii="仿宋" w:eastAsia="仿宋" w:hAnsi="仿宋" w:hint="eastAsia"/>
          <w:snapToGrid w:val="0"/>
          <w:sz w:val="32"/>
          <w:szCs w:val="32"/>
        </w:rPr>
        <w:t>二</w:t>
      </w:r>
      <w:r>
        <w:rPr>
          <w:rFonts w:ascii="仿宋" w:eastAsia="仿宋" w:hAnsi="仿宋"/>
          <w:snapToGrid w:val="0"/>
          <w:sz w:val="32"/>
          <w:szCs w:val="32"/>
        </w:rPr>
        <w:t>）拟订全</w:t>
      </w:r>
      <w:r>
        <w:rPr>
          <w:rFonts w:ascii="仿宋" w:eastAsia="仿宋" w:hAnsi="仿宋" w:hint="eastAsia"/>
          <w:snapToGrid w:val="0"/>
          <w:sz w:val="32"/>
          <w:szCs w:val="32"/>
        </w:rPr>
        <w:t>县</w:t>
      </w:r>
      <w:r>
        <w:rPr>
          <w:rFonts w:ascii="仿宋" w:eastAsia="仿宋" w:hAnsi="仿宋"/>
          <w:snapToGrid w:val="0"/>
          <w:sz w:val="32"/>
          <w:szCs w:val="32"/>
        </w:rPr>
        <w:t>国内贸易发展规划，促进城乡市场发展，研究提出引导国内外资金投向市场体系建设的政策建议，指导大宗产品批发市场规划和城市商业网点规划、商业体系建设工作，推进农村市场体系建设，组织实施农村现代流通网络工程。承担牵头协调整顿和规范市场经济秩序工作的责任，拟订规范市场秩序的政策；推动商务领域信用建设，指导商业信用销售，建立市场诚信公共服务平台；按有关规定对特殊流通行业进行监督管理。</w:t>
      </w:r>
    </w:p>
    <w:p w:rsidR="00F13E3A" w:rsidRDefault="005A2213">
      <w:pPr>
        <w:spacing w:line="560" w:lineRule="exact"/>
        <w:ind w:firstLineChars="200" w:firstLine="640"/>
        <w:rPr>
          <w:rFonts w:ascii="仿宋" w:eastAsia="仿宋" w:hAnsi="仿宋"/>
          <w:snapToGrid w:val="0"/>
          <w:sz w:val="32"/>
          <w:szCs w:val="32"/>
        </w:rPr>
      </w:pPr>
      <w:r>
        <w:rPr>
          <w:rFonts w:ascii="仿宋" w:eastAsia="仿宋" w:hAnsi="仿宋"/>
          <w:snapToGrid w:val="0"/>
          <w:sz w:val="32"/>
          <w:szCs w:val="32"/>
        </w:rPr>
        <w:t>（</w:t>
      </w:r>
      <w:r>
        <w:rPr>
          <w:rFonts w:ascii="仿宋" w:eastAsia="仿宋" w:hAnsi="仿宋" w:hint="eastAsia"/>
          <w:snapToGrid w:val="0"/>
          <w:sz w:val="32"/>
          <w:szCs w:val="32"/>
        </w:rPr>
        <w:t>三</w:t>
      </w:r>
      <w:r>
        <w:rPr>
          <w:rFonts w:ascii="仿宋" w:eastAsia="仿宋" w:hAnsi="仿宋"/>
          <w:snapToGrid w:val="0"/>
          <w:sz w:val="32"/>
          <w:szCs w:val="32"/>
        </w:rPr>
        <w:t>）</w:t>
      </w:r>
      <w:r>
        <w:rPr>
          <w:rFonts w:ascii="仿宋" w:eastAsia="仿宋" w:hAnsi="仿宋"/>
          <w:sz w:val="32"/>
        </w:rPr>
        <w:t>承担组织实施重要消费品市场调控和重要生产资料（成品油）流通管理的责任，监测分析重要消费品的市场运行、商品供求状</w:t>
      </w:r>
      <w:r>
        <w:rPr>
          <w:rFonts w:ascii="仿宋" w:eastAsia="仿宋" w:hAnsi="仿宋"/>
          <w:sz w:val="32"/>
        </w:rPr>
        <w:lastRenderedPageBreak/>
        <w:t>况，调查分析重要消费品价格信息，进行预测预警和信息引导；按分工负责重要消费品（肉类、边销茶、小包装食品等）储备管理和市场调控工作；按有关规定对成品油流通进行监督管理。</w:t>
      </w:r>
    </w:p>
    <w:p w:rsidR="00F13E3A" w:rsidRDefault="005A2213">
      <w:pPr>
        <w:spacing w:line="560" w:lineRule="exact"/>
        <w:ind w:firstLineChars="200" w:firstLine="640"/>
        <w:rPr>
          <w:rFonts w:ascii="仿宋" w:eastAsia="仿宋" w:hAnsi="仿宋"/>
          <w:snapToGrid w:val="0"/>
          <w:sz w:val="32"/>
          <w:szCs w:val="32"/>
        </w:rPr>
      </w:pPr>
      <w:r>
        <w:rPr>
          <w:rFonts w:ascii="仿宋" w:eastAsia="仿宋" w:hAnsi="仿宋"/>
          <w:snapToGrid w:val="0"/>
          <w:sz w:val="32"/>
          <w:szCs w:val="32"/>
        </w:rPr>
        <w:t>（</w:t>
      </w:r>
      <w:r>
        <w:rPr>
          <w:rFonts w:ascii="仿宋" w:eastAsia="仿宋" w:hAnsi="仿宋" w:hint="eastAsia"/>
          <w:snapToGrid w:val="0"/>
          <w:sz w:val="32"/>
          <w:szCs w:val="32"/>
        </w:rPr>
        <w:t>四</w:t>
      </w:r>
      <w:r>
        <w:rPr>
          <w:rFonts w:ascii="仿宋" w:eastAsia="仿宋" w:hAnsi="仿宋"/>
          <w:snapToGrid w:val="0"/>
          <w:sz w:val="32"/>
          <w:szCs w:val="32"/>
        </w:rPr>
        <w:t>）贯彻执行国家进出口商品、加工贸易管理办法和进出口管理商品、技术目录，拟订促进外贸增长方式转变的政策措施，组织实施重要工业品、原材料和重要农产品进出口总量计划，会同有关部门协调大宗商品的进出口，指导贸易促进活动和外贸促进体系建设</w:t>
      </w:r>
      <w:r>
        <w:rPr>
          <w:rFonts w:ascii="仿宋" w:eastAsia="仿宋" w:hAnsi="仿宋" w:hint="eastAsia"/>
          <w:snapToGrid w:val="0"/>
          <w:sz w:val="32"/>
          <w:szCs w:val="32"/>
        </w:rPr>
        <w:t>;</w:t>
      </w:r>
      <w:r>
        <w:rPr>
          <w:rFonts w:ascii="仿宋" w:eastAsia="仿宋" w:hAnsi="仿宋"/>
          <w:snapToGrid w:val="0"/>
          <w:sz w:val="32"/>
          <w:szCs w:val="32"/>
        </w:rPr>
        <w:t>贯彻执行国家对外技术贸易、出口管制以及鼓励技术和成套设备进出口的贸易政策，推进进出口贸易标准化工作；依法监督技术引进、设备进口、国家限制出口技术的工作。</w:t>
      </w:r>
    </w:p>
    <w:p w:rsidR="00F13E3A" w:rsidRDefault="005A2213">
      <w:pPr>
        <w:spacing w:line="560" w:lineRule="exact"/>
        <w:ind w:firstLineChars="200" w:firstLine="640"/>
        <w:rPr>
          <w:rFonts w:ascii="仿宋" w:eastAsia="仿宋" w:hAnsi="仿宋"/>
          <w:snapToGrid w:val="0"/>
          <w:sz w:val="32"/>
          <w:szCs w:val="32"/>
        </w:rPr>
      </w:pPr>
      <w:r>
        <w:rPr>
          <w:rFonts w:ascii="仿宋" w:eastAsia="仿宋" w:hAnsi="仿宋"/>
          <w:snapToGrid w:val="0"/>
          <w:sz w:val="32"/>
          <w:szCs w:val="32"/>
        </w:rPr>
        <w:t>（</w:t>
      </w:r>
      <w:r>
        <w:rPr>
          <w:rFonts w:ascii="仿宋" w:eastAsia="仿宋" w:hAnsi="仿宋" w:hint="eastAsia"/>
          <w:snapToGrid w:val="0"/>
          <w:sz w:val="32"/>
          <w:szCs w:val="32"/>
        </w:rPr>
        <w:t>五</w:t>
      </w:r>
      <w:r>
        <w:rPr>
          <w:rFonts w:ascii="仿宋" w:eastAsia="仿宋" w:hAnsi="仿宋"/>
          <w:snapToGrid w:val="0"/>
          <w:sz w:val="32"/>
          <w:szCs w:val="32"/>
        </w:rPr>
        <w:t>）牵头拟订服务贸易发展规划并开展相关工作；会同有关部门制定促进服务出口、服务外包的规划、政策并组织实施，推动服务外包平台建设</w:t>
      </w:r>
      <w:r>
        <w:rPr>
          <w:rFonts w:ascii="仿宋" w:eastAsia="仿宋" w:hAnsi="仿宋" w:hint="eastAsia"/>
          <w:snapToGrid w:val="0"/>
          <w:sz w:val="32"/>
          <w:szCs w:val="32"/>
        </w:rPr>
        <w:t>;</w:t>
      </w:r>
      <w:r>
        <w:rPr>
          <w:rFonts w:ascii="仿宋" w:eastAsia="仿宋" w:hAnsi="仿宋"/>
          <w:snapToGrid w:val="0"/>
          <w:sz w:val="32"/>
          <w:szCs w:val="32"/>
        </w:rPr>
        <w:t>贯彻执行我国多双边（含区域、自由贸易区）经贸合作战略和政策，推进我</w:t>
      </w:r>
      <w:r>
        <w:rPr>
          <w:rFonts w:ascii="仿宋" w:eastAsia="仿宋" w:hAnsi="仿宋" w:hint="eastAsia"/>
          <w:snapToGrid w:val="0"/>
          <w:sz w:val="32"/>
          <w:szCs w:val="32"/>
        </w:rPr>
        <w:t>县</w:t>
      </w:r>
      <w:r>
        <w:rPr>
          <w:rFonts w:ascii="仿宋" w:eastAsia="仿宋" w:hAnsi="仿宋"/>
          <w:snapToGrid w:val="0"/>
          <w:sz w:val="32"/>
          <w:szCs w:val="32"/>
        </w:rPr>
        <w:t>与其他国家（地区）的经贸往来与投资贸易合作；牵头承担全</w:t>
      </w:r>
      <w:r>
        <w:rPr>
          <w:rFonts w:ascii="仿宋" w:eastAsia="仿宋" w:hAnsi="仿宋" w:hint="eastAsia"/>
          <w:snapToGrid w:val="0"/>
          <w:sz w:val="32"/>
          <w:szCs w:val="32"/>
        </w:rPr>
        <w:t>县</w:t>
      </w:r>
      <w:r>
        <w:rPr>
          <w:rFonts w:ascii="仿宋" w:eastAsia="仿宋" w:hAnsi="仿宋"/>
          <w:snapToGrid w:val="0"/>
          <w:sz w:val="32"/>
          <w:szCs w:val="32"/>
        </w:rPr>
        <w:t>商务领域涉及世界贸易组织事务的相关工作，负责对外经济贸易协调工作</w:t>
      </w:r>
      <w:r>
        <w:rPr>
          <w:rFonts w:ascii="仿宋" w:eastAsia="仿宋" w:hAnsi="仿宋" w:hint="eastAsia"/>
          <w:snapToGrid w:val="0"/>
          <w:sz w:val="32"/>
          <w:szCs w:val="32"/>
        </w:rPr>
        <w:t>；</w:t>
      </w:r>
      <w:r>
        <w:rPr>
          <w:rFonts w:ascii="Times New Roman" w:eastAsia="仿宋" w:hAnsi="Times New Roman"/>
          <w:snapToGrid w:val="0"/>
          <w:sz w:val="32"/>
          <w:szCs w:val="32"/>
        </w:rPr>
        <w:t> </w:t>
      </w:r>
      <w:r>
        <w:rPr>
          <w:rFonts w:ascii="仿宋" w:eastAsia="仿宋" w:hAnsi="仿宋"/>
          <w:snapToGrid w:val="0"/>
          <w:sz w:val="32"/>
          <w:szCs w:val="32"/>
        </w:rPr>
        <w:t>负责组织协调反倾销、反补贴、保障措施及其他与进出口公平贸易相关的工作，协助开展对外贸易调查和产业损害调查，指导协调产业安全应对工作。</w:t>
      </w:r>
    </w:p>
    <w:p w:rsidR="00F13E3A" w:rsidRDefault="005A2213">
      <w:pPr>
        <w:spacing w:line="560" w:lineRule="exact"/>
        <w:ind w:firstLineChars="200" w:firstLine="640"/>
        <w:rPr>
          <w:rFonts w:ascii="仿宋" w:eastAsia="仿宋" w:hAnsi="仿宋"/>
          <w:snapToGrid w:val="0"/>
          <w:sz w:val="32"/>
          <w:szCs w:val="32"/>
        </w:rPr>
      </w:pPr>
      <w:r>
        <w:rPr>
          <w:rFonts w:ascii="仿宋" w:eastAsia="仿宋" w:hAnsi="仿宋"/>
          <w:snapToGrid w:val="0"/>
          <w:sz w:val="32"/>
          <w:szCs w:val="32"/>
        </w:rPr>
        <w:t>（</w:t>
      </w:r>
      <w:r>
        <w:rPr>
          <w:rFonts w:ascii="仿宋" w:eastAsia="仿宋" w:hAnsi="仿宋" w:hint="eastAsia"/>
          <w:snapToGrid w:val="0"/>
          <w:sz w:val="32"/>
          <w:szCs w:val="32"/>
        </w:rPr>
        <w:t>六</w:t>
      </w:r>
      <w:r>
        <w:rPr>
          <w:rFonts w:ascii="仿宋" w:eastAsia="仿宋" w:hAnsi="仿宋"/>
          <w:snapToGrid w:val="0"/>
          <w:sz w:val="32"/>
          <w:szCs w:val="32"/>
        </w:rPr>
        <w:t>）指导和管理全</w:t>
      </w:r>
      <w:r>
        <w:rPr>
          <w:rFonts w:ascii="仿宋" w:eastAsia="仿宋" w:hAnsi="仿宋" w:hint="eastAsia"/>
          <w:snapToGrid w:val="0"/>
          <w:sz w:val="32"/>
          <w:szCs w:val="32"/>
        </w:rPr>
        <w:t>县</w:t>
      </w:r>
      <w:r>
        <w:rPr>
          <w:rFonts w:ascii="仿宋" w:eastAsia="仿宋" w:hAnsi="仿宋"/>
          <w:snapToGrid w:val="0"/>
          <w:sz w:val="32"/>
          <w:szCs w:val="32"/>
        </w:rPr>
        <w:t>招商引资、投资促进和承接产业转移工作，拟订并组织实施招商引资和承接产业转移政策；</w:t>
      </w:r>
      <w:r>
        <w:rPr>
          <w:rFonts w:ascii="仿宋" w:eastAsia="仿宋" w:hAnsi="仿宋"/>
          <w:kern w:val="0"/>
          <w:sz w:val="32"/>
          <w:szCs w:val="32"/>
        </w:rPr>
        <w:t>依权限办理全</w:t>
      </w:r>
      <w:r>
        <w:rPr>
          <w:rFonts w:ascii="仿宋" w:eastAsia="仿宋" w:hAnsi="仿宋" w:hint="eastAsia"/>
          <w:kern w:val="0"/>
          <w:sz w:val="32"/>
          <w:szCs w:val="32"/>
        </w:rPr>
        <w:t>县</w:t>
      </w:r>
      <w:r>
        <w:rPr>
          <w:rFonts w:ascii="仿宋" w:eastAsia="仿宋" w:hAnsi="仿宋"/>
          <w:kern w:val="0"/>
          <w:sz w:val="32"/>
          <w:szCs w:val="32"/>
        </w:rPr>
        <w:t>外商投资企业的审批和备案；</w:t>
      </w:r>
      <w:r>
        <w:rPr>
          <w:rFonts w:ascii="仿宋" w:eastAsia="仿宋" w:hAnsi="仿宋"/>
          <w:snapToGrid w:val="0"/>
          <w:sz w:val="32"/>
          <w:szCs w:val="32"/>
        </w:rPr>
        <w:t>指导</w:t>
      </w:r>
      <w:r>
        <w:rPr>
          <w:rFonts w:ascii="仿宋" w:eastAsia="仿宋" w:hAnsi="仿宋" w:hint="eastAsia"/>
          <w:snapToGrid w:val="0"/>
          <w:sz w:val="32"/>
          <w:szCs w:val="32"/>
        </w:rPr>
        <w:t>县级</w:t>
      </w:r>
      <w:r>
        <w:rPr>
          <w:rFonts w:ascii="仿宋" w:eastAsia="仿宋" w:hAnsi="仿宋"/>
          <w:snapToGrid w:val="0"/>
          <w:sz w:val="32"/>
          <w:szCs w:val="32"/>
        </w:rPr>
        <w:t>经济技术开发区的有关工作。</w:t>
      </w:r>
    </w:p>
    <w:p w:rsidR="00F13E3A" w:rsidRDefault="005A2213">
      <w:pPr>
        <w:spacing w:line="560" w:lineRule="exact"/>
        <w:ind w:firstLineChars="200" w:firstLine="640"/>
        <w:rPr>
          <w:rFonts w:ascii="仿宋" w:eastAsia="仿宋" w:hAnsi="仿宋"/>
          <w:snapToGrid w:val="0"/>
          <w:sz w:val="32"/>
          <w:szCs w:val="32"/>
        </w:rPr>
      </w:pPr>
      <w:r>
        <w:rPr>
          <w:rFonts w:ascii="仿宋" w:eastAsia="仿宋" w:hAnsi="仿宋"/>
          <w:snapToGrid w:val="0"/>
          <w:sz w:val="32"/>
          <w:szCs w:val="32"/>
        </w:rPr>
        <w:t>（</w:t>
      </w:r>
      <w:r>
        <w:rPr>
          <w:rFonts w:ascii="仿宋" w:eastAsia="仿宋" w:hAnsi="仿宋" w:hint="eastAsia"/>
          <w:snapToGrid w:val="0"/>
          <w:sz w:val="32"/>
          <w:szCs w:val="32"/>
        </w:rPr>
        <w:t>七</w:t>
      </w:r>
      <w:r>
        <w:rPr>
          <w:rFonts w:ascii="仿宋" w:eastAsia="仿宋" w:hAnsi="仿宋"/>
          <w:snapToGrid w:val="0"/>
          <w:sz w:val="32"/>
          <w:szCs w:val="32"/>
        </w:rPr>
        <w:t>）拟订并组织实施对外经济合作政策；依法管理和监督对外承包工程、对外劳务合作等；拟订</w:t>
      </w:r>
      <w:r>
        <w:rPr>
          <w:rFonts w:ascii="仿宋" w:eastAsia="仿宋" w:hAnsi="仿宋" w:hint="eastAsia"/>
          <w:snapToGrid w:val="0"/>
          <w:sz w:val="32"/>
          <w:szCs w:val="32"/>
        </w:rPr>
        <w:t>县</w:t>
      </w:r>
      <w:r>
        <w:rPr>
          <w:rFonts w:ascii="仿宋" w:eastAsia="仿宋" w:hAnsi="仿宋"/>
          <w:snapToGrid w:val="0"/>
          <w:sz w:val="32"/>
          <w:szCs w:val="32"/>
        </w:rPr>
        <w:t>内人员出境就业管理政策并组织实施，负责牵头外派劳务和境外就业人员的权益保护工作；拟订境外投资的管理办法和具体政策，指导</w:t>
      </w:r>
      <w:r>
        <w:rPr>
          <w:rFonts w:ascii="仿宋" w:eastAsia="仿宋" w:hAnsi="仿宋" w:hint="eastAsia"/>
          <w:snapToGrid w:val="0"/>
          <w:sz w:val="32"/>
          <w:szCs w:val="32"/>
        </w:rPr>
        <w:t>县</w:t>
      </w:r>
      <w:r>
        <w:rPr>
          <w:rFonts w:ascii="仿宋" w:eastAsia="仿宋" w:hAnsi="仿宋"/>
          <w:snapToGrid w:val="0"/>
          <w:sz w:val="32"/>
          <w:szCs w:val="32"/>
        </w:rPr>
        <w:t>内企业对外投资开办企业（金融企业除外）按程序报批。</w:t>
      </w:r>
    </w:p>
    <w:p w:rsidR="00F13E3A" w:rsidRDefault="005A2213">
      <w:pPr>
        <w:spacing w:line="560" w:lineRule="exact"/>
        <w:rPr>
          <w:rFonts w:ascii="仿宋" w:eastAsia="仿宋" w:hAnsi="仿宋"/>
          <w:snapToGrid w:val="0"/>
          <w:sz w:val="32"/>
          <w:szCs w:val="32"/>
        </w:rPr>
      </w:pPr>
      <w:r>
        <w:rPr>
          <w:rFonts w:ascii="仿宋" w:eastAsia="仿宋" w:hAnsi="仿宋"/>
          <w:snapToGrid w:val="0"/>
          <w:sz w:val="32"/>
          <w:szCs w:val="32"/>
        </w:rPr>
        <w:lastRenderedPageBreak/>
        <w:t>贯彻执行国家对外援助政策和方案，协调管理全</w:t>
      </w:r>
      <w:r>
        <w:rPr>
          <w:rFonts w:ascii="仿宋" w:eastAsia="仿宋" w:hAnsi="仿宋" w:hint="eastAsia"/>
          <w:snapToGrid w:val="0"/>
          <w:sz w:val="32"/>
          <w:szCs w:val="32"/>
        </w:rPr>
        <w:t>县</w:t>
      </w:r>
      <w:r>
        <w:rPr>
          <w:rFonts w:ascii="仿宋" w:eastAsia="仿宋" w:hAnsi="仿宋"/>
          <w:snapToGrid w:val="0"/>
          <w:sz w:val="32"/>
          <w:szCs w:val="32"/>
        </w:rPr>
        <w:t>承担的对外援助项目；协调管理多双边对我</w:t>
      </w:r>
      <w:r>
        <w:rPr>
          <w:rFonts w:ascii="仿宋" w:eastAsia="仿宋" w:hAnsi="仿宋" w:hint="eastAsia"/>
          <w:snapToGrid w:val="0"/>
          <w:sz w:val="32"/>
          <w:szCs w:val="32"/>
        </w:rPr>
        <w:t>县</w:t>
      </w:r>
      <w:r>
        <w:rPr>
          <w:rFonts w:ascii="仿宋" w:eastAsia="仿宋" w:hAnsi="仿宋"/>
          <w:snapToGrid w:val="0"/>
          <w:sz w:val="32"/>
          <w:szCs w:val="32"/>
        </w:rPr>
        <w:t>的无偿援助和赠款（不含财政合作项下外国政府及国际金融组织的赠款）等发展合作业务</w:t>
      </w:r>
      <w:r>
        <w:rPr>
          <w:rFonts w:ascii="仿宋" w:eastAsia="仿宋" w:hAnsi="仿宋" w:hint="eastAsia"/>
          <w:snapToGrid w:val="0"/>
          <w:sz w:val="32"/>
          <w:szCs w:val="32"/>
        </w:rPr>
        <w:t>;</w:t>
      </w:r>
      <w:r>
        <w:rPr>
          <w:rFonts w:ascii="仿宋" w:eastAsia="仿宋" w:hAnsi="仿宋"/>
          <w:snapToGrid w:val="0"/>
          <w:sz w:val="32"/>
          <w:szCs w:val="32"/>
        </w:rPr>
        <w:t>贯彻执行国家对香港、澳门特别行政区和台湾地区的经贸规划、政策，指导我</w:t>
      </w:r>
      <w:r>
        <w:rPr>
          <w:rFonts w:ascii="仿宋" w:eastAsia="仿宋" w:hAnsi="仿宋" w:hint="eastAsia"/>
          <w:snapToGrid w:val="0"/>
          <w:sz w:val="32"/>
          <w:szCs w:val="32"/>
        </w:rPr>
        <w:t>县</w:t>
      </w:r>
      <w:r>
        <w:rPr>
          <w:rFonts w:ascii="仿宋" w:eastAsia="仿宋" w:hAnsi="仿宋"/>
          <w:snapToGrid w:val="0"/>
          <w:sz w:val="32"/>
          <w:szCs w:val="32"/>
        </w:rPr>
        <w:t>对港、澳、台地区贸易和经贸合作活动，协调港、澳、台商投资管理工作</w:t>
      </w:r>
      <w:r>
        <w:rPr>
          <w:rFonts w:ascii="仿宋" w:eastAsia="仿宋" w:hAnsi="仿宋" w:hint="eastAsia"/>
          <w:snapToGrid w:val="0"/>
          <w:sz w:val="32"/>
          <w:szCs w:val="32"/>
        </w:rPr>
        <w:t>;</w:t>
      </w:r>
      <w:r>
        <w:rPr>
          <w:rFonts w:ascii="仿宋" w:eastAsia="仿宋" w:hAnsi="仿宋"/>
          <w:snapToGrid w:val="0"/>
          <w:sz w:val="32"/>
          <w:szCs w:val="32"/>
        </w:rPr>
        <w:t>承担会展业促进与管理有关工作</w:t>
      </w:r>
      <w:r>
        <w:rPr>
          <w:rFonts w:ascii="仿宋" w:eastAsia="仿宋" w:hAnsi="仿宋" w:hint="eastAsia"/>
          <w:snapToGrid w:val="0"/>
          <w:sz w:val="32"/>
          <w:szCs w:val="32"/>
        </w:rPr>
        <w:t>;</w:t>
      </w:r>
      <w:r>
        <w:rPr>
          <w:rFonts w:ascii="仿宋" w:eastAsia="仿宋" w:hAnsi="仿宋"/>
          <w:snapToGrid w:val="0"/>
          <w:sz w:val="32"/>
          <w:szCs w:val="32"/>
        </w:rPr>
        <w:t>负责全</w:t>
      </w:r>
      <w:r>
        <w:rPr>
          <w:rFonts w:ascii="仿宋" w:eastAsia="仿宋" w:hAnsi="仿宋" w:hint="eastAsia"/>
          <w:snapToGrid w:val="0"/>
          <w:sz w:val="32"/>
          <w:szCs w:val="32"/>
        </w:rPr>
        <w:t>县</w:t>
      </w:r>
      <w:r>
        <w:rPr>
          <w:rFonts w:ascii="仿宋" w:eastAsia="仿宋" w:hAnsi="仿宋"/>
          <w:snapToGrid w:val="0"/>
          <w:sz w:val="32"/>
          <w:szCs w:val="32"/>
        </w:rPr>
        <w:t>对外开放口岸的规划、申报及有关审批工作；协调管理全</w:t>
      </w:r>
      <w:r>
        <w:rPr>
          <w:rFonts w:ascii="仿宋" w:eastAsia="仿宋" w:hAnsi="仿宋" w:hint="eastAsia"/>
          <w:snapToGrid w:val="0"/>
          <w:sz w:val="32"/>
          <w:szCs w:val="32"/>
        </w:rPr>
        <w:t>县</w:t>
      </w:r>
      <w:r>
        <w:rPr>
          <w:rFonts w:ascii="仿宋" w:eastAsia="仿宋" w:hAnsi="仿宋"/>
          <w:snapToGrid w:val="0"/>
          <w:sz w:val="32"/>
          <w:szCs w:val="32"/>
        </w:rPr>
        <w:t>口岸工作，推动建立大通关机制。</w:t>
      </w:r>
      <w:r>
        <w:rPr>
          <w:rFonts w:ascii="Times New Roman" w:eastAsia="仿宋" w:hAnsi="Times New Roman"/>
          <w:snapToGrid w:val="0"/>
          <w:sz w:val="32"/>
          <w:szCs w:val="32"/>
        </w:rPr>
        <w:t> </w:t>
      </w:r>
    </w:p>
    <w:p w:rsidR="00F13E3A" w:rsidRDefault="005A2213">
      <w:pPr>
        <w:pStyle w:val="a4"/>
        <w:widowControl w:val="0"/>
        <w:spacing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（八）贯彻创新驱动发展战略和创新引领开放崛起战略，拟订全县科技发展、引进国外及国内智力规划和政策并组织实施</w:t>
      </w:r>
      <w:r>
        <w:rPr>
          <w:rFonts w:ascii="仿宋" w:eastAsia="仿宋" w:hAnsi="仿宋"/>
          <w:snapToGrid w:val="0"/>
          <w:sz w:val="32"/>
          <w:szCs w:val="32"/>
        </w:rPr>
        <w:t>；</w:t>
      </w:r>
      <w:r>
        <w:rPr>
          <w:rFonts w:ascii="仿宋" w:eastAsia="仿宋" w:hAnsi="仿宋" w:hint="eastAsia"/>
          <w:sz w:val="32"/>
          <w:szCs w:val="32"/>
        </w:rPr>
        <w:t>统筹推进全县创新体系建设和科技体制改革，会同有关部门健全技术创新激励机制</w:t>
      </w:r>
      <w:r>
        <w:rPr>
          <w:rFonts w:ascii="仿宋" w:eastAsia="仿宋" w:hAnsi="仿宋"/>
          <w:snapToGrid w:val="0"/>
          <w:sz w:val="32"/>
          <w:szCs w:val="32"/>
        </w:rPr>
        <w:t>；</w:t>
      </w:r>
      <w:r>
        <w:rPr>
          <w:rFonts w:ascii="仿宋" w:eastAsia="仿宋" w:hAnsi="仿宋" w:hint="eastAsia"/>
          <w:sz w:val="32"/>
          <w:szCs w:val="32"/>
        </w:rPr>
        <w:t>优化科研体系建设，指导科研机构改革发展，推</w:t>
      </w:r>
      <w:r>
        <w:rPr>
          <w:rFonts w:ascii="仿宋" w:eastAsia="仿宋" w:hAnsi="仿宋" w:hint="eastAsia"/>
          <w:color w:val="000000"/>
          <w:sz w:val="32"/>
          <w:szCs w:val="32"/>
        </w:rPr>
        <w:t>动企业科技创新能力建设，承担推进科技军民融合发展相关工作，推进全县重大科技决策咨询制度建设</w:t>
      </w:r>
      <w:r>
        <w:rPr>
          <w:rFonts w:ascii="仿宋" w:eastAsia="仿宋" w:hAnsi="仿宋"/>
          <w:snapToGrid w:val="0"/>
          <w:sz w:val="32"/>
          <w:szCs w:val="32"/>
        </w:rPr>
        <w:t>；</w:t>
      </w:r>
      <w:r>
        <w:rPr>
          <w:rFonts w:ascii="仿宋" w:eastAsia="仿宋" w:hAnsi="仿宋" w:hint="eastAsia"/>
          <w:sz w:val="32"/>
          <w:szCs w:val="32"/>
        </w:rPr>
        <w:t>拟订科学普及和科学传播规划、政策</w:t>
      </w:r>
      <w:r>
        <w:rPr>
          <w:rFonts w:ascii="仿宋" w:eastAsia="仿宋" w:hAnsi="仿宋"/>
          <w:snapToGrid w:val="0"/>
          <w:sz w:val="32"/>
          <w:szCs w:val="32"/>
        </w:rPr>
        <w:t>；</w:t>
      </w:r>
      <w:r>
        <w:rPr>
          <w:rFonts w:ascii="仿宋" w:eastAsia="仿宋" w:hAnsi="仿宋" w:hint="eastAsia"/>
          <w:color w:val="000000"/>
          <w:sz w:val="32"/>
          <w:szCs w:val="32"/>
        </w:rPr>
        <w:t>统筹推进创新型城市建设。</w:t>
      </w:r>
    </w:p>
    <w:p w:rsidR="00F13E3A" w:rsidRDefault="005A2213">
      <w:pPr>
        <w:pStyle w:val="a4"/>
        <w:widowControl w:val="0"/>
        <w:spacing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（九）牵头建立统一的县级科技管理平台和科研项目资金协调、评估、监督机制</w:t>
      </w:r>
      <w:r>
        <w:rPr>
          <w:rFonts w:ascii="仿宋" w:eastAsia="仿宋" w:hAnsi="仿宋"/>
          <w:snapToGrid w:val="0"/>
          <w:sz w:val="32"/>
          <w:szCs w:val="32"/>
        </w:rPr>
        <w:t>；</w:t>
      </w:r>
      <w:r>
        <w:rPr>
          <w:rFonts w:ascii="仿宋" w:eastAsia="仿宋" w:hAnsi="仿宋" w:hint="eastAsia"/>
          <w:sz w:val="32"/>
          <w:szCs w:val="32"/>
        </w:rPr>
        <w:t>会同有关部门提出优化配置科技资源的政策措施建议，推动多元化科技投入体系建设，协调管理县级科技财政计划（专项、基金等）并监督实施。</w:t>
      </w:r>
    </w:p>
    <w:p w:rsidR="00F13E3A" w:rsidRDefault="005A2213">
      <w:pPr>
        <w:pStyle w:val="a4"/>
        <w:widowControl w:val="0"/>
        <w:spacing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（十）拟订全县基础研究规划、政策和标准并组织实施，组织协调县级重大基础研究和应用基础研究</w:t>
      </w:r>
      <w:r>
        <w:rPr>
          <w:rFonts w:ascii="仿宋" w:eastAsia="仿宋" w:hAnsi="仿宋"/>
          <w:snapToGrid w:val="0"/>
          <w:sz w:val="32"/>
          <w:szCs w:val="32"/>
        </w:rPr>
        <w:t>；</w:t>
      </w:r>
      <w:r>
        <w:rPr>
          <w:rFonts w:ascii="仿宋" w:eastAsia="仿宋" w:hAnsi="仿宋" w:hint="eastAsia"/>
          <w:sz w:val="32"/>
          <w:szCs w:val="32"/>
        </w:rPr>
        <w:t>拟订重大科技创新基地建设规划并监督实施，参与编制重大科技基础设施建设规划和监督实施，牵头组织县重点实验室等重大科技创新基地建设，推动科研条件保障建设和科技资源开放共享。</w:t>
      </w:r>
    </w:p>
    <w:p w:rsidR="00F13E3A" w:rsidRDefault="005A2213">
      <w:pPr>
        <w:pStyle w:val="a4"/>
        <w:widowControl w:val="0"/>
        <w:spacing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（十一）编制县级重大科技项目计划并监督实施，统筹关键共性技术、前沿引领技术、现代工程技术、颠覆性技术研发和创新，牵头组织重大技术攻关和成果应用示范</w:t>
      </w:r>
      <w:r>
        <w:rPr>
          <w:rFonts w:ascii="仿宋" w:eastAsia="仿宋" w:hAnsi="仿宋"/>
          <w:snapToGrid w:val="0"/>
          <w:sz w:val="32"/>
          <w:szCs w:val="32"/>
        </w:rPr>
        <w:t>；</w:t>
      </w:r>
      <w:r>
        <w:rPr>
          <w:rFonts w:ascii="仿宋" w:eastAsia="仿宋" w:hAnsi="仿宋" w:hint="eastAsia"/>
          <w:sz w:val="32"/>
          <w:szCs w:val="32"/>
        </w:rPr>
        <w:t>组织拟订高新技术发展及产业化、</w:t>
      </w:r>
      <w:r>
        <w:rPr>
          <w:rFonts w:ascii="仿宋" w:eastAsia="仿宋" w:hAnsi="仿宋" w:hint="eastAsia"/>
          <w:sz w:val="32"/>
          <w:szCs w:val="32"/>
        </w:rPr>
        <w:lastRenderedPageBreak/>
        <w:t>科技促进农业农村和社会发展的规划、政策和措施。组织开展重点领域技术发展需求分析，提出重大任务并监督实施</w:t>
      </w:r>
      <w:r>
        <w:rPr>
          <w:rFonts w:ascii="仿宋" w:eastAsia="仿宋" w:hAnsi="仿宋"/>
          <w:snapToGrid w:val="0"/>
          <w:sz w:val="32"/>
          <w:szCs w:val="32"/>
        </w:rPr>
        <w:t>；</w:t>
      </w:r>
      <w:r>
        <w:rPr>
          <w:rFonts w:ascii="仿宋" w:eastAsia="仿宋" w:hAnsi="仿宋" w:hint="eastAsia"/>
          <w:sz w:val="32"/>
          <w:szCs w:val="32"/>
        </w:rPr>
        <w:t>牵头县级技术转移体系建设，拟订科技成果转移转化和促进产学研结合的相关政策措施并监督实施</w:t>
      </w:r>
      <w:r>
        <w:rPr>
          <w:rFonts w:ascii="仿宋" w:eastAsia="仿宋" w:hAnsi="仿宋"/>
          <w:snapToGrid w:val="0"/>
          <w:sz w:val="32"/>
          <w:szCs w:val="32"/>
        </w:rPr>
        <w:t>；</w:t>
      </w:r>
      <w:r>
        <w:rPr>
          <w:rFonts w:ascii="仿宋" w:eastAsia="仿宋" w:hAnsi="仿宋" w:hint="eastAsia"/>
          <w:sz w:val="32"/>
          <w:szCs w:val="32"/>
        </w:rPr>
        <w:t>指导科技服务业、技术市场、科技金融结合和科技中介组织发展</w:t>
      </w:r>
      <w:r>
        <w:rPr>
          <w:rFonts w:ascii="仿宋" w:eastAsia="仿宋" w:hAnsi="仿宋"/>
          <w:snapToGrid w:val="0"/>
          <w:sz w:val="32"/>
          <w:szCs w:val="32"/>
        </w:rPr>
        <w:t>；</w:t>
      </w:r>
      <w:r>
        <w:rPr>
          <w:rFonts w:ascii="仿宋" w:eastAsia="仿宋" w:hAnsi="仿宋" w:hint="eastAsia"/>
          <w:sz w:val="32"/>
          <w:szCs w:val="32"/>
        </w:rPr>
        <w:t>统筹区域科技创新体系建设，指导区域创新发展、科技资源合理布局和协同创新能力建设，推动科技园区建设</w:t>
      </w:r>
      <w:r>
        <w:rPr>
          <w:rFonts w:ascii="仿宋" w:eastAsia="仿宋" w:hAnsi="仿宋"/>
          <w:snapToGrid w:val="0"/>
          <w:sz w:val="32"/>
          <w:szCs w:val="32"/>
        </w:rPr>
        <w:t>；</w:t>
      </w:r>
      <w:r>
        <w:rPr>
          <w:rFonts w:ascii="仿宋" w:eastAsia="仿宋" w:hAnsi="仿宋" w:hint="eastAsia"/>
          <w:sz w:val="32"/>
          <w:szCs w:val="32"/>
        </w:rPr>
        <w:t>负责科学监督评价体系建设和相关科技评估管理，指导科技评价机制改革，统筹科研诚信建设</w:t>
      </w:r>
      <w:r>
        <w:rPr>
          <w:rFonts w:ascii="仿宋" w:eastAsia="仿宋" w:hAnsi="仿宋"/>
          <w:snapToGrid w:val="0"/>
          <w:sz w:val="32"/>
          <w:szCs w:val="32"/>
        </w:rPr>
        <w:t>；</w:t>
      </w:r>
      <w:r>
        <w:rPr>
          <w:rFonts w:ascii="仿宋" w:eastAsia="仿宋" w:hAnsi="仿宋" w:hint="eastAsia"/>
          <w:sz w:val="32"/>
          <w:szCs w:val="32"/>
        </w:rPr>
        <w:t>组织实施全县创新调查和科技报告制度，指导全县科技保密工作。</w:t>
      </w:r>
    </w:p>
    <w:p w:rsidR="00F13E3A" w:rsidRDefault="005A2213">
      <w:pPr>
        <w:pStyle w:val="a4"/>
        <w:widowControl w:val="0"/>
        <w:spacing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（十二）拟订科技对外交往与创新能力开放合作的规划、政策和措施，组织开展国际和区域科技合作与科技人才交流</w:t>
      </w:r>
      <w:r>
        <w:rPr>
          <w:rFonts w:ascii="仿宋" w:eastAsia="仿宋" w:hAnsi="仿宋"/>
          <w:snapToGrid w:val="0"/>
          <w:sz w:val="32"/>
          <w:szCs w:val="32"/>
        </w:rPr>
        <w:t>；</w:t>
      </w:r>
      <w:r>
        <w:rPr>
          <w:rFonts w:ascii="仿宋" w:eastAsia="仿宋" w:hAnsi="仿宋" w:hint="eastAsia"/>
          <w:color w:val="000000"/>
          <w:sz w:val="32"/>
          <w:szCs w:val="32"/>
        </w:rPr>
        <w:t>指导相关部门和地方对外科技合作与科技人才交流工作。</w:t>
      </w:r>
      <w:r>
        <w:rPr>
          <w:rFonts w:ascii="仿宋" w:eastAsia="仿宋" w:hAnsi="仿宋" w:hint="eastAsia"/>
          <w:sz w:val="32"/>
          <w:szCs w:val="32"/>
        </w:rPr>
        <w:t>负责引进国外和国内智力工作</w:t>
      </w:r>
      <w:r>
        <w:rPr>
          <w:rFonts w:ascii="仿宋" w:eastAsia="仿宋" w:hAnsi="仿宋"/>
          <w:snapToGrid w:val="0"/>
          <w:sz w:val="32"/>
          <w:szCs w:val="32"/>
        </w:rPr>
        <w:t>；</w:t>
      </w:r>
      <w:r>
        <w:rPr>
          <w:rFonts w:ascii="仿宋" w:eastAsia="仿宋" w:hAnsi="仿宋" w:hint="eastAsia"/>
          <w:sz w:val="32"/>
          <w:szCs w:val="32"/>
        </w:rPr>
        <w:t>拟订全县重点引进国外专家总体规划、计划并组织实施，建立国外和国内顶尖科学家、团队吸引集聚机制和重点国内外专家联系服务机制。</w:t>
      </w:r>
    </w:p>
    <w:p w:rsidR="00F13E3A" w:rsidRDefault="005A2213">
      <w:pPr>
        <w:pStyle w:val="a4"/>
        <w:widowControl w:val="0"/>
        <w:spacing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（十三）拟订出国（境）培训总体规划、政策和年度计划并监督实施</w:t>
      </w:r>
      <w:r>
        <w:rPr>
          <w:rFonts w:ascii="仿宋" w:eastAsia="仿宋" w:hAnsi="仿宋"/>
          <w:snapToGrid w:val="0"/>
          <w:sz w:val="32"/>
          <w:szCs w:val="32"/>
        </w:rPr>
        <w:t>；</w:t>
      </w:r>
      <w:r>
        <w:rPr>
          <w:rFonts w:ascii="仿宋" w:eastAsia="仿宋" w:hAnsi="仿宋" w:hint="eastAsia"/>
          <w:sz w:val="32"/>
          <w:szCs w:val="32"/>
        </w:rPr>
        <w:t>会同有关部门拟订科技人才队伍建设规划和政策，建立健全科技人才评价和激励机制，组织实施科技人才计划，推动高端科技创新人才队伍建设</w:t>
      </w:r>
      <w:r>
        <w:rPr>
          <w:rFonts w:ascii="仿宋" w:eastAsia="仿宋" w:hAnsi="仿宋"/>
          <w:snapToGrid w:val="0"/>
          <w:sz w:val="32"/>
          <w:szCs w:val="32"/>
        </w:rPr>
        <w:t>；</w:t>
      </w:r>
      <w:r>
        <w:rPr>
          <w:rFonts w:ascii="仿宋" w:eastAsia="仿宋" w:hAnsi="仿宋" w:hint="eastAsia"/>
          <w:sz w:val="32"/>
          <w:szCs w:val="32"/>
        </w:rPr>
        <w:t>负责县科学技术奖的推荐申报工作；负责湖南省自然科学基金项目的推荐申报工作。</w:t>
      </w:r>
    </w:p>
    <w:p w:rsidR="00F13E3A" w:rsidRDefault="005A2213">
      <w:pPr>
        <w:spacing w:line="560" w:lineRule="exact"/>
        <w:ind w:firstLineChars="200" w:firstLine="640"/>
        <w:rPr>
          <w:rFonts w:ascii="仿宋" w:eastAsia="仿宋" w:hAnsi="仿宋" w:cs="宋体"/>
          <w:kern w:val="0"/>
          <w:sz w:val="32"/>
          <w:szCs w:val="32"/>
        </w:rPr>
      </w:pPr>
      <w:r>
        <w:rPr>
          <w:rFonts w:ascii="仿宋" w:eastAsia="仿宋" w:hAnsi="仿宋" w:hint="eastAsia"/>
          <w:sz w:val="32"/>
          <w:szCs w:val="32"/>
        </w:rPr>
        <w:t>（十四）拟定全县新型工业化发展战略和政策，协调解决新型工业化进程中的重大问题</w:t>
      </w:r>
      <w:r>
        <w:rPr>
          <w:rFonts w:ascii="仿宋" w:eastAsia="仿宋" w:hAnsi="仿宋"/>
          <w:snapToGrid w:val="0"/>
          <w:sz w:val="32"/>
          <w:szCs w:val="32"/>
        </w:rPr>
        <w:t>；</w:t>
      </w:r>
      <w:r>
        <w:rPr>
          <w:rFonts w:ascii="仿宋" w:eastAsia="仿宋" w:hAnsi="仿宋" w:hint="eastAsia"/>
          <w:sz w:val="32"/>
          <w:szCs w:val="32"/>
        </w:rPr>
        <w:t>拟定并组织实施全县工业和信息化的发展规划及年度计划，推进产业结构战略性调整和优化升级；按照规定权限，审批、核准、备案工业和信息化固定资产投资项目，确定发展的重点布局和优先领域，协调工业经济发展、信息化普及工作。</w:t>
      </w:r>
    </w:p>
    <w:p w:rsidR="00F13E3A" w:rsidRDefault="005A2213">
      <w:pPr>
        <w:spacing w:line="560" w:lineRule="exact"/>
        <w:ind w:firstLineChars="200" w:firstLine="640"/>
        <w:rPr>
          <w:rFonts w:ascii="仿宋" w:eastAsia="仿宋" w:hAnsi="仿宋"/>
          <w:sz w:val="32"/>
          <w:szCs w:val="32"/>
        </w:rPr>
      </w:pPr>
      <w:r>
        <w:rPr>
          <w:rFonts w:ascii="仿宋" w:eastAsia="仿宋" w:hAnsi="仿宋" w:hint="eastAsia"/>
          <w:sz w:val="32"/>
          <w:szCs w:val="32"/>
        </w:rPr>
        <w:t>（十五）</w:t>
      </w:r>
      <w:r>
        <w:rPr>
          <w:rFonts w:ascii="仿宋" w:eastAsia="仿宋" w:hAnsi="仿宋" w:hint="eastAsia"/>
          <w:spacing w:val="-6"/>
          <w:sz w:val="32"/>
          <w:szCs w:val="32"/>
        </w:rPr>
        <w:t>负责全县工业经济运行调度，编制并组织实施工业运行调</w:t>
      </w:r>
      <w:r>
        <w:rPr>
          <w:rFonts w:ascii="仿宋" w:eastAsia="仿宋" w:hAnsi="仿宋" w:hint="eastAsia"/>
          <w:spacing w:val="-6"/>
          <w:sz w:val="32"/>
          <w:szCs w:val="32"/>
        </w:rPr>
        <w:lastRenderedPageBreak/>
        <w:t>控目标、政策和措施；监测分析全县工业经济运行态势，发布相关信息，进行预测预警和信息引导，协调解决工业经济运行中的有关问题并提出政策建议，指导工业企业加强安全生产管理。</w:t>
      </w:r>
    </w:p>
    <w:p w:rsidR="00F13E3A" w:rsidRDefault="005A2213">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十六）贯彻落实国家产业政策，会同有关部门制定优化产业结构地方配套政策，提出重点行业、重点产品的结构调整方案，并监督检查执行情况；指导全县工业经济结构调整；负责提出国家、省、市对口部门和本县用于工业和信息化财政性建设资金安排的建议；会同财政部门，负责全县工业引导资金的使用和管理；组织实施全县工业落后生产能力的淘汰工作。</w:t>
      </w:r>
    </w:p>
    <w:p w:rsidR="00F13E3A" w:rsidRDefault="005A2213">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十七）负责全县中小企业发展的宏观指导，会同有关部门在落实国家、省、市关于促进中小企业发展的相关优惠政策的同时，拟定全县促进中小企业发展的相关政策、措施并监督检查执行情况；负责中小企业服务体系建设，协调解决中小企业发展过程中出现的有关重大问题。</w:t>
      </w:r>
    </w:p>
    <w:p w:rsidR="00F13E3A" w:rsidRDefault="005A2213">
      <w:pPr>
        <w:spacing w:line="560" w:lineRule="exact"/>
        <w:ind w:firstLineChars="200" w:firstLine="640"/>
        <w:rPr>
          <w:rFonts w:ascii="仿宋" w:eastAsia="仿宋" w:hAnsi="仿宋"/>
          <w:sz w:val="32"/>
          <w:szCs w:val="32"/>
        </w:rPr>
      </w:pPr>
      <w:r>
        <w:rPr>
          <w:rFonts w:ascii="仿宋" w:eastAsia="仿宋" w:hAnsi="仿宋" w:hint="eastAsia"/>
          <w:sz w:val="32"/>
          <w:szCs w:val="32"/>
        </w:rPr>
        <w:t>（十八）负责企业技术改造投资管理，编制并组织实施技术改造投资中长期规划和年度计划，按县有关规定申报、核准、备案企业技术改造项目，拟订并组织实施促进企业技术改造的有关政策。</w:t>
      </w:r>
    </w:p>
    <w:p w:rsidR="00F13E3A" w:rsidRDefault="005A2213">
      <w:pPr>
        <w:spacing w:line="560" w:lineRule="exact"/>
        <w:ind w:firstLineChars="200" w:firstLine="616"/>
        <w:rPr>
          <w:rFonts w:ascii="仿宋" w:eastAsia="仿宋" w:hAnsi="仿宋"/>
          <w:sz w:val="32"/>
          <w:szCs w:val="32"/>
        </w:rPr>
      </w:pPr>
      <w:r>
        <w:rPr>
          <w:rFonts w:ascii="仿宋" w:eastAsia="仿宋" w:hAnsi="仿宋" w:hint="eastAsia"/>
          <w:spacing w:val="-6"/>
          <w:sz w:val="32"/>
          <w:szCs w:val="32"/>
        </w:rPr>
        <w:t>（十九）认真贯彻国家、省、市政府有关墙材革新与建筑节能法律、法规、和政策，切实加强新型墙材发展和绿色节能建筑推广工作，依法征收新型墙体材料专项基金。</w:t>
      </w:r>
    </w:p>
    <w:p w:rsidR="00F13E3A" w:rsidRDefault="005A2213">
      <w:pPr>
        <w:spacing w:line="560" w:lineRule="exact"/>
        <w:ind w:firstLineChars="200" w:firstLine="640"/>
        <w:rPr>
          <w:rFonts w:ascii="仿宋" w:eastAsia="仿宋" w:hAnsi="仿宋"/>
          <w:sz w:val="32"/>
          <w:szCs w:val="32"/>
        </w:rPr>
      </w:pPr>
      <w:r>
        <w:rPr>
          <w:rFonts w:ascii="仿宋" w:eastAsia="仿宋" w:hAnsi="仿宋" w:hint="eastAsia"/>
          <w:sz w:val="32"/>
          <w:szCs w:val="32"/>
        </w:rPr>
        <w:t>（二十）负责电力行政执法工作；编制、审定年度发电、用电计划、监测分析电力运行情况，平衡电力资源；协调处理电力经济运行和电网运行中的重大问题，规范电力市场秩序。</w:t>
      </w:r>
    </w:p>
    <w:p w:rsidR="00F13E3A" w:rsidRDefault="005A2213">
      <w:pPr>
        <w:spacing w:line="560" w:lineRule="exact"/>
        <w:ind w:firstLineChars="200" w:firstLine="640"/>
        <w:rPr>
          <w:rFonts w:ascii="仿宋" w:eastAsia="仿宋" w:hAnsi="仿宋"/>
          <w:sz w:val="32"/>
          <w:szCs w:val="32"/>
        </w:rPr>
      </w:pPr>
      <w:r>
        <w:rPr>
          <w:rFonts w:ascii="仿宋" w:eastAsia="仿宋" w:hAnsi="仿宋" w:hint="eastAsia"/>
          <w:sz w:val="32"/>
          <w:szCs w:val="32"/>
        </w:rPr>
        <w:t>（二十一）负责全县工业、信息产业系统工作人员及企业管理专业技术人员的素质培训工作。负责牵头县工业园、科技产业园绩效考核的组织实施。统筹推进全县信息化工作，组织制定相关政策并协调</w:t>
      </w:r>
      <w:r>
        <w:rPr>
          <w:rFonts w:ascii="仿宋" w:eastAsia="仿宋" w:hAnsi="仿宋" w:hint="eastAsia"/>
          <w:sz w:val="32"/>
          <w:szCs w:val="32"/>
        </w:rPr>
        <w:lastRenderedPageBreak/>
        <w:t>信息化建设中的重大问题，指导协调电子政务、电子商务发展，推动跨行业、跨部门的互联互通和重要信息资源的开发、利用、共享。承担相关信息安全管理的责任，负责协调维护全县信息安全和信息安全保障体系建设，指导监督政府部门、重点行业的重要信息系统和基础信息网络的安全保障工作，协调处理信息安全重大事件。</w:t>
      </w:r>
    </w:p>
    <w:p w:rsidR="00F13E3A" w:rsidRDefault="005A2213">
      <w:pPr>
        <w:spacing w:line="560" w:lineRule="exact"/>
        <w:ind w:firstLineChars="200" w:firstLine="640"/>
        <w:rPr>
          <w:rFonts w:ascii="仿宋" w:eastAsia="仿宋" w:hAnsi="仿宋"/>
          <w:snapToGrid w:val="0"/>
          <w:sz w:val="32"/>
          <w:szCs w:val="32"/>
        </w:rPr>
      </w:pPr>
      <w:r>
        <w:rPr>
          <w:rFonts w:ascii="仿宋" w:eastAsia="仿宋" w:hAnsi="仿宋"/>
          <w:snapToGrid w:val="0"/>
          <w:sz w:val="32"/>
          <w:szCs w:val="32"/>
        </w:rPr>
        <w:t>（</w:t>
      </w:r>
      <w:r>
        <w:rPr>
          <w:rFonts w:ascii="仿宋" w:eastAsia="仿宋" w:hAnsi="仿宋" w:hint="eastAsia"/>
          <w:snapToGrid w:val="0"/>
          <w:sz w:val="32"/>
          <w:szCs w:val="32"/>
        </w:rPr>
        <w:t>二十二</w:t>
      </w:r>
      <w:r>
        <w:rPr>
          <w:rFonts w:ascii="仿宋" w:eastAsia="仿宋" w:hAnsi="仿宋"/>
          <w:snapToGrid w:val="0"/>
          <w:sz w:val="32"/>
          <w:szCs w:val="32"/>
        </w:rPr>
        <w:t>）负责安全生产监督管理工作。</w:t>
      </w:r>
    </w:p>
    <w:p w:rsidR="00F13E3A" w:rsidRDefault="005A2213">
      <w:pPr>
        <w:spacing w:line="560" w:lineRule="exact"/>
        <w:ind w:firstLineChars="200" w:firstLine="640"/>
        <w:rPr>
          <w:rFonts w:ascii="仿宋" w:eastAsia="仿宋" w:hAnsi="仿宋"/>
          <w:snapToGrid w:val="0"/>
          <w:sz w:val="32"/>
          <w:szCs w:val="32"/>
        </w:rPr>
      </w:pPr>
      <w:r>
        <w:rPr>
          <w:rFonts w:ascii="仿宋" w:eastAsia="仿宋" w:hAnsi="仿宋"/>
          <w:snapToGrid w:val="0"/>
          <w:sz w:val="32"/>
          <w:szCs w:val="32"/>
        </w:rPr>
        <w:t>（</w:t>
      </w:r>
      <w:r>
        <w:rPr>
          <w:rFonts w:ascii="仿宋" w:eastAsia="仿宋" w:hAnsi="仿宋" w:hint="eastAsia"/>
          <w:snapToGrid w:val="0"/>
          <w:sz w:val="32"/>
          <w:szCs w:val="32"/>
        </w:rPr>
        <w:t>二</w:t>
      </w:r>
      <w:r>
        <w:rPr>
          <w:rFonts w:ascii="仿宋" w:eastAsia="仿宋" w:hAnsi="仿宋"/>
          <w:snapToGrid w:val="0"/>
          <w:sz w:val="32"/>
          <w:szCs w:val="32"/>
        </w:rPr>
        <w:t>十</w:t>
      </w:r>
      <w:r>
        <w:rPr>
          <w:rFonts w:ascii="仿宋" w:eastAsia="仿宋" w:hAnsi="仿宋" w:hint="eastAsia"/>
          <w:snapToGrid w:val="0"/>
          <w:sz w:val="32"/>
          <w:szCs w:val="32"/>
        </w:rPr>
        <w:t>三</w:t>
      </w:r>
      <w:r>
        <w:rPr>
          <w:rFonts w:ascii="仿宋" w:eastAsia="仿宋" w:hAnsi="仿宋"/>
          <w:snapToGrid w:val="0"/>
          <w:sz w:val="32"/>
          <w:szCs w:val="32"/>
        </w:rPr>
        <w:t>）完成</w:t>
      </w:r>
      <w:r>
        <w:rPr>
          <w:rFonts w:ascii="仿宋" w:eastAsia="仿宋" w:hAnsi="仿宋" w:hint="eastAsia"/>
          <w:snapToGrid w:val="0"/>
          <w:sz w:val="32"/>
          <w:szCs w:val="32"/>
        </w:rPr>
        <w:t>县</w:t>
      </w:r>
      <w:r>
        <w:rPr>
          <w:rFonts w:ascii="仿宋" w:eastAsia="仿宋" w:hAnsi="仿宋"/>
          <w:snapToGrid w:val="0"/>
          <w:sz w:val="32"/>
          <w:szCs w:val="32"/>
        </w:rPr>
        <w:t>委、</w:t>
      </w:r>
      <w:r>
        <w:rPr>
          <w:rFonts w:ascii="仿宋" w:eastAsia="仿宋" w:hAnsi="仿宋" w:hint="eastAsia"/>
          <w:snapToGrid w:val="0"/>
          <w:sz w:val="32"/>
          <w:szCs w:val="32"/>
        </w:rPr>
        <w:t>县</w:t>
      </w:r>
      <w:r>
        <w:rPr>
          <w:rFonts w:ascii="仿宋" w:eastAsia="仿宋" w:hAnsi="仿宋"/>
          <w:snapToGrid w:val="0"/>
          <w:sz w:val="32"/>
          <w:szCs w:val="32"/>
        </w:rPr>
        <w:t>政府交办的其他任务。</w:t>
      </w:r>
    </w:p>
    <w:p w:rsidR="00F13E3A" w:rsidRDefault="005A2213">
      <w:pPr>
        <w:widowControl/>
        <w:jc w:val="left"/>
        <w:textAlignment w:val="center"/>
        <w:rPr>
          <w:rFonts w:ascii="仿宋_GB2312" w:eastAsia="仿宋_GB2312" w:hAnsi="宋体" w:cs="仿宋_GB2312"/>
          <w:color w:val="000000"/>
          <w:kern w:val="0"/>
          <w:sz w:val="30"/>
          <w:szCs w:val="30"/>
        </w:rPr>
      </w:pPr>
      <w:r>
        <w:rPr>
          <w:rFonts w:ascii="仿宋" w:eastAsia="仿宋" w:hAnsi="仿宋" w:cs="楷体_GB2312" w:hint="eastAsia"/>
          <w:b/>
          <w:bCs/>
          <w:sz w:val="30"/>
          <w:szCs w:val="30"/>
        </w:rPr>
        <w:t>2、机构人员情况：</w:t>
      </w:r>
      <w:r>
        <w:rPr>
          <w:rFonts w:ascii="仿宋_GB2312" w:eastAsia="仿宋_GB2312" w:hAnsi="宋体" w:cs="仿宋_GB2312" w:hint="eastAsia"/>
          <w:color w:val="000000"/>
          <w:kern w:val="0"/>
          <w:sz w:val="30"/>
          <w:szCs w:val="30"/>
        </w:rPr>
        <w:t xml:space="preserve">县经信科技和商务粮食局核定全额行政编制14名，全额事业编制11名。其中:局长1名，副局长3名，纪检组长1名，总经济师或总工程师1名;股(室)领导职数9名(可兼职)，机关后勤服务全额拨款事业编制2名。    </w:t>
      </w:r>
    </w:p>
    <w:p w:rsidR="00F13E3A" w:rsidRDefault="005A2213">
      <w:pPr>
        <w:widowControl/>
        <w:ind w:firstLineChars="200" w:firstLine="600"/>
        <w:jc w:val="left"/>
        <w:textAlignment w:val="center"/>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县经信科技和商务粮食局设9个内设机构即：（一）办公室，(二)行政审批与综合法规股，(三)市场运行与商务服务业股，(四)对外贸易股,(五)农村与社会发展科技股,(六)高新技术发展与产业化股,(七)经济运行股,(八)节能和资源利用股(九)中小企业发展促进股。</w:t>
      </w:r>
    </w:p>
    <w:p w:rsidR="00F13E3A" w:rsidRDefault="005A2213">
      <w:pPr>
        <w:pStyle w:val="1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3、部门整体支出涉及范围：在职人员工资、局机关日常公用支出、项目资金</w:t>
      </w:r>
    </w:p>
    <w:p w:rsidR="00F13E3A" w:rsidRDefault="005A2213">
      <w:pPr>
        <w:pStyle w:val="10"/>
        <w:tabs>
          <w:tab w:val="left" w:pos="1470"/>
        </w:tabs>
        <w:spacing w:line="540" w:lineRule="exact"/>
        <w:ind w:firstLine="640"/>
        <w:rPr>
          <w:rFonts w:ascii="黑体" w:eastAsia="黑体" w:hAnsi="黑体" w:cs="黑体"/>
          <w:sz w:val="32"/>
          <w:szCs w:val="32"/>
        </w:rPr>
      </w:pPr>
      <w:r>
        <w:rPr>
          <w:rFonts w:ascii="黑体" w:eastAsia="黑体" w:hAnsi="黑体" w:cs="黑体" w:hint="eastAsia"/>
          <w:sz w:val="32"/>
          <w:szCs w:val="32"/>
        </w:rPr>
        <w:t>二、部门整体支出相关情况</w:t>
      </w:r>
    </w:p>
    <w:p w:rsidR="00F13E3A" w:rsidRDefault="005A2213">
      <w:pPr>
        <w:pStyle w:val="10"/>
        <w:tabs>
          <w:tab w:val="left" w:pos="1470"/>
        </w:tabs>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局本级整体支出1713.95万元，其中人员经费支出820.56万元，公用支出198.93万元，项目支出50.75万元，资本性支出228.5万元。资本性支出（基础建设）299.94万元、对企业补助115.27万元。主要用于：人员工资、社会保障缴费、完成日常工作任务而发生的商品和服务支出，科技三项经费、经信科技专项业务开展等专项业务工作支出。</w:t>
      </w:r>
    </w:p>
    <w:p w:rsidR="00F13E3A" w:rsidRDefault="005A2213">
      <w:pPr>
        <w:pStyle w:val="10"/>
        <w:tabs>
          <w:tab w:val="left" w:pos="1470"/>
        </w:tabs>
        <w:spacing w:line="540" w:lineRule="exact"/>
        <w:ind w:firstLine="640"/>
        <w:rPr>
          <w:rFonts w:ascii="黑体" w:eastAsia="黑体" w:hAnsi="黑体" w:cs="黑体"/>
          <w:sz w:val="32"/>
          <w:szCs w:val="32"/>
        </w:rPr>
      </w:pPr>
      <w:r>
        <w:rPr>
          <w:rFonts w:ascii="黑体" w:eastAsia="黑体" w:hAnsi="黑体" w:cs="黑体" w:hint="eastAsia"/>
          <w:sz w:val="32"/>
          <w:szCs w:val="32"/>
        </w:rPr>
        <w:t>部门整体支出管理及使用情况</w:t>
      </w:r>
    </w:p>
    <w:p w:rsidR="00F13E3A" w:rsidRDefault="005A2213">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基本支出情况：全年支出1663.2万元，其中工资及福利支出576.41万元。商品和服务支出198.93万元。其中：办公费26.93万元，印刷费0.85万元，电费2.28万元，邮电费1.59万元，租赁费9.5万元，差旅费22.44万元，工会经费14.4万元，福利费1.39万元，其他交通费27.24万元，会议费5.18万元，培训费17万元，劳务费29.9万元，委托业务费18.59万元，公务接待费5.39万元，其他商品和服务支出16.27万元。对个人及家庭的补助244.15万元。资本性支出228.5万元。资本性支出（基础建设）299.94万元、对企业补助115.27万元。</w:t>
      </w:r>
    </w:p>
    <w:p w:rsidR="00F13E3A" w:rsidRDefault="005A2213">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（二）专项支出情况</w:t>
      </w:r>
    </w:p>
    <w:p w:rsidR="00F13E3A" w:rsidRDefault="005A2213">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科技三项经费15.75万元，主要用于培育高新技术产业、引进农业新技术、举办科技培训讲座；经信科技专项业务费35万元，主要用于工业发展、招商引资、外经外贸、社零、国内外贸易等工作。</w:t>
      </w:r>
    </w:p>
    <w:p w:rsidR="00F13E3A" w:rsidRDefault="005A2213">
      <w:pPr>
        <w:pStyle w:val="10"/>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部门专项资金管理及实施情况</w:t>
      </w:r>
    </w:p>
    <w:p w:rsidR="00F13E3A" w:rsidRDefault="005A2213" w:rsidP="000A4D53">
      <w:pPr>
        <w:pStyle w:val="10"/>
        <w:spacing w:line="560" w:lineRule="exact"/>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2020年我局按照</w:t>
      </w:r>
      <w:r>
        <w:rPr>
          <w:rFonts w:ascii="宋体" w:eastAsia="宋体" w:hAnsi="宋体" w:cs="宋体" w:hint="eastAsia"/>
          <w:sz w:val="32"/>
          <w:szCs w:val="32"/>
        </w:rPr>
        <w:t>《</w:t>
      </w:r>
      <w:r>
        <w:rPr>
          <w:rFonts w:ascii="仿宋_GB2312" w:eastAsia="仿宋_GB2312" w:hAnsi="仿宋_GB2312" w:cs="仿宋_GB2312" w:hint="eastAsia"/>
          <w:sz w:val="32"/>
          <w:szCs w:val="32"/>
        </w:rPr>
        <w:t>芷江县财政专项资金管理办法</w:t>
      </w:r>
      <w:r>
        <w:rPr>
          <w:rFonts w:ascii="宋体" w:eastAsia="宋体" w:hAnsi="宋体" w:cs="宋体" w:hint="eastAsia"/>
          <w:sz w:val="32"/>
          <w:szCs w:val="32"/>
        </w:rPr>
        <w:t>》</w:t>
      </w:r>
      <w:r>
        <w:rPr>
          <w:rFonts w:ascii="仿宋_GB2312" w:eastAsia="仿宋_GB2312" w:hAnsi="仿宋_GB2312" w:cs="仿宋_GB2312" w:hint="eastAsia"/>
          <w:sz w:val="32"/>
          <w:szCs w:val="32"/>
        </w:rPr>
        <w:t>实施，同时结合工作实际，严格实行“专人管理、专账核算、专款专作”。同时，加强专项资金使用过程的控制和追踪，深入推进专项资金申请和使用的监督。对开展重大的相关业务活动以及超过1万元以上资金的使用需经过局领导班子会研究通过后，方可实施。严禁相关业务部门套取专项资金，设置账外账、“小金库”。不得滞留、截留挤占和挪用专项资金。</w:t>
      </w:r>
    </w:p>
    <w:p w:rsidR="00F13E3A" w:rsidRDefault="005A2213">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（四）会议费支出情况：本年会议费用5.18万元，</w:t>
      </w:r>
    </w:p>
    <w:p w:rsidR="00F13E3A" w:rsidRDefault="005A2213">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（五）培训费支出情况：2020年培训费支出17万元，同比上年24.69万元减少7.69万元，主要原因是</w:t>
      </w:r>
      <w:r>
        <w:rPr>
          <w:rFonts w:ascii="仿宋_GB2312" w:eastAsia="仿宋_GB2312" w:hAnsi="宋体" w:cs="仿宋_GB2312" w:hint="eastAsia"/>
          <w:color w:val="000000"/>
          <w:kern w:val="0"/>
          <w:sz w:val="30"/>
          <w:szCs w:val="30"/>
        </w:rPr>
        <w:t>有效压减，厉行节约</w:t>
      </w:r>
      <w:r>
        <w:rPr>
          <w:rFonts w:ascii="仿宋_GB2312" w:eastAsia="仿宋_GB2312" w:hAnsi="仿宋_GB2312" w:cs="仿宋_GB2312" w:hint="eastAsia"/>
          <w:sz w:val="32"/>
          <w:szCs w:val="32"/>
        </w:rPr>
        <w:t>。</w:t>
      </w:r>
    </w:p>
    <w:p w:rsidR="00F13E3A" w:rsidRDefault="005A2213">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（六）楼堂倌所控制情况：2020年无楼堂倌所建设。</w:t>
      </w:r>
    </w:p>
    <w:p w:rsidR="00F13E3A" w:rsidRDefault="005A2213">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（七）2020年公务接待费全年财政控制数30万元，实际支出5.39</w:t>
      </w:r>
      <w:r>
        <w:rPr>
          <w:rFonts w:ascii="仿宋_GB2312" w:eastAsia="仿宋_GB2312" w:hAnsi="仿宋_GB2312" w:cs="仿宋_GB2312" w:hint="eastAsia"/>
          <w:sz w:val="32"/>
          <w:szCs w:val="32"/>
        </w:rPr>
        <w:lastRenderedPageBreak/>
        <w:t>万元。较2019年同期9.8万元相比减少3.61万元，减少36.84%。主要原因是</w:t>
      </w:r>
      <w:r>
        <w:rPr>
          <w:rFonts w:ascii="仿宋_GB2312" w:eastAsia="仿宋_GB2312" w:hAnsi="宋体" w:cs="仿宋_GB2312" w:hint="eastAsia"/>
          <w:color w:val="000000"/>
          <w:kern w:val="0"/>
          <w:sz w:val="30"/>
          <w:szCs w:val="30"/>
        </w:rPr>
        <w:t>有效压减，厉行节约</w:t>
      </w:r>
      <w:r>
        <w:rPr>
          <w:rFonts w:ascii="仿宋_GB2312" w:eastAsia="仿宋_GB2312" w:hAnsi="仿宋_GB2312" w:cs="仿宋_GB2312" w:hint="eastAsia"/>
          <w:sz w:val="32"/>
          <w:szCs w:val="32"/>
        </w:rPr>
        <w:t>。公务用车运行维护费全年财政控制数5万元，实际支出0.9万元，较2019年0.41万元同期相比增加0.49万元，增加219.51%。主要是公车进行了改革，我单位未留车辆，费用是开展招商引资工作租车费用。三公经费开支严格按照相关规定进行把关。</w:t>
      </w:r>
    </w:p>
    <w:p w:rsidR="00F13E3A" w:rsidRDefault="005A2213">
      <w:pPr>
        <w:pStyle w:val="10"/>
        <w:spacing w:line="560" w:lineRule="exact"/>
        <w:ind w:firstLine="600"/>
        <w:rPr>
          <w:rFonts w:ascii="仿宋_GB2312" w:eastAsia="仿宋_GB2312" w:hAnsi="仿宋_GB2312" w:cs="仿宋_GB2312"/>
          <w:sz w:val="32"/>
          <w:szCs w:val="32"/>
        </w:rPr>
      </w:pPr>
      <w:r>
        <w:rPr>
          <w:rFonts w:ascii="仿宋_GB2312" w:eastAsia="仿宋_GB2312" w:hAnsi="宋体" w:cs="仿宋_GB2312" w:hint="eastAsia"/>
          <w:color w:val="000000"/>
          <w:kern w:val="0"/>
          <w:sz w:val="30"/>
          <w:szCs w:val="30"/>
        </w:rPr>
        <w:t>（八）严格控制公务人员出国人数和次数，审批手续规范完整。2020年未产生出国费用。</w:t>
      </w:r>
    </w:p>
    <w:p w:rsidR="00F13E3A" w:rsidRDefault="00F13E3A">
      <w:pPr>
        <w:pStyle w:val="10"/>
        <w:spacing w:line="560" w:lineRule="exact"/>
        <w:ind w:firstLine="640"/>
        <w:rPr>
          <w:rFonts w:ascii="仿宋_GB2312" w:eastAsia="仿宋_GB2312" w:hAnsi="仿宋_GB2312" w:cs="仿宋_GB2312"/>
          <w:sz w:val="32"/>
          <w:szCs w:val="32"/>
        </w:rPr>
      </w:pPr>
    </w:p>
    <w:p w:rsidR="00F13E3A" w:rsidRDefault="005A2213">
      <w:pPr>
        <w:pStyle w:val="10"/>
        <w:tabs>
          <w:tab w:val="left" w:pos="1470"/>
        </w:tabs>
        <w:spacing w:line="560" w:lineRule="exact"/>
        <w:ind w:firstLine="640"/>
        <w:rPr>
          <w:rFonts w:ascii="黑体" w:eastAsia="黑体" w:hAnsi="黑体" w:cs="黑体"/>
          <w:sz w:val="32"/>
          <w:szCs w:val="32"/>
        </w:rPr>
      </w:pPr>
      <w:r>
        <w:rPr>
          <w:rFonts w:ascii="黑体" w:eastAsia="黑体" w:hAnsi="黑体" w:cs="黑体" w:hint="eastAsia"/>
          <w:sz w:val="32"/>
          <w:szCs w:val="32"/>
        </w:rPr>
        <w:t>三、资产管理情况</w:t>
      </w:r>
    </w:p>
    <w:p w:rsidR="00F13E3A" w:rsidRDefault="005A2213">
      <w:pPr>
        <w:pStyle w:val="1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固定资产总额为339.4万元。无单位资产50万元以上的专用设备。我局对单位确实需要采购的办公用品经局长审批同意后由局办公室通过电子卖场负责采购。在采购过程中必须在财政局规定的采购点进行采购。对资产的处置按照财政有关规定处置程序进行处置。</w:t>
      </w:r>
    </w:p>
    <w:p w:rsidR="00F13E3A" w:rsidRDefault="005A2213">
      <w:pPr>
        <w:pStyle w:val="10"/>
        <w:tabs>
          <w:tab w:val="left" w:pos="1470"/>
        </w:tabs>
        <w:spacing w:line="560" w:lineRule="exact"/>
        <w:ind w:firstLine="640"/>
        <w:rPr>
          <w:rFonts w:ascii="黑体" w:eastAsia="黑体" w:hAnsi="黑体" w:cs="黑体"/>
          <w:sz w:val="32"/>
          <w:szCs w:val="32"/>
        </w:rPr>
      </w:pPr>
      <w:r>
        <w:rPr>
          <w:rFonts w:ascii="黑体" w:eastAsia="黑体" w:hAnsi="黑体" w:cs="黑体" w:hint="eastAsia"/>
          <w:sz w:val="32"/>
          <w:szCs w:val="32"/>
        </w:rPr>
        <w:t>四、部门整体支出绩效情况</w:t>
      </w:r>
    </w:p>
    <w:p w:rsidR="00F13E3A" w:rsidRDefault="005A22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部门整体支出绩效通过自评打分为97分，主要体现在以下工作方面：</w:t>
      </w:r>
    </w:p>
    <w:p w:rsidR="00F13E3A" w:rsidRDefault="00F13E3A">
      <w:pPr>
        <w:pStyle w:val="2"/>
      </w:pPr>
    </w:p>
    <w:p w:rsidR="00F13E3A" w:rsidRDefault="005A2213">
      <w:pPr>
        <w:adjustRightInd w:val="0"/>
        <w:snapToGrid w:val="0"/>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（一）部门整体支出绩效情况</w:t>
      </w:r>
    </w:p>
    <w:p w:rsidR="00F13E3A" w:rsidRDefault="005A2213">
      <w:pPr>
        <w:widowControl/>
        <w:ind w:firstLineChars="200" w:firstLine="600"/>
        <w:jc w:val="left"/>
        <w:textAlignment w:val="center"/>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我局根据2020年工作计划的要求，结合党的“两学一做”教育活动，认真履行职责，较好地完成了年初确定的各项工作任务，为推进商务科技和工业信息化局各项工作进展，取得了新的成就，为经济社会发展作出了积极贡献。部门整体支出绩效情况如下：</w:t>
      </w:r>
    </w:p>
    <w:p w:rsidR="00F13E3A" w:rsidRDefault="005A2213">
      <w:pPr>
        <w:widowControl/>
        <w:ind w:firstLineChars="200" w:firstLine="600"/>
        <w:jc w:val="left"/>
        <w:textAlignment w:val="center"/>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1. 预算配置控制较好。财政供养人员控制在预算编制以内，编制内在职人员控制率≦100%；“三公”经费预算总额较上年有所减少。</w:t>
      </w:r>
    </w:p>
    <w:p w:rsidR="00F13E3A" w:rsidRDefault="005A2213">
      <w:pPr>
        <w:widowControl/>
        <w:ind w:firstLineChars="200" w:firstLine="600"/>
        <w:jc w:val="left"/>
        <w:textAlignment w:val="center"/>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lastRenderedPageBreak/>
        <w:t>2. 预算执行比较到位。支出总额控制在预算总额以内，预算完成率达到100%，全年无截留或滞留专项资金情况；全年没有新建楼堂馆所。</w:t>
      </w:r>
    </w:p>
    <w:p w:rsidR="00F13E3A" w:rsidRDefault="005A2213">
      <w:pPr>
        <w:widowControl/>
        <w:ind w:firstLineChars="200" w:firstLine="600"/>
        <w:jc w:val="left"/>
        <w:textAlignment w:val="center"/>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3. 预算管理较为理想。制度执行总体较为有效，但仍需进一步强化。“三公”经费总体控制较好，“三公”经费有效压减，厉行节约初见成效，较预算节约82%。。</w:t>
      </w:r>
    </w:p>
    <w:p w:rsidR="00F13E3A" w:rsidRDefault="005A2213">
      <w:pPr>
        <w:widowControl/>
        <w:ind w:firstLineChars="200" w:firstLine="600"/>
        <w:jc w:val="left"/>
        <w:textAlignment w:val="center"/>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（1）对于单位的政府采购项目，凡单位购买属于政府采购范围内的货物、工程和服务，严格遵守政府采购相关法律法规的规定办理相关审批手续，政府采购执行率达到100%。</w:t>
      </w:r>
    </w:p>
    <w:p w:rsidR="00F13E3A" w:rsidRDefault="005A2213">
      <w:pPr>
        <w:widowControl/>
        <w:ind w:firstLineChars="200" w:firstLine="600"/>
        <w:jc w:val="left"/>
        <w:textAlignment w:val="center"/>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2）管理制度健全。我们严格预算管理，切实按照市委出台的五项管理制度要求，坚持执行财经和财务制度，修改完善了《机关财务管理规定》《财产管理规定》《公务接待管理规定》《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rsidR="00F13E3A" w:rsidRDefault="005A2213">
      <w:pPr>
        <w:widowControl/>
        <w:ind w:firstLineChars="200" w:firstLine="600"/>
        <w:jc w:val="left"/>
        <w:textAlignment w:val="center"/>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3）资金使用管理逐步加强。单位支出严格按照国家财经法规和财务管理制度规定执行，费用开支有标准、有预算。所有支出均通过我单位财政直接支付方式办理，资金使用无截留、挤占、挪用、虚列支出等情况。通过加强预算收支管理，不断建立健全内部管理制度，梳理内部管理流程，部门整体支出管理水平得到提升。</w:t>
      </w:r>
    </w:p>
    <w:p w:rsidR="00F13E3A" w:rsidRDefault="005A2213">
      <w:pPr>
        <w:widowControl/>
        <w:ind w:firstLineChars="200" w:firstLine="600"/>
        <w:jc w:val="left"/>
        <w:textAlignment w:val="center"/>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（4）部门预算收支严格按年初部门预算方案执行，部门预决算、“三公”经费预决算按要求及时进行了公开。</w:t>
      </w:r>
    </w:p>
    <w:p w:rsidR="00F13E3A" w:rsidRDefault="005A2213">
      <w:pPr>
        <w:adjustRightInd w:val="0"/>
        <w:snapToGrid w:val="0"/>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（二)整体支出绩效目标实现程度</w:t>
      </w:r>
    </w:p>
    <w:p w:rsidR="00F13E3A" w:rsidRDefault="005A2213">
      <w:pPr>
        <w:widowControl/>
        <w:ind w:firstLineChars="200" w:firstLine="600"/>
        <w:jc w:val="left"/>
        <w:textAlignment w:val="center"/>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lastRenderedPageBreak/>
        <w:t>2020年，在县委和正确领导下，通过全局干部职工的共同努力，我局圆满完成工业、招商引资工作、外经外贸、科技等上级安排的各项工作任务。主要指标完成情况：</w:t>
      </w:r>
    </w:p>
    <w:p w:rsidR="00F13E3A" w:rsidRDefault="005A221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、工业运行。</w:t>
      </w:r>
      <w:r>
        <w:rPr>
          <w:rFonts w:ascii="仿宋" w:eastAsia="仿宋" w:hAnsi="仿宋" w:cs="仿宋" w:hint="eastAsia"/>
          <w:spacing w:val="14"/>
          <w:sz w:val="32"/>
          <w:szCs w:val="32"/>
        </w:rPr>
        <w:t>截止2020年1-10月我县完成新增规模企业6家，规模工业增加值增速达到3.5%，位居全市第5。</w:t>
      </w:r>
    </w:p>
    <w:p w:rsidR="00F13E3A" w:rsidRDefault="005A2213">
      <w:pPr>
        <w:spacing w:line="560" w:lineRule="exact"/>
        <w:ind w:firstLineChars="200" w:firstLine="640"/>
        <w:rPr>
          <w:rFonts w:ascii="仿宋" w:eastAsia="仿宋" w:hAnsi="仿宋" w:cs="仿宋"/>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、招商引资工作。</w:t>
      </w:r>
      <w:r>
        <w:rPr>
          <w:rFonts w:ascii="仿宋" w:eastAsia="仿宋" w:hAnsi="仿宋" w:cs="仿宋" w:hint="eastAsia"/>
          <w:spacing w:val="14"/>
          <w:sz w:val="32"/>
          <w:szCs w:val="32"/>
        </w:rPr>
        <w:t>20</w:t>
      </w:r>
      <w:r>
        <w:rPr>
          <w:rFonts w:ascii="仿宋" w:eastAsia="仿宋" w:hAnsi="仿宋" w:cs="仿宋"/>
          <w:spacing w:val="14"/>
          <w:sz w:val="32"/>
          <w:szCs w:val="32"/>
        </w:rPr>
        <w:t>20</w:t>
      </w:r>
      <w:r>
        <w:rPr>
          <w:rFonts w:ascii="仿宋" w:eastAsia="仿宋" w:hAnsi="仿宋" w:cs="仿宋" w:hint="eastAsia"/>
          <w:spacing w:val="14"/>
          <w:sz w:val="32"/>
          <w:szCs w:val="32"/>
        </w:rPr>
        <w:t>年，全县</w:t>
      </w:r>
      <w:r>
        <w:rPr>
          <w:rFonts w:ascii="仿宋" w:eastAsia="仿宋" w:hAnsi="仿宋" w:cs="仿宋"/>
          <w:spacing w:val="14"/>
          <w:sz w:val="32"/>
          <w:szCs w:val="32"/>
        </w:rPr>
        <w:t>1-10月目前签约合同项目17个，新引进</w:t>
      </w:r>
      <w:r>
        <w:rPr>
          <w:rFonts w:ascii="仿宋" w:eastAsia="仿宋" w:hAnsi="仿宋" w:cs="仿宋" w:hint="eastAsia"/>
          <w:spacing w:val="14"/>
          <w:sz w:val="32"/>
          <w:szCs w:val="32"/>
        </w:rPr>
        <w:t>省外境内项目</w:t>
      </w:r>
      <w:r>
        <w:rPr>
          <w:rFonts w:ascii="仿宋" w:eastAsia="仿宋" w:hAnsi="仿宋" w:cs="仿宋"/>
          <w:spacing w:val="14"/>
          <w:sz w:val="32"/>
          <w:szCs w:val="32"/>
        </w:rPr>
        <w:t>10</w:t>
      </w:r>
      <w:r>
        <w:rPr>
          <w:rFonts w:ascii="仿宋" w:eastAsia="仿宋" w:hAnsi="仿宋" w:cs="仿宋" w:hint="eastAsia"/>
          <w:spacing w:val="14"/>
          <w:sz w:val="32"/>
          <w:szCs w:val="32"/>
        </w:rPr>
        <w:t>个，民营五百强</w:t>
      </w:r>
      <w:r>
        <w:rPr>
          <w:rFonts w:ascii="仿宋" w:eastAsia="仿宋" w:hAnsi="仿宋" w:cs="仿宋"/>
          <w:spacing w:val="14"/>
          <w:sz w:val="32"/>
          <w:szCs w:val="32"/>
        </w:rPr>
        <w:t>二</w:t>
      </w:r>
      <w:r>
        <w:rPr>
          <w:rFonts w:ascii="仿宋" w:eastAsia="仿宋" w:hAnsi="仿宋" w:cs="仿宋" w:hint="eastAsia"/>
          <w:spacing w:val="14"/>
          <w:sz w:val="32"/>
          <w:szCs w:val="32"/>
        </w:rPr>
        <w:t>个，合同引进资金</w:t>
      </w:r>
      <w:r>
        <w:rPr>
          <w:rFonts w:ascii="仿宋" w:eastAsia="仿宋" w:hAnsi="仿宋" w:cs="仿宋"/>
          <w:spacing w:val="14"/>
          <w:sz w:val="32"/>
          <w:szCs w:val="32"/>
        </w:rPr>
        <w:t>40</w:t>
      </w:r>
      <w:r>
        <w:rPr>
          <w:rFonts w:ascii="仿宋" w:eastAsia="仿宋" w:hAnsi="仿宋" w:cs="仿宋" w:hint="eastAsia"/>
          <w:spacing w:val="14"/>
          <w:sz w:val="32"/>
          <w:szCs w:val="32"/>
        </w:rPr>
        <w:t>亿元。省外境内实际到位资金为</w:t>
      </w:r>
      <w:r>
        <w:rPr>
          <w:rFonts w:ascii="仿宋" w:eastAsia="仿宋" w:hAnsi="仿宋" w:cs="仿宋"/>
          <w:spacing w:val="14"/>
          <w:sz w:val="32"/>
          <w:szCs w:val="32"/>
        </w:rPr>
        <w:t>193422</w:t>
      </w:r>
      <w:r>
        <w:rPr>
          <w:rFonts w:ascii="仿宋" w:eastAsia="仿宋" w:hAnsi="仿宋" w:cs="仿宋" w:hint="eastAsia"/>
          <w:spacing w:val="14"/>
          <w:sz w:val="32"/>
          <w:szCs w:val="32"/>
        </w:rPr>
        <w:t>亿元，</w:t>
      </w:r>
      <w:r>
        <w:rPr>
          <w:rFonts w:ascii="仿宋" w:eastAsia="仿宋" w:hAnsi="仿宋" w:cs="仿宋" w:hint="eastAsia"/>
          <w:sz w:val="32"/>
          <w:szCs w:val="32"/>
        </w:rPr>
        <w:t>完成全年任务</w:t>
      </w:r>
      <w:r>
        <w:rPr>
          <w:rFonts w:ascii="仿宋" w:eastAsia="仿宋" w:hAnsi="仿宋" w:cs="仿宋"/>
          <w:sz w:val="32"/>
          <w:szCs w:val="32"/>
        </w:rPr>
        <w:t>96.71</w:t>
      </w:r>
      <w:r>
        <w:rPr>
          <w:rFonts w:ascii="仿宋" w:eastAsia="仿宋" w:hAnsi="仿宋" w:cs="仿宋" w:hint="eastAsia"/>
          <w:sz w:val="32"/>
          <w:szCs w:val="32"/>
        </w:rPr>
        <w:t>%</w:t>
      </w:r>
      <w:r>
        <w:rPr>
          <w:rFonts w:ascii="仿宋" w:eastAsia="仿宋" w:hAnsi="仿宋" w:cs="仿宋"/>
          <w:sz w:val="32"/>
          <w:szCs w:val="32"/>
        </w:rPr>
        <w:t>，较去年同比增长158.8%</w:t>
      </w:r>
      <w:r>
        <w:rPr>
          <w:rFonts w:ascii="仿宋" w:eastAsia="仿宋" w:hAnsi="仿宋" w:cs="仿宋" w:hint="eastAsia"/>
          <w:sz w:val="32"/>
          <w:szCs w:val="32"/>
        </w:rPr>
        <w:t>。</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sz w:val="32"/>
          <w:szCs w:val="32"/>
        </w:rPr>
        <w:t>2020年，全县1-10月固定资产投资694692万元，产业投资额441160万元，产业投资占比63.5%，产业投资增速97.8%。技改投资145441万元，同比增速337.2%，技改占产业投资占比33%。高新技术投资143191万元，增速111.5%，高新占产业占比32.5%。</w:t>
      </w:r>
    </w:p>
    <w:p w:rsidR="00F13E3A" w:rsidRDefault="005A221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、全年</w:t>
      </w:r>
      <w:r>
        <w:rPr>
          <w:rFonts w:ascii="仿宋_GB2312" w:eastAsia="仿宋_GB2312" w:hAnsi="仿宋_GB2312" w:cs="仿宋_GB2312"/>
          <w:sz w:val="32"/>
          <w:szCs w:val="32"/>
        </w:rPr>
        <w:t>R&amp;D</w:t>
      </w:r>
      <w:r>
        <w:rPr>
          <w:rFonts w:ascii="仿宋_GB2312" w:eastAsia="仿宋_GB2312" w:hAnsi="仿宋_GB2312" w:cs="仿宋_GB2312" w:hint="eastAsia"/>
          <w:sz w:val="32"/>
          <w:szCs w:val="32"/>
        </w:rPr>
        <w:t>经费投入2.78万元，完成全年任务的127.5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F13E3A" w:rsidRDefault="005A2213">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、技术创新。已上报高新技术企业5家，完成全年任务的166.67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F13E3A" w:rsidRDefault="005A22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、国内贸易。</w:t>
      </w:r>
      <w:r>
        <w:rPr>
          <w:rFonts w:ascii="仿宋" w:eastAsia="仿宋" w:hAnsi="仿宋" w:cs="仿宋"/>
          <w:color w:val="3D3D3D"/>
          <w:sz w:val="32"/>
          <w:szCs w:val="32"/>
          <w:shd w:val="clear" w:color="auto" w:fill="FFFFFF"/>
        </w:rPr>
        <w:t>全年社会消费品零售总额</w:t>
      </w:r>
      <w:r>
        <w:rPr>
          <w:rFonts w:ascii="仿宋" w:eastAsia="仿宋" w:hAnsi="仿宋" w:cs="仿宋" w:hint="eastAsia"/>
          <w:color w:val="3D3D3D"/>
          <w:sz w:val="32"/>
          <w:szCs w:val="32"/>
          <w:shd w:val="clear" w:color="auto" w:fill="FFFFFF"/>
        </w:rPr>
        <w:t>300893万元，比上年下降2.4%。按经营地分，城镇零售额205646万元，下降1.2%；乡村零售额95247万元，下降5.0%。按行业分，批发和零售业零售额20324万元，下降3.4%；住宿营业额4056万元，下降13.7%；餐饮业收入额2942</w:t>
      </w:r>
      <w:r>
        <w:rPr>
          <w:rFonts w:ascii="仿宋_GB2312" w:eastAsia="仿宋_GB2312" w:hAnsi="仿宋_GB2312" w:cs="仿宋_GB2312" w:hint="eastAsia"/>
          <w:sz w:val="32"/>
          <w:szCs w:val="32"/>
        </w:rPr>
        <w:t>5万元，下降3.2%。</w:t>
      </w:r>
    </w:p>
    <w:p w:rsidR="00F13E3A" w:rsidRDefault="005A22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全县引进境内市外项目数21个，实际到位资金23.9亿元，技术合同成交金额0.22亿元。</w:t>
      </w:r>
    </w:p>
    <w:p w:rsidR="00F13E3A" w:rsidRDefault="005A22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6、外经外贸工作。2020年我县共有外贸备案登记企业9家，今年全县新增外贸备案企业4家；市局下达进出口目标任务为500万美元。全年实际完成进出口总额59.3万美元，完成市里下达任务的11.86%，</w:t>
      </w:r>
      <w:r>
        <w:rPr>
          <w:rFonts w:ascii="仿宋_GB2312" w:eastAsia="仿宋_GB2312" w:hAnsi="仿宋_GB2312" w:cs="仿宋_GB2312" w:hint="eastAsia"/>
          <w:sz w:val="32"/>
          <w:szCs w:val="32"/>
        </w:rPr>
        <w:lastRenderedPageBreak/>
        <w:t>相比去年同比增长2865%。</w:t>
      </w:r>
    </w:p>
    <w:p w:rsidR="00F13E3A" w:rsidRDefault="005A2213">
      <w:pPr>
        <w:adjustRightInd w:val="0"/>
        <w:snapToGrid w:val="0"/>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（三）工作开展情况</w:t>
      </w:r>
    </w:p>
    <w:p w:rsidR="00F13E3A" w:rsidRDefault="005A2213" w:rsidP="000A4D53">
      <w:pPr>
        <w:spacing w:line="560" w:lineRule="exact"/>
        <w:ind w:firstLineChars="200" w:firstLine="698"/>
        <w:rPr>
          <w:rFonts w:ascii="楷体" w:eastAsia="楷体" w:hAnsi="楷体" w:cs="楷体"/>
          <w:b/>
          <w:bCs/>
          <w:spacing w:val="14"/>
          <w:sz w:val="32"/>
          <w:szCs w:val="32"/>
        </w:rPr>
      </w:pPr>
      <w:r>
        <w:rPr>
          <w:rFonts w:ascii="楷体" w:eastAsia="楷体" w:hAnsi="楷体" w:cs="楷体" w:hint="eastAsia"/>
          <w:b/>
          <w:bCs/>
          <w:spacing w:val="14"/>
          <w:sz w:val="32"/>
          <w:szCs w:val="32"/>
        </w:rPr>
        <w:t>一、工业经济方面</w:t>
      </w:r>
    </w:p>
    <w:p w:rsidR="00F13E3A" w:rsidRDefault="005A2213">
      <w:pPr>
        <w:numPr>
          <w:ilvl w:val="0"/>
          <w:numId w:val="2"/>
        </w:numPr>
        <w:spacing w:line="560" w:lineRule="exact"/>
        <w:ind w:firstLineChars="200" w:firstLine="696"/>
        <w:rPr>
          <w:rFonts w:ascii="仿宋" w:eastAsia="仿宋" w:hAnsi="仿宋" w:cs="仿宋"/>
          <w:spacing w:val="14"/>
          <w:sz w:val="32"/>
          <w:szCs w:val="32"/>
        </w:rPr>
      </w:pPr>
      <w:r>
        <w:rPr>
          <w:rFonts w:ascii="仿宋" w:eastAsia="仿宋" w:hAnsi="仿宋" w:cs="仿宋" w:hint="eastAsia"/>
          <w:spacing w:val="14"/>
          <w:sz w:val="32"/>
          <w:szCs w:val="32"/>
        </w:rPr>
        <w:t>规模工业增加值增速增长7.8%。</w:t>
      </w:r>
    </w:p>
    <w:p w:rsidR="00F13E3A" w:rsidRDefault="005A2213">
      <w:pPr>
        <w:numPr>
          <w:ilvl w:val="0"/>
          <w:numId w:val="2"/>
        </w:numPr>
        <w:spacing w:line="560" w:lineRule="exact"/>
        <w:ind w:firstLineChars="200" w:firstLine="696"/>
        <w:rPr>
          <w:rFonts w:ascii="仿宋" w:eastAsia="仿宋" w:hAnsi="仿宋" w:cs="仿宋"/>
          <w:spacing w:val="14"/>
          <w:kern w:val="0"/>
          <w:sz w:val="32"/>
          <w:szCs w:val="32"/>
        </w:rPr>
      </w:pPr>
      <w:r>
        <w:rPr>
          <w:rFonts w:ascii="仿宋" w:eastAsia="仿宋" w:hAnsi="仿宋" w:cs="仿宋" w:hint="eastAsia"/>
          <w:spacing w:val="14"/>
          <w:sz w:val="32"/>
          <w:szCs w:val="32"/>
        </w:rPr>
        <w:t>截止2020年1-10月我县完成新增规模企业6家，规模工业增加值增速达到3.5%，位居全市第5。预计全年可新增规模企业7家，规模工业增加值增速达到8%左右。</w:t>
      </w:r>
    </w:p>
    <w:p w:rsidR="00F13E3A" w:rsidRDefault="005A2213" w:rsidP="000A4D53">
      <w:pPr>
        <w:spacing w:line="560" w:lineRule="exact"/>
        <w:ind w:firstLineChars="200" w:firstLine="698"/>
        <w:rPr>
          <w:rFonts w:ascii="楷体" w:eastAsia="楷体" w:hAnsi="楷体" w:cs="楷体"/>
          <w:spacing w:val="14"/>
          <w:sz w:val="32"/>
          <w:szCs w:val="32"/>
        </w:rPr>
      </w:pPr>
      <w:r>
        <w:rPr>
          <w:rFonts w:ascii="楷体" w:eastAsia="楷体" w:hAnsi="楷体" w:cs="楷体" w:hint="eastAsia"/>
          <w:b/>
          <w:bCs/>
          <w:spacing w:val="14"/>
          <w:sz w:val="32"/>
          <w:szCs w:val="32"/>
        </w:rPr>
        <w:t>二、招商引资方面</w:t>
      </w:r>
    </w:p>
    <w:p w:rsidR="00F13E3A" w:rsidRDefault="005A2213">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1、20</w:t>
      </w:r>
      <w:r>
        <w:rPr>
          <w:rFonts w:ascii="仿宋" w:eastAsia="仿宋" w:hAnsi="仿宋" w:cs="仿宋"/>
          <w:b/>
          <w:bCs/>
          <w:sz w:val="32"/>
          <w:szCs w:val="32"/>
        </w:rPr>
        <w:t>20</w:t>
      </w:r>
      <w:r>
        <w:rPr>
          <w:rFonts w:ascii="仿宋" w:eastAsia="仿宋" w:hAnsi="仿宋" w:cs="仿宋" w:hint="eastAsia"/>
          <w:b/>
          <w:bCs/>
          <w:sz w:val="32"/>
          <w:szCs w:val="32"/>
        </w:rPr>
        <w:t>年，全县</w:t>
      </w:r>
      <w:r>
        <w:rPr>
          <w:rFonts w:ascii="仿宋" w:eastAsia="仿宋" w:hAnsi="仿宋" w:cs="仿宋"/>
          <w:b/>
          <w:bCs/>
          <w:sz w:val="32"/>
          <w:szCs w:val="32"/>
        </w:rPr>
        <w:t>1-10月目前签约合同项目17个，新引进</w:t>
      </w:r>
      <w:r>
        <w:rPr>
          <w:rFonts w:ascii="仿宋" w:eastAsia="仿宋" w:hAnsi="仿宋" w:cs="仿宋" w:hint="eastAsia"/>
          <w:b/>
          <w:bCs/>
          <w:sz w:val="32"/>
          <w:szCs w:val="32"/>
        </w:rPr>
        <w:t>省外境内项目</w:t>
      </w:r>
      <w:r>
        <w:rPr>
          <w:rFonts w:ascii="仿宋" w:eastAsia="仿宋" w:hAnsi="仿宋" w:cs="仿宋"/>
          <w:b/>
          <w:bCs/>
          <w:sz w:val="32"/>
          <w:szCs w:val="32"/>
        </w:rPr>
        <w:t>10</w:t>
      </w:r>
      <w:r>
        <w:rPr>
          <w:rFonts w:ascii="仿宋" w:eastAsia="仿宋" w:hAnsi="仿宋" w:cs="仿宋" w:hint="eastAsia"/>
          <w:b/>
          <w:bCs/>
          <w:sz w:val="32"/>
          <w:szCs w:val="32"/>
        </w:rPr>
        <w:t>个，民营五百强</w:t>
      </w:r>
      <w:r>
        <w:rPr>
          <w:rFonts w:ascii="仿宋" w:eastAsia="仿宋" w:hAnsi="仿宋" w:cs="仿宋"/>
          <w:b/>
          <w:bCs/>
          <w:sz w:val="32"/>
          <w:szCs w:val="32"/>
        </w:rPr>
        <w:t>二</w:t>
      </w:r>
      <w:r>
        <w:rPr>
          <w:rFonts w:ascii="仿宋" w:eastAsia="仿宋" w:hAnsi="仿宋" w:cs="仿宋" w:hint="eastAsia"/>
          <w:b/>
          <w:bCs/>
          <w:sz w:val="32"/>
          <w:szCs w:val="32"/>
        </w:rPr>
        <w:t>个，合同引进资金</w:t>
      </w:r>
      <w:r>
        <w:rPr>
          <w:rFonts w:ascii="仿宋" w:eastAsia="仿宋" w:hAnsi="仿宋" w:cs="仿宋"/>
          <w:b/>
          <w:bCs/>
          <w:sz w:val="32"/>
          <w:szCs w:val="32"/>
        </w:rPr>
        <w:t>40</w:t>
      </w:r>
      <w:r>
        <w:rPr>
          <w:rFonts w:ascii="仿宋" w:eastAsia="仿宋" w:hAnsi="仿宋" w:cs="仿宋" w:hint="eastAsia"/>
          <w:b/>
          <w:bCs/>
          <w:sz w:val="32"/>
          <w:szCs w:val="32"/>
        </w:rPr>
        <w:t>亿元。</w:t>
      </w:r>
      <w:r>
        <w:rPr>
          <w:rFonts w:ascii="仿宋" w:eastAsia="仿宋" w:hAnsi="仿宋" w:cs="仿宋" w:hint="eastAsia"/>
          <w:sz w:val="32"/>
          <w:szCs w:val="32"/>
        </w:rPr>
        <w:t>省外境内实际到位资金为</w:t>
      </w:r>
      <w:r>
        <w:rPr>
          <w:rFonts w:ascii="仿宋" w:eastAsia="仿宋" w:hAnsi="仿宋" w:cs="仿宋"/>
          <w:sz w:val="32"/>
          <w:szCs w:val="32"/>
        </w:rPr>
        <w:t>193422</w:t>
      </w:r>
      <w:r>
        <w:rPr>
          <w:rFonts w:ascii="仿宋" w:eastAsia="仿宋" w:hAnsi="仿宋" w:cs="仿宋" w:hint="eastAsia"/>
          <w:sz w:val="32"/>
          <w:szCs w:val="32"/>
        </w:rPr>
        <w:t>亿元，完成全年任务</w:t>
      </w:r>
      <w:r>
        <w:rPr>
          <w:rFonts w:ascii="仿宋" w:eastAsia="仿宋" w:hAnsi="仿宋" w:cs="仿宋"/>
          <w:sz w:val="32"/>
          <w:szCs w:val="32"/>
        </w:rPr>
        <w:t>96.71</w:t>
      </w:r>
      <w:r>
        <w:rPr>
          <w:rFonts w:ascii="仿宋" w:eastAsia="仿宋" w:hAnsi="仿宋" w:cs="仿宋" w:hint="eastAsia"/>
          <w:sz w:val="32"/>
          <w:szCs w:val="32"/>
        </w:rPr>
        <w:t>%</w:t>
      </w:r>
      <w:r>
        <w:rPr>
          <w:rFonts w:ascii="仿宋" w:eastAsia="仿宋" w:hAnsi="仿宋" w:cs="仿宋"/>
          <w:sz w:val="32"/>
          <w:szCs w:val="32"/>
        </w:rPr>
        <w:t>，较去年同比增长158.8%，较2015年同比增长245%，其中，完成本年度利用境外资金约381万美元</w:t>
      </w:r>
      <w:r>
        <w:rPr>
          <w:rFonts w:ascii="仿宋" w:eastAsia="仿宋" w:hAnsi="仿宋" w:cs="仿宋" w:hint="eastAsia"/>
          <w:sz w:val="32"/>
          <w:szCs w:val="32"/>
        </w:rPr>
        <w:t>。</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sz w:val="32"/>
          <w:szCs w:val="32"/>
        </w:rPr>
        <w:t>2020年规模工业企业技术改造项目，芷江有8家企业通过怀化市评审，技术改造项目设备投资总额4754.18万元，通过怀化市评审的技术改造项目设备投资总额4557万元。</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sz w:val="32"/>
          <w:szCs w:val="32"/>
        </w:rPr>
        <w:t>2020年，全县1-10月固定资产投资694692万元，产业投资额441160万元，产业投资占比63.5%，产业投资增速97.8%。技改投资145441万元，同比增速337.2%，技改占产业投资占比33%。高新技术投资143191万元，增速111.5%，高新占产业占比32.5%。</w:t>
      </w:r>
    </w:p>
    <w:p w:rsidR="00F13E3A" w:rsidRDefault="005A2213">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2、本年度已签约重点招商项目。</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2020年3月，深圳耀兴阳实业有限公司在怀化市2020年怀化国家广告产业园揭牌活动上与芷江县工业集中区签约LCD液晶显示屏制造项目。</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2020年5月，东莞市有励电子有限公司在怀化市2020年夺取“战疫情、抓发展”双胜利活动上与芷江县工业集中区签约项目签约电子</w:t>
      </w:r>
      <w:r>
        <w:rPr>
          <w:rFonts w:ascii="仿宋" w:eastAsia="仿宋" w:hAnsi="仿宋" w:cs="仿宋" w:hint="eastAsia"/>
          <w:sz w:val="32"/>
          <w:szCs w:val="32"/>
        </w:rPr>
        <w:lastRenderedPageBreak/>
        <w:t>元器件生产项目。</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怀化东庆科技有限公司已与芷江工业集中区签约东庆科技生产经营项目，目前已正常开工投产。</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上海红星美凯龙实业有限公司已与芷江侗族自治县人民政府签约芷江城西综合体项目，目前已完成土地清表，正在准备进入下一步程序。</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上海东方希望畜牧有限公司已与芷江县农业农村局签约现代化生猪养殖循环产业基地项目，目前项目正在推进。</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星火绿农（北京）生物科技有限公司已与芷江县农业园签约两岸精致农业示范园项目，目前项目正在推进。</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汕头市金硅新能源科技有限公司已与芷江县工业集中区签约工业园光伏发电项目，项目已正常开工投产。</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深圳市勤创嘉科技有限公司已与芷江县工业集中区签约液晶模块研发生产项目，项目已正常开工投产。</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2020年10月23日，湖南合喆智能科技有限公司已与芷江县人民政府签约中科高科技项目孵化中心项目，该项目正在顺利推进。</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2020年10月26日，晶品电线科技有限公司已与芷江县工业集中区签约东莞峰祥塑胶电子项目，该项目正在顺利推进。</w:t>
      </w:r>
    </w:p>
    <w:p w:rsidR="00F13E3A" w:rsidRDefault="005A2213">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3、本年度正谈重点招商项目。</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已与东莞市安德丰电池有限公司商讨锂电池生产项目，将落户芷江工业集中区，目前该项目基本谈妥，即将签约。</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已与怀化顺同劳务分包有限公司商讨总部经济协议项目，将落户芷江县内，目前该项目基本谈妥，即将签约。</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已与大唐华银电力股份有限公司商讨120MW分散式风力发电项目框架协议，将落户芷江县内，目前该项目基本谈妥，即将签约。</w:t>
      </w:r>
    </w:p>
    <w:p w:rsidR="00F13E3A" w:rsidRDefault="005A2213">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4、本年度参与的招商活动。</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2020年8月28日华晨电子召开2周年庆典，并通过该企业庆典开启“以商招商”的招商会。</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2020年11月19日，“百企芷江行”活动将在芷江县内进行，将邀请多达百家企业入芷，进行芷江招商宣传活动。</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2020年11月22日，参与2020年武陵山（怀化）国际健康产业博览会暨第二届怀商大会活动，组织企业签约。</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2020年正向科技正式的开业仪式时，将通过该企业庆典开启“以商招商”的招商会。</w:t>
      </w:r>
    </w:p>
    <w:p w:rsidR="00F13E3A" w:rsidRDefault="005A2213">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5、全方位打造招商平台。</w:t>
      </w:r>
    </w:p>
    <w:p w:rsidR="00F13E3A" w:rsidRDefault="005A22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充分利用网络平台，先后加入了政府门户网站QQ群、县委宣传部“天下芷江”QQ群和微信群，关注“天下芷江1945”微信公众号，与湖南省商务公众信息网、怀化商务之窗、怀化市招商引资信息网、芷江红网等网站建立长期联系，定时发布招商引资信息和动态。加入怀化市新推“网络招商云平台”以及深圳芷江商会和广东省芷江商会平台和“芷江人”微信平台，广泛宣传我县县情、投资环境，发布招商信息。截止目前，共发布招商信息及动态百余条，有效的扩大了招商引资工作平台。</w:t>
      </w:r>
    </w:p>
    <w:p w:rsidR="00F13E3A" w:rsidRDefault="005A22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为了营造深厚氛围，目前已经在高速公路两侧、出口等地设立招商引资宣传牌，并在南门口、河西农贸市场十字路口、三里坪转盘等地LED屏播滚动放招商引资视频宣传内容。</w:t>
      </w:r>
    </w:p>
    <w:p w:rsidR="00F13E3A" w:rsidRDefault="005A2213">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10月，据不完全统计，来我县考察洽谈的客商70余批次约600多人。如：湖北天驰企业管理有限公司、湘潭圣立宇置业有限公司、湖南碧兴环保有限公司、深圳中科萌小秘网络科技有限公司湖南分公司、深圳启源文化科技产业发展有限公司、湖南松恒低碳建筑有限公司、中科院产业转化创新创业大赛组委会、中航国际工程公司湖南公司、湖南佳慧实业发展有限公司、湘潭市规划建筑设计院有限责任公</w:t>
      </w:r>
      <w:r>
        <w:rPr>
          <w:rFonts w:ascii="仿宋" w:eastAsia="仿宋" w:hAnsi="仿宋" w:cs="仿宋" w:hint="eastAsia"/>
          <w:color w:val="000000" w:themeColor="text1"/>
          <w:sz w:val="32"/>
          <w:szCs w:val="32"/>
        </w:rPr>
        <w:lastRenderedPageBreak/>
        <w:t>司、湖南合喆大数据有限公司、君旗酒业有限公司等。</w:t>
      </w:r>
    </w:p>
    <w:p w:rsidR="00F13E3A" w:rsidRDefault="005A2213">
      <w:pPr>
        <w:numPr>
          <w:ilvl w:val="0"/>
          <w:numId w:val="3"/>
        </w:num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因地制宜，出台新的招商引资优惠政策、招商引资宣传手册、招商引资政策汇编。</w:t>
      </w:r>
      <w:r>
        <w:rPr>
          <w:rFonts w:ascii="仿宋" w:eastAsia="仿宋" w:hAnsi="仿宋" w:cs="仿宋" w:hint="eastAsia"/>
          <w:sz w:val="32"/>
          <w:szCs w:val="32"/>
        </w:rPr>
        <w:t>为进一步扩大招商引资，优化我县招商引资环境，推介招商引资项目，提升招商引资项目品质，我局在县委、县政府的指导支持下，根据《怀化市积极推进招商引资若干规定》，联合财政局、税务局、住建局、发改局等各局各部门，出台《芷江县人民政府关于积极推进招商引资暂行规定》与《中共芷江侗族自治县委员会芷江侗族自治县人民政府关于规范招商引资工作流程的意见》。且我局联合县规划局、县工业集中区、县旅发中心、县城投公司、县农业园区等部门正在重新规划、设计和制作《芷江侗族自治县招商引资宣传手册》、《芷江侗族自治县招商引资政策汇编》。</w:t>
      </w:r>
    </w:p>
    <w:p w:rsidR="00F13E3A" w:rsidRDefault="005A2213">
      <w:pPr>
        <w:numPr>
          <w:ilvl w:val="0"/>
          <w:numId w:val="3"/>
        </w:numPr>
        <w:spacing w:line="560" w:lineRule="exact"/>
        <w:ind w:firstLineChars="200" w:firstLine="643"/>
        <w:rPr>
          <w:rFonts w:ascii="仿宋" w:eastAsia="仿宋" w:hAnsi="仿宋" w:cs="仿宋"/>
          <w:color w:val="000000"/>
          <w:sz w:val="32"/>
          <w:szCs w:val="32"/>
        </w:rPr>
      </w:pPr>
      <w:r>
        <w:rPr>
          <w:rFonts w:ascii="仿宋" w:eastAsia="仿宋" w:hAnsi="仿宋" w:cs="仿宋" w:hint="eastAsia"/>
          <w:b/>
          <w:bCs/>
          <w:sz w:val="32"/>
          <w:szCs w:val="32"/>
        </w:rPr>
        <w:t>领导带队，上门招商。</w:t>
      </w:r>
      <w:r>
        <w:rPr>
          <w:rFonts w:ascii="仿宋" w:eastAsia="仿宋" w:hAnsi="仿宋" w:cs="仿宋" w:hint="eastAsia"/>
          <w:color w:val="000000"/>
          <w:sz w:val="32"/>
          <w:szCs w:val="32"/>
        </w:rPr>
        <w:t>2020年8月3日至5日，我县由县人民政府副县长白云带队到益阳市南县考察湖南合喆智能科技有限公司与南县经开区合作运营模式，并成功于10月23日签约成功，项目总投资6个亿。</w:t>
      </w:r>
    </w:p>
    <w:p w:rsidR="00F13E3A" w:rsidRDefault="005A2213">
      <w:pPr>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2020年10月26日，我县由县委书记龚红果带队到广东东莞市考察晶品电线科技有限公司，当天芷江工业园成功与东莞峰祥塑胶电子厂成功签约。</w:t>
      </w:r>
    </w:p>
    <w:p w:rsidR="00F13E3A" w:rsidRDefault="005A2213" w:rsidP="000A4D53">
      <w:pPr>
        <w:spacing w:line="560" w:lineRule="exact"/>
        <w:ind w:firstLineChars="200" w:firstLine="698"/>
        <w:rPr>
          <w:rFonts w:ascii="楷体" w:eastAsia="楷体" w:hAnsi="楷体" w:cs="楷体"/>
          <w:b/>
          <w:bCs/>
          <w:spacing w:val="14"/>
          <w:kern w:val="0"/>
          <w:sz w:val="32"/>
          <w:szCs w:val="32"/>
        </w:rPr>
      </w:pPr>
      <w:r>
        <w:rPr>
          <w:rFonts w:ascii="楷体" w:eastAsia="楷体" w:hAnsi="楷体" w:cs="楷体" w:hint="eastAsia"/>
          <w:b/>
          <w:bCs/>
          <w:spacing w:val="14"/>
          <w:kern w:val="0"/>
          <w:sz w:val="32"/>
          <w:szCs w:val="32"/>
        </w:rPr>
        <w:t>三、中小企业方面</w:t>
      </w:r>
    </w:p>
    <w:p w:rsidR="00F13E3A" w:rsidRDefault="005A2213">
      <w:pPr>
        <w:spacing w:line="560" w:lineRule="exact"/>
        <w:ind w:firstLineChars="200" w:firstLine="696"/>
        <w:rPr>
          <w:rFonts w:ascii="仿宋" w:eastAsia="仿宋" w:hAnsi="仿宋" w:cs="仿宋"/>
          <w:spacing w:val="14"/>
          <w:kern w:val="0"/>
          <w:sz w:val="32"/>
          <w:szCs w:val="32"/>
        </w:rPr>
      </w:pPr>
      <w:r>
        <w:rPr>
          <w:rFonts w:ascii="仿宋" w:eastAsia="仿宋" w:hAnsi="仿宋" w:cs="仿宋" w:hint="eastAsia"/>
          <w:spacing w:val="14"/>
          <w:kern w:val="0"/>
          <w:sz w:val="32"/>
          <w:szCs w:val="32"/>
        </w:rPr>
        <w:t>1、逐步形成了产业为主，其它产业为辅的发展格局。2020年全县工业增加值占地区生产总值的比重达到34.2%，对经济增长的贡献率达到32.3%。</w:t>
      </w:r>
    </w:p>
    <w:p w:rsidR="00F13E3A" w:rsidRDefault="005A2213">
      <w:pPr>
        <w:spacing w:line="560" w:lineRule="exact"/>
        <w:ind w:firstLineChars="200" w:firstLine="696"/>
        <w:rPr>
          <w:rFonts w:ascii="仿宋" w:eastAsia="仿宋" w:hAnsi="仿宋" w:cs="仿宋"/>
          <w:spacing w:val="14"/>
          <w:sz w:val="32"/>
          <w:szCs w:val="32"/>
        </w:rPr>
      </w:pPr>
      <w:r>
        <w:rPr>
          <w:rFonts w:ascii="仿宋" w:eastAsia="仿宋" w:hAnsi="仿宋" w:cs="仿宋" w:hint="eastAsia"/>
          <w:spacing w:val="14"/>
          <w:kern w:val="0"/>
          <w:sz w:val="32"/>
          <w:szCs w:val="32"/>
        </w:rPr>
        <w:t>2、</w:t>
      </w:r>
      <w:r>
        <w:rPr>
          <w:rFonts w:ascii="仿宋" w:eastAsia="仿宋" w:hAnsi="仿宋" w:cs="仿宋" w:hint="eastAsia"/>
          <w:spacing w:val="14"/>
          <w:sz w:val="32"/>
          <w:szCs w:val="32"/>
        </w:rPr>
        <w:t>全面复工复产44家，复工未复产2家，复产率96%；企业员工到岗率94%；全县企业产能恢复率约80%。</w:t>
      </w:r>
    </w:p>
    <w:p w:rsidR="00F13E3A" w:rsidRDefault="005A2213">
      <w:pPr>
        <w:spacing w:line="560" w:lineRule="exact"/>
        <w:ind w:firstLineChars="200" w:firstLine="696"/>
        <w:rPr>
          <w:rFonts w:ascii="仿宋" w:eastAsia="仿宋" w:hAnsi="仿宋" w:cs="仿宋"/>
          <w:spacing w:val="14"/>
          <w:sz w:val="32"/>
          <w:szCs w:val="32"/>
        </w:rPr>
      </w:pPr>
      <w:r>
        <w:rPr>
          <w:rFonts w:ascii="仿宋" w:eastAsia="仿宋" w:hAnsi="仿宋" w:cs="仿宋" w:hint="eastAsia"/>
          <w:spacing w:val="14"/>
          <w:sz w:val="32"/>
          <w:szCs w:val="32"/>
        </w:rPr>
        <w:t>3、</w:t>
      </w:r>
      <w:r>
        <w:rPr>
          <w:rFonts w:ascii="仿宋" w:eastAsia="仿宋" w:hAnsi="仿宋" w:cs="仿宋" w:hint="eastAsia"/>
          <w:spacing w:val="14"/>
          <w:kern w:val="0"/>
          <w:sz w:val="32"/>
          <w:szCs w:val="32"/>
        </w:rPr>
        <w:t>电子信息产业的企业发展迅猛，目前共进驻企业18家，其中电子信息企业就有8家，另有3家电子企业正在筹建当中，</w:t>
      </w:r>
      <w:r>
        <w:rPr>
          <w:rFonts w:ascii="仿宋" w:eastAsia="仿宋" w:hAnsi="仿宋" w:cs="仿宋" w:hint="eastAsia"/>
          <w:spacing w:val="14"/>
          <w:kern w:val="0"/>
          <w:sz w:val="32"/>
          <w:szCs w:val="32"/>
        </w:rPr>
        <w:lastRenderedPageBreak/>
        <w:t>今年下半年正式投产。这一批多是承接沿海产业转移招商到芷江的，</w:t>
      </w:r>
      <w:r>
        <w:rPr>
          <w:rFonts w:ascii="仿宋" w:eastAsia="仿宋" w:hAnsi="仿宋" w:cs="仿宋" w:hint="eastAsia"/>
          <w:spacing w:val="14"/>
          <w:sz w:val="32"/>
          <w:szCs w:val="32"/>
        </w:rPr>
        <w:t>拥有产品的自主研发能力，管理先进，发展前景良好。</w:t>
      </w:r>
    </w:p>
    <w:p w:rsidR="00F13E3A" w:rsidRDefault="005A2213">
      <w:pPr>
        <w:spacing w:line="560" w:lineRule="exact"/>
        <w:ind w:firstLineChars="200" w:firstLine="696"/>
        <w:rPr>
          <w:rFonts w:ascii="仿宋" w:eastAsia="仿宋" w:hAnsi="仿宋" w:cs="仿宋"/>
          <w:sz w:val="32"/>
          <w:szCs w:val="32"/>
        </w:rPr>
      </w:pPr>
      <w:r>
        <w:rPr>
          <w:rFonts w:ascii="仿宋" w:eastAsia="仿宋" w:hAnsi="仿宋" w:cs="仿宋" w:hint="eastAsia"/>
          <w:spacing w:val="14"/>
          <w:sz w:val="32"/>
          <w:szCs w:val="32"/>
        </w:rPr>
        <w:t>4、</w:t>
      </w:r>
      <w:r>
        <w:rPr>
          <w:rFonts w:ascii="仿宋" w:eastAsia="仿宋" w:hAnsi="仿宋" w:cs="仿宋" w:hint="eastAsia"/>
          <w:sz w:val="32"/>
          <w:szCs w:val="32"/>
        </w:rPr>
        <w:t>按照湖南省工业和信息化厅关于做好湖南省中小企业发展专项资金项目申报工作的通知，近3个月我县为芷江华兴油业等4家小巨人企业申报湖南省中小企业发展专项资金140万元。</w:t>
      </w:r>
    </w:p>
    <w:p w:rsidR="00F13E3A" w:rsidRDefault="005A2213">
      <w:pPr>
        <w:spacing w:line="560" w:lineRule="exact"/>
        <w:ind w:firstLineChars="200" w:firstLine="680"/>
        <w:rPr>
          <w:rFonts w:ascii="仿宋" w:eastAsia="仿宋" w:hAnsi="仿宋" w:cs="仿宋"/>
          <w:spacing w:val="14"/>
          <w:sz w:val="32"/>
          <w:szCs w:val="32"/>
        </w:rPr>
      </w:pPr>
      <w:r>
        <w:rPr>
          <w:rFonts w:ascii="仿宋" w:eastAsia="仿宋" w:hAnsi="仿宋" w:cs="仿宋" w:hint="eastAsia"/>
          <w:spacing w:val="10"/>
          <w:sz w:val="32"/>
          <w:szCs w:val="32"/>
        </w:rPr>
        <w:t>5、按照</w:t>
      </w:r>
      <w:r>
        <w:rPr>
          <w:rFonts w:ascii="仿宋" w:eastAsia="仿宋" w:hAnsi="仿宋" w:cs="仿宋" w:hint="eastAsia"/>
          <w:w w:val="90"/>
          <w:sz w:val="32"/>
          <w:szCs w:val="32"/>
        </w:rPr>
        <w:t>第一届“怀化市发展非公有制经济和中小企业先进单位和先进个人”评选表彰活动通知，我县推荐</w:t>
      </w:r>
      <w:r>
        <w:rPr>
          <w:rFonts w:ascii="仿宋" w:eastAsia="仿宋" w:hAnsi="仿宋" w:cs="仿宋" w:hint="eastAsia"/>
          <w:sz w:val="32"/>
          <w:szCs w:val="32"/>
        </w:rPr>
        <w:t>芷江华兴油业有限公司、湖南康瑞涂料科技有限公司参加“专精特新”企业评选；推荐杨小英、周云飞参加“民营企业家”评选；推荐杨范龙、杨银参加创新创业企业家评选。</w:t>
      </w:r>
    </w:p>
    <w:p w:rsidR="00F13E3A" w:rsidRDefault="005A2213">
      <w:pPr>
        <w:spacing w:line="560" w:lineRule="exact"/>
        <w:ind w:firstLineChars="200" w:firstLine="680"/>
        <w:rPr>
          <w:rFonts w:ascii="仿宋" w:eastAsia="仿宋" w:hAnsi="仿宋" w:cs="仿宋"/>
          <w:bCs/>
          <w:spacing w:val="14"/>
          <w:sz w:val="32"/>
          <w:szCs w:val="32"/>
        </w:rPr>
      </w:pPr>
      <w:r>
        <w:rPr>
          <w:rFonts w:ascii="仿宋" w:eastAsia="仿宋" w:hAnsi="仿宋" w:cs="仿宋" w:hint="eastAsia"/>
          <w:bCs/>
          <w:spacing w:val="10"/>
          <w:sz w:val="32"/>
          <w:szCs w:val="32"/>
        </w:rPr>
        <w:t>6、按照湖南省、怀化市中小企业技术创新“破零倍增”三年行动计划要求，我县培育两家“专精特新”中小企业（湖南芷江正向科技有限公司、湖南源塑塑管有限公司），参加怀化市破零倍增企业培训，引导企业争取2020年实现发明专利零的突破。</w:t>
      </w:r>
    </w:p>
    <w:p w:rsidR="00F13E3A" w:rsidRDefault="005A2213" w:rsidP="000A4D53">
      <w:pPr>
        <w:spacing w:line="560" w:lineRule="exact"/>
        <w:ind w:firstLineChars="200" w:firstLine="698"/>
        <w:rPr>
          <w:rFonts w:ascii="楷体" w:eastAsia="楷体" w:hAnsi="楷体" w:cs="楷体"/>
          <w:b/>
          <w:bCs/>
          <w:spacing w:val="14"/>
          <w:sz w:val="32"/>
          <w:szCs w:val="32"/>
        </w:rPr>
      </w:pPr>
      <w:r>
        <w:rPr>
          <w:rFonts w:ascii="楷体" w:eastAsia="楷体" w:hAnsi="楷体" w:cs="楷体" w:hint="eastAsia"/>
          <w:b/>
          <w:bCs/>
          <w:spacing w:val="14"/>
          <w:sz w:val="32"/>
          <w:szCs w:val="32"/>
        </w:rPr>
        <w:t>四、外经外贸方面</w:t>
      </w:r>
    </w:p>
    <w:p w:rsidR="00F13E3A" w:rsidRDefault="005A2213" w:rsidP="000A4D53">
      <w:pPr>
        <w:spacing w:line="560" w:lineRule="exact"/>
        <w:ind w:firstLineChars="200" w:firstLine="698"/>
        <w:rPr>
          <w:rFonts w:ascii="仿宋" w:eastAsia="仿宋" w:hAnsi="仿宋" w:cs="仿宋"/>
          <w:spacing w:val="14"/>
          <w:sz w:val="32"/>
          <w:szCs w:val="32"/>
        </w:rPr>
      </w:pPr>
      <w:r>
        <w:rPr>
          <w:rFonts w:ascii="仿宋" w:eastAsia="仿宋" w:hAnsi="仿宋" w:cs="仿宋" w:hint="eastAsia"/>
          <w:b/>
          <w:bCs/>
          <w:spacing w:val="14"/>
          <w:sz w:val="32"/>
          <w:szCs w:val="32"/>
        </w:rPr>
        <w:t>1、2020年我县共有外贸备案登记企业9家，今年全县新增外贸备案企业4家；市局下达进出口目标任务为500万美元。全年</w:t>
      </w:r>
      <w:r>
        <w:rPr>
          <w:rFonts w:ascii="仿宋" w:eastAsia="仿宋" w:hAnsi="仿宋" w:cs="仿宋" w:hint="eastAsia"/>
          <w:spacing w:val="14"/>
          <w:sz w:val="32"/>
          <w:szCs w:val="32"/>
        </w:rPr>
        <w:t>实际完成进出口总额59.3万美元，完成市里下达任务的11.86%，相比去年同比增长2865%。</w:t>
      </w:r>
    </w:p>
    <w:p w:rsidR="00F13E3A" w:rsidRDefault="005A2213" w:rsidP="000A4D53">
      <w:pPr>
        <w:spacing w:line="560" w:lineRule="exact"/>
        <w:ind w:firstLineChars="200" w:firstLine="698"/>
        <w:rPr>
          <w:rFonts w:ascii="仿宋" w:eastAsia="仿宋" w:hAnsi="仿宋" w:cs="仿宋"/>
          <w:color w:val="333333"/>
          <w:kern w:val="0"/>
          <w:sz w:val="32"/>
          <w:szCs w:val="32"/>
          <w:shd w:val="clear" w:color="auto" w:fill="FFFFFF"/>
        </w:rPr>
      </w:pPr>
      <w:r>
        <w:rPr>
          <w:rFonts w:ascii="仿宋" w:eastAsia="仿宋" w:hAnsi="仿宋" w:cs="仿宋" w:hint="eastAsia"/>
          <w:b/>
          <w:bCs/>
          <w:spacing w:val="14"/>
          <w:sz w:val="32"/>
          <w:szCs w:val="32"/>
        </w:rPr>
        <w:t>2、</w:t>
      </w:r>
      <w:r>
        <w:rPr>
          <w:rFonts w:ascii="仿宋" w:eastAsia="仿宋" w:hAnsi="仿宋" w:cs="仿宋" w:hint="eastAsia"/>
          <w:b/>
          <w:bCs/>
          <w:color w:val="333333"/>
          <w:kern w:val="0"/>
          <w:sz w:val="32"/>
          <w:szCs w:val="32"/>
          <w:shd w:val="clear" w:color="auto" w:fill="FFFFFF"/>
        </w:rPr>
        <w:t>不断培育外贸出口主体，外贸出口备案企业逐年增加。</w:t>
      </w:r>
      <w:r>
        <w:rPr>
          <w:rFonts w:ascii="仿宋" w:eastAsia="仿宋" w:hAnsi="仿宋" w:cs="仿宋" w:hint="eastAsia"/>
          <w:color w:val="333333"/>
          <w:kern w:val="0"/>
          <w:sz w:val="32"/>
          <w:szCs w:val="32"/>
          <w:shd w:val="clear" w:color="auto" w:fill="FFFFFF"/>
        </w:rPr>
        <w:t>今年我县新增 4家对外贸易经营者备案登记企业。截止目前，我县对外贸易备案登记企业达到 9家。</w:t>
      </w:r>
    </w:p>
    <w:p w:rsidR="00F13E3A" w:rsidRDefault="005A2213">
      <w:pPr>
        <w:spacing w:line="560" w:lineRule="exact"/>
        <w:ind w:firstLineChars="200" w:firstLine="643"/>
        <w:rPr>
          <w:rFonts w:ascii="仿宋" w:eastAsia="仿宋" w:hAnsi="仿宋" w:cs="仿宋"/>
          <w:color w:val="333333"/>
          <w:kern w:val="0"/>
          <w:sz w:val="32"/>
          <w:szCs w:val="32"/>
          <w:shd w:val="clear" w:color="auto" w:fill="FFFFFF"/>
        </w:rPr>
      </w:pPr>
      <w:r>
        <w:rPr>
          <w:rFonts w:ascii="仿宋" w:eastAsia="仿宋" w:hAnsi="仿宋" w:cs="仿宋" w:hint="eastAsia"/>
          <w:b/>
          <w:bCs/>
          <w:color w:val="333333"/>
          <w:kern w:val="0"/>
          <w:sz w:val="32"/>
          <w:szCs w:val="32"/>
          <w:shd w:val="clear" w:color="auto" w:fill="FFFFFF"/>
        </w:rPr>
        <w:t>3、对现有出口企业加大服务力度，指导帮助潜力企业做好出口前的准备工作，同时积极为外贸企业排忧解难。</w:t>
      </w:r>
      <w:r>
        <w:rPr>
          <w:rFonts w:ascii="仿宋" w:eastAsia="仿宋" w:hAnsi="仿宋" w:cs="仿宋" w:hint="eastAsia"/>
          <w:color w:val="333333"/>
          <w:kern w:val="0"/>
          <w:sz w:val="32"/>
          <w:szCs w:val="32"/>
          <w:shd w:val="clear" w:color="auto" w:fill="FFFFFF"/>
        </w:rPr>
        <w:t>疫情期间，积极提供额温枪、口罩等防疫物资。为完成全年任务，我们经常、多次到外贸企业调研，进行政策宣传，并及时了解情况，帮助企业协调解决在生产经营和出口过程中遇到的困难和问题。特别是华晨电子科技有限公司</w:t>
      </w:r>
      <w:r>
        <w:rPr>
          <w:rFonts w:ascii="仿宋" w:eastAsia="仿宋" w:hAnsi="仿宋" w:cs="仿宋" w:hint="eastAsia"/>
          <w:color w:val="333333"/>
          <w:kern w:val="0"/>
          <w:sz w:val="32"/>
          <w:szCs w:val="32"/>
          <w:shd w:val="clear" w:color="auto" w:fill="FFFFFF"/>
        </w:rPr>
        <w:lastRenderedPageBreak/>
        <w:t>在物流和海关出口的问题上，我局多次和物流企业、海关等部门沟通。对有潜力的出口企业，我们一是积极上门宣传政策，二是抓住一切机遇给企业宣传政策，鼓励企业迈出国门，为帮助企业更好了解国家有关外经贸发展的政策，指导企业开拓国际市场，扩大我县的外贸出口。在外贸企业（湖南玖星工业微波设备有限公司医护用品厂）办理出口各项登记手续期间，我们做到对企业进行全程跟踪服务和指导，积极帮助企业联系和协调，使企业缩短了登记时间，节省了人力、财力。</w:t>
      </w:r>
    </w:p>
    <w:p w:rsidR="00F13E3A" w:rsidRDefault="005A2213">
      <w:pPr>
        <w:spacing w:line="560" w:lineRule="exact"/>
        <w:ind w:firstLineChars="200" w:firstLine="643"/>
        <w:rPr>
          <w:rFonts w:ascii="仿宋" w:eastAsia="仿宋" w:hAnsi="仿宋" w:cs="仿宋"/>
          <w:color w:val="333333"/>
          <w:kern w:val="0"/>
          <w:sz w:val="32"/>
          <w:szCs w:val="32"/>
          <w:shd w:val="clear" w:color="auto" w:fill="FFFFFF"/>
        </w:rPr>
      </w:pPr>
      <w:r>
        <w:rPr>
          <w:rFonts w:ascii="仿宋" w:eastAsia="仿宋" w:hAnsi="仿宋" w:cs="仿宋" w:hint="eastAsia"/>
          <w:b/>
          <w:bCs/>
          <w:color w:val="333333"/>
          <w:kern w:val="0"/>
          <w:sz w:val="32"/>
          <w:szCs w:val="32"/>
          <w:shd w:val="clear" w:color="auto" w:fill="FFFFFF"/>
        </w:rPr>
        <w:t>4、采取有力措施，推动企业开拓国际市场宣传、组织企业参加各类展览会，利用展会平台宣传推介企业产品，广接订单，不断开拓新兴市场。</w:t>
      </w:r>
      <w:r>
        <w:rPr>
          <w:rFonts w:ascii="仿宋" w:eastAsia="仿宋" w:hAnsi="仿宋" w:cs="仿宋" w:hint="eastAsia"/>
          <w:color w:val="333333"/>
          <w:kern w:val="0"/>
          <w:sz w:val="32"/>
          <w:szCs w:val="32"/>
          <w:shd w:val="clear" w:color="auto" w:fill="FFFFFF"/>
        </w:rPr>
        <w:t>同时今年已经出台外贸进出口奖励政策（鼓励企业拓展进出口贸易业，企业自营出口每1美元奖励0.02元人民币，自营进口每1美元奖励0.01元人民币）。</w:t>
      </w:r>
    </w:p>
    <w:p w:rsidR="00F13E3A" w:rsidRDefault="005A2213">
      <w:pPr>
        <w:spacing w:line="560" w:lineRule="exact"/>
        <w:ind w:firstLineChars="200" w:firstLine="643"/>
        <w:rPr>
          <w:rFonts w:ascii="仿宋" w:eastAsia="仿宋" w:hAnsi="仿宋" w:cs="仿宋"/>
          <w:color w:val="333333"/>
          <w:kern w:val="0"/>
          <w:sz w:val="32"/>
          <w:szCs w:val="32"/>
          <w:shd w:val="clear" w:color="auto" w:fill="FFFFFF"/>
        </w:rPr>
      </w:pPr>
      <w:r>
        <w:rPr>
          <w:rFonts w:ascii="仿宋" w:eastAsia="仿宋" w:hAnsi="仿宋" w:cs="仿宋" w:hint="eastAsia"/>
          <w:b/>
          <w:bCs/>
          <w:color w:val="333333"/>
          <w:kern w:val="0"/>
          <w:sz w:val="32"/>
          <w:szCs w:val="32"/>
          <w:shd w:val="clear" w:color="auto" w:fill="FFFFFF"/>
        </w:rPr>
        <w:t>5、积极争取外贸项目资金，促进外贸工作健康发展。</w:t>
      </w:r>
      <w:r>
        <w:rPr>
          <w:rFonts w:ascii="仿宋" w:eastAsia="仿宋" w:hAnsi="仿宋" w:cs="仿宋" w:hint="eastAsia"/>
          <w:color w:val="333333"/>
          <w:kern w:val="0"/>
          <w:sz w:val="32"/>
          <w:szCs w:val="32"/>
          <w:shd w:val="clear" w:color="auto" w:fill="FFFFFF"/>
        </w:rPr>
        <w:t>为有效推动我县外经贸工作的发展，我局积极做好企业项目申报工作。</w:t>
      </w:r>
    </w:p>
    <w:p w:rsidR="00F13E3A" w:rsidRDefault="005A2213">
      <w:pPr>
        <w:spacing w:line="560" w:lineRule="exact"/>
        <w:ind w:firstLineChars="200" w:firstLine="643"/>
        <w:rPr>
          <w:rFonts w:ascii="仿宋" w:eastAsia="仿宋" w:hAnsi="仿宋" w:cs="仿宋"/>
          <w:color w:val="333333"/>
          <w:kern w:val="0"/>
          <w:sz w:val="32"/>
          <w:szCs w:val="32"/>
          <w:shd w:val="clear" w:color="auto" w:fill="FFFFFF"/>
        </w:rPr>
      </w:pPr>
      <w:r>
        <w:rPr>
          <w:rFonts w:ascii="仿宋" w:eastAsia="仿宋" w:hAnsi="仿宋" w:cs="仿宋" w:hint="eastAsia"/>
          <w:b/>
          <w:bCs/>
          <w:color w:val="333333"/>
          <w:kern w:val="0"/>
          <w:sz w:val="32"/>
          <w:szCs w:val="32"/>
          <w:shd w:val="clear" w:color="auto" w:fill="FFFFFF"/>
        </w:rPr>
        <w:t>6、为更好的掌握外经贸工作最新动态，了解新的政策举措，加强了与上级商务部门的联系。</w:t>
      </w:r>
      <w:r>
        <w:rPr>
          <w:rFonts w:ascii="仿宋" w:eastAsia="仿宋" w:hAnsi="仿宋" w:cs="仿宋" w:hint="eastAsia"/>
          <w:color w:val="333333"/>
          <w:kern w:val="0"/>
          <w:sz w:val="32"/>
          <w:szCs w:val="32"/>
          <w:shd w:val="clear" w:color="auto" w:fill="FFFFFF"/>
        </w:rPr>
        <w:t>及时贯彻落实上级商务部门的文件精神和要求。</w:t>
      </w:r>
    </w:p>
    <w:p w:rsidR="00F13E3A" w:rsidRDefault="005A2213">
      <w:pPr>
        <w:spacing w:line="560" w:lineRule="exact"/>
        <w:ind w:firstLineChars="200" w:firstLine="643"/>
        <w:rPr>
          <w:rFonts w:ascii="楷体" w:eastAsia="楷体" w:hAnsi="楷体" w:cs="楷体"/>
          <w:b/>
          <w:bCs/>
          <w:color w:val="4F4F4F"/>
          <w:kern w:val="0"/>
          <w:sz w:val="32"/>
          <w:szCs w:val="32"/>
        </w:rPr>
      </w:pPr>
      <w:r>
        <w:rPr>
          <w:rFonts w:ascii="楷体" w:eastAsia="楷体" w:hAnsi="楷体" w:cs="楷体" w:hint="eastAsia"/>
          <w:b/>
          <w:bCs/>
          <w:color w:val="333333"/>
          <w:kern w:val="0"/>
          <w:sz w:val="32"/>
          <w:szCs w:val="32"/>
          <w:shd w:val="clear" w:color="auto" w:fill="FFFFFF"/>
        </w:rPr>
        <w:t>五、科技投入方面</w:t>
      </w:r>
    </w:p>
    <w:p w:rsidR="00F13E3A" w:rsidRDefault="005A2213">
      <w:pPr>
        <w:spacing w:line="560" w:lineRule="exact"/>
        <w:ind w:firstLineChars="200" w:firstLine="643"/>
        <w:rPr>
          <w:rFonts w:ascii="仿宋" w:eastAsia="仿宋" w:hAnsi="仿宋" w:cs="仿宋"/>
          <w:color w:val="4F4F4F"/>
          <w:kern w:val="0"/>
          <w:sz w:val="32"/>
          <w:szCs w:val="32"/>
        </w:rPr>
      </w:pPr>
      <w:r>
        <w:rPr>
          <w:rFonts w:ascii="仿宋" w:eastAsia="仿宋" w:hAnsi="仿宋" w:cs="仿宋" w:hint="eastAsia"/>
          <w:b/>
          <w:bCs/>
          <w:color w:val="4F4F4F"/>
          <w:kern w:val="0"/>
          <w:sz w:val="32"/>
          <w:szCs w:val="32"/>
        </w:rPr>
        <w:t>1、培育高新技术产业，推动企业创新发展。</w:t>
      </w:r>
      <w:r>
        <w:rPr>
          <w:rFonts w:ascii="仿宋" w:eastAsia="仿宋" w:hAnsi="仿宋" w:cs="仿宋" w:hint="eastAsia"/>
          <w:color w:val="4F4F4F"/>
          <w:kern w:val="0"/>
          <w:sz w:val="32"/>
          <w:szCs w:val="32"/>
        </w:rPr>
        <w:t>对照申报条件，邀请省有关专家,积极组织湖南铭艺雕塑艺术有限公司、杨家将茶油公司、湖南和平光电科技有限公司等10家企业成功申报高新技术企业；组织湖南康瑞涂料科技有限公司、湖南芷江和翔鸭业有限公司、芷江华兴油业有限公司、怀化南岭民用爆破服务有限公司4家企业重新成功申报高新技术企业。通过努力，我县已有14家被国家认定为高新技术企业，另有怀化华晨电子科技有限公司正在认定中。同时，我县于2018年底在25家企业中初步建立市级工程技术研究中心，为科技创新打下</w:t>
      </w:r>
      <w:r>
        <w:rPr>
          <w:rFonts w:ascii="仿宋" w:eastAsia="仿宋" w:hAnsi="仿宋" w:cs="仿宋" w:hint="eastAsia"/>
          <w:color w:val="4F4F4F"/>
          <w:kern w:val="0"/>
          <w:sz w:val="32"/>
          <w:szCs w:val="32"/>
        </w:rPr>
        <w:lastRenderedPageBreak/>
        <w:t>了坚实的基础。</w:t>
      </w:r>
    </w:p>
    <w:p w:rsidR="00F13E3A" w:rsidRDefault="005A2213">
      <w:pPr>
        <w:spacing w:line="560" w:lineRule="exact"/>
        <w:ind w:firstLineChars="200" w:firstLine="643"/>
        <w:rPr>
          <w:rFonts w:ascii="仿宋" w:eastAsia="仿宋" w:hAnsi="仿宋" w:cs="仿宋"/>
          <w:color w:val="4F4F4F"/>
          <w:kern w:val="0"/>
          <w:sz w:val="32"/>
          <w:szCs w:val="32"/>
        </w:rPr>
      </w:pPr>
      <w:r>
        <w:rPr>
          <w:rFonts w:ascii="仿宋" w:eastAsia="仿宋" w:hAnsi="仿宋" w:cs="仿宋" w:hint="eastAsia"/>
          <w:b/>
          <w:bCs/>
          <w:color w:val="4F4F4F"/>
          <w:kern w:val="0"/>
          <w:sz w:val="32"/>
          <w:szCs w:val="32"/>
        </w:rPr>
        <w:t>2、申报科技计划项目，助推企业不断成长。</w:t>
      </w:r>
      <w:r>
        <w:rPr>
          <w:rFonts w:ascii="仿宋" w:eastAsia="仿宋" w:hAnsi="仿宋" w:cs="仿宋" w:hint="eastAsia"/>
          <w:color w:val="4F4F4F"/>
          <w:kern w:val="0"/>
          <w:sz w:val="32"/>
          <w:szCs w:val="32"/>
        </w:rPr>
        <w:t>近几年来我县科技部门根据上级业务主管部门的要求，适时组织企业积极申报科技项目和抓紧跟踪立项。主要情况是：为芷江侗族自治县宏源优质桃类专业合作社申报的《南方桃主干形栽培提质增效关键技术研究与示范》项目获批立项资金40万元。在2019年怀化市人才助力脱贫攻坚专项项目申报中，为芷江富农甜茶公司申报了《芷江甜茶新品种选育与栽培示范》；为怀化市葛老哥农业有限责任公司芷江分公司申报了《怀化特色柚类资源的杂交育种及高效栽培技术研究》；为芷江大枫树生态养殖有限公司申报《湘西黄牛饲养与疾病防治技术推广示范》，以上3个项目，共获项目资金37万元。积极为湖南海珊水产养殖有限公司申报2018年度省级专项《海产品淡水养殖（南美白对虾为主）技术与扶贫项目》，获批资金50万元，该公司已建成3000平方米的恒温室内工厂化养殖基地，包括办公室、实验室、监控室、培训室在内的办公区以及500平方米的新品种研发车间，制定出南美白对虾室内工厂化淡水养殖规程；为湖南芷江和翔鸭业有限公司申报《芷江鸭绿色养殖与加工技术研究与示范项目》，获批资金50万元，通过本项目的研究与示范，建立了芷江鸭从鸭雏到成品鸭、从屠宰到成品的全产业链质量安全控制指标，建立了全程溯源技术体系，实现了芷江鸭的绿色养殖与加工技术，保证了芷江鸭肉制品质量，提商了产品竞争力，同时通过产业扶贫，带动1200多户种养农民脱贫。</w:t>
      </w:r>
    </w:p>
    <w:p w:rsidR="00F13E3A" w:rsidRDefault="005A2213">
      <w:pPr>
        <w:spacing w:line="560" w:lineRule="exact"/>
        <w:ind w:firstLineChars="200" w:firstLine="643"/>
        <w:rPr>
          <w:rFonts w:ascii="仿宋" w:eastAsia="仿宋" w:hAnsi="仿宋" w:cs="仿宋"/>
          <w:color w:val="4F4F4F"/>
          <w:kern w:val="0"/>
          <w:sz w:val="32"/>
          <w:szCs w:val="32"/>
        </w:rPr>
      </w:pPr>
      <w:r>
        <w:rPr>
          <w:rFonts w:ascii="仿宋" w:eastAsia="仿宋" w:hAnsi="仿宋" w:cs="仿宋" w:hint="eastAsia"/>
          <w:b/>
          <w:bCs/>
          <w:color w:val="4F4F4F"/>
          <w:kern w:val="0"/>
          <w:sz w:val="32"/>
          <w:szCs w:val="32"/>
        </w:rPr>
        <w:t>3、加强科技兴农，服务新农村建设不断深入。</w:t>
      </w:r>
      <w:r>
        <w:rPr>
          <w:rFonts w:ascii="仿宋" w:eastAsia="仿宋" w:hAnsi="仿宋" w:cs="仿宋" w:hint="eastAsia"/>
          <w:color w:val="4F4F4F"/>
          <w:kern w:val="0"/>
          <w:sz w:val="32"/>
          <w:szCs w:val="32"/>
        </w:rPr>
        <w:t>近几年我县通过精心组织，严格考核，共选派164名（其中省派60名，市派20名，县派84名）科技人才作为科技特派员，充实到农业龙头企业、专业合作社和农村农业生产的前沿阵地。近几年我县科技特派员共引进农业新技术163项，农业新品种117个，实施科技开发项目96个，建利益共</w:t>
      </w:r>
      <w:r>
        <w:rPr>
          <w:rFonts w:ascii="仿宋" w:eastAsia="仿宋" w:hAnsi="仿宋" w:cs="仿宋" w:hint="eastAsia"/>
          <w:color w:val="4F4F4F"/>
          <w:kern w:val="0"/>
          <w:sz w:val="32"/>
          <w:szCs w:val="32"/>
        </w:rPr>
        <w:lastRenderedPageBreak/>
        <w:t>同体32家，形成龙头企业16家，年项目总投资18亿元，实现年利润6235万元；二是促进了农业科技宣传和技术培训上了新台阶。对农民进行科学技术宣传，提高农民科技意识和素质。采取课堂讲授、现场指导、入户交流、视频教育等各种措施，较大程度地提高了农民群众的科技文化水平和生产技能，培育了一大批土专家和科技能人。近年来共举办科技培训、讲座126场次，直接培训农民总人数为35487人次，辐射带动50000余人，发放科普资料35000余份，安置劳动力1500余人，农民人均纯收入5360元，人均收入增长7.5%，促进了农业先进适用技术的推广应用。2020年我县科技服务团因工作成绩得到了上级主管部门的充分肯定，被省科技厅评选为怀化市唯一的优秀科技服务团，给予20万元的2020年省科技创新计划项目奖励。</w:t>
      </w:r>
    </w:p>
    <w:p w:rsidR="00F13E3A" w:rsidRDefault="005A2213">
      <w:pPr>
        <w:spacing w:line="560" w:lineRule="exact"/>
        <w:ind w:firstLineChars="200" w:firstLine="643"/>
        <w:rPr>
          <w:rFonts w:ascii="楷体" w:eastAsia="楷体" w:hAnsi="楷体" w:cs="楷体"/>
          <w:b/>
          <w:bCs/>
          <w:color w:val="4F4F4F"/>
          <w:kern w:val="0"/>
          <w:sz w:val="32"/>
          <w:szCs w:val="32"/>
        </w:rPr>
      </w:pPr>
      <w:r>
        <w:rPr>
          <w:rFonts w:ascii="楷体" w:eastAsia="楷体" w:hAnsi="楷体" w:cs="楷体" w:hint="eastAsia"/>
          <w:b/>
          <w:bCs/>
          <w:color w:val="4F4F4F"/>
          <w:kern w:val="0"/>
          <w:sz w:val="32"/>
          <w:szCs w:val="32"/>
        </w:rPr>
        <w:t>六、商贸流通方面</w:t>
      </w:r>
    </w:p>
    <w:p w:rsidR="00F13E3A" w:rsidRDefault="005A2213">
      <w:pPr>
        <w:spacing w:line="560" w:lineRule="exact"/>
        <w:ind w:firstLineChars="200" w:firstLine="643"/>
        <w:rPr>
          <w:rFonts w:ascii="仿宋" w:eastAsia="仿宋" w:hAnsi="仿宋" w:cs="仿宋"/>
          <w:sz w:val="32"/>
          <w:szCs w:val="32"/>
        </w:rPr>
      </w:pPr>
      <w:r>
        <w:rPr>
          <w:rFonts w:ascii="仿宋" w:eastAsia="仿宋" w:hAnsi="仿宋" w:cs="仿宋" w:hint="eastAsia"/>
          <w:b/>
          <w:bCs/>
          <w:color w:val="4F4F4F"/>
          <w:kern w:val="0"/>
          <w:sz w:val="32"/>
          <w:szCs w:val="32"/>
        </w:rPr>
        <w:t>1、</w:t>
      </w:r>
      <w:r>
        <w:rPr>
          <w:rFonts w:ascii="仿宋" w:eastAsia="仿宋" w:hAnsi="仿宋" w:cs="仿宋" w:hint="eastAsia"/>
          <w:b/>
          <w:bCs/>
          <w:sz w:val="32"/>
          <w:szCs w:val="32"/>
        </w:rPr>
        <w:t>我县社零各项经济指标大幅下滑，目前社零各项经济指标正逐步回升。</w:t>
      </w:r>
      <w:r>
        <w:rPr>
          <w:rFonts w:ascii="仿宋" w:eastAsia="仿宋" w:hAnsi="仿宋" w:cs="仿宋" w:hint="eastAsia"/>
          <w:sz w:val="32"/>
          <w:szCs w:val="32"/>
        </w:rPr>
        <w:t>市局下达2020年社会消费品零售总额任务56.1亿元，任务增长10%，我县1－9月社会消费品零售总额累计增长－5.1%，低于全市1－9月平均增幅0.6%，但相比上半年我县社会消费品零售总额累计增长―7.8%，正逐步回升，预测2020年我县社会消费品零售总额累计增长5%左右。新增限额以上社零企业任务2家，目前已新增限额以上社零企业5家，新增规模以上商贸服务业1家，目前已新增限额以上社零企业1家。</w:t>
      </w:r>
    </w:p>
    <w:p w:rsidR="00F13E3A" w:rsidRDefault="005A2213">
      <w:pPr>
        <w:spacing w:line="560" w:lineRule="exact"/>
        <w:ind w:firstLineChars="200" w:firstLine="643"/>
        <w:rPr>
          <w:rFonts w:ascii="仿宋" w:eastAsia="仿宋" w:hAnsi="仿宋" w:cs="仿宋"/>
          <w:color w:val="333333"/>
          <w:sz w:val="32"/>
          <w:szCs w:val="32"/>
        </w:rPr>
      </w:pPr>
      <w:r>
        <w:rPr>
          <w:rFonts w:ascii="仿宋" w:eastAsia="仿宋" w:hAnsi="仿宋" w:cs="仿宋" w:hint="eastAsia"/>
          <w:b/>
          <w:bCs/>
          <w:color w:val="4F4F4F"/>
          <w:kern w:val="0"/>
          <w:sz w:val="32"/>
          <w:szCs w:val="32"/>
        </w:rPr>
        <w:t>2、</w:t>
      </w:r>
      <w:r>
        <w:rPr>
          <w:rFonts w:ascii="仿宋" w:eastAsia="仿宋" w:hAnsi="仿宋" w:cs="仿宋" w:hint="eastAsia"/>
          <w:b/>
          <w:bCs/>
          <w:sz w:val="32"/>
          <w:szCs w:val="32"/>
        </w:rPr>
        <w:t>市场建设方面工作，</w:t>
      </w:r>
      <w:r>
        <w:rPr>
          <w:rFonts w:ascii="仿宋" w:eastAsia="仿宋" w:hAnsi="仿宋" w:cs="仿宋" w:hint="eastAsia"/>
          <w:sz w:val="32"/>
          <w:szCs w:val="32"/>
        </w:rPr>
        <w:t>“十三五”以来，</w:t>
      </w:r>
      <w:r>
        <w:rPr>
          <w:rFonts w:ascii="仿宋" w:eastAsia="仿宋" w:hAnsi="仿宋" w:cs="仿宋" w:hint="eastAsia"/>
          <w:color w:val="333333"/>
          <w:sz w:val="32"/>
          <w:szCs w:val="32"/>
        </w:rPr>
        <w:t>我县共向省商务厅争取市场建设改造的市场有芷江中心市场、东紫巷紫金城农贸市场、新店坪镇、公坪镇、原大垅乡、原板山乡（后合并到碧涌镇），原杨公庙乡（后合并到土桥镇），原五郎溪乡（后合并到三道坑镇）。</w:t>
      </w:r>
    </w:p>
    <w:p w:rsidR="00F13E3A" w:rsidRDefault="005A2213">
      <w:pPr>
        <w:spacing w:line="560" w:lineRule="exact"/>
        <w:ind w:firstLineChars="200" w:firstLine="643"/>
        <w:rPr>
          <w:rFonts w:ascii="仿宋" w:eastAsia="仿宋" w:hAnsi="仿宋" w:cs="仿宋"/>
          <w:color w:val="333333"/>
          <w:sz w:val="32"/>
          <w:szCs w:val="32"/>
        </w:rPr>
      </w:pPr>
      <w:r>
        <w:rPr>
          <w:rFonts w:ascii="仿宋" w:eastAsia="仿宋" w:hAnsi="仿宋" w:cs="仿宋" w:hint="eastAsia"/>
          <w:b/>
          <w:bCs/>
          <w:color w:val="333333"/>
          <w:sz w:val="32"/>
          <w:szCs w:val="32"/>
        </w:rPr>
        <w:t>3、马路市场整治改建方面，</w:t>
      </w:r>
      <w:r>
        <w:rPr>
          <w:rFonts w:ascii="仿宋" w:eastAsia="仿宋" w:hAnsi="仿宋" w:cs="仿宋" w:hint="eastAsia"/>
          <w:color w:val="333333"/>
          <w:sz w:val="32"/>
          <w:szCs w:val="32"/>
        </w:rPr>
        <w:t>截止今年10月底已改造完工的市场有芷江镇麻缨塘集贸市场，水宽乡农贸市场，牛牯坪乡农贸市场、晓</w:t>
      </w:r>
      <w:r>
        <w:rPr>
          <w:rFonts w:ascii="仿宋" w:eastAsia="仿宋" w:hAnsi="仿宋" w:cs="仿宋" w:hint="eastAsia"/>
          <w:color w:val="333333"/>
          <w:sz w:val="32"/>
          <w:szCs w:val="32"/>
        </w:rPr>
        <w:lastRenderedPageBreak/>
        <w:t>坪乡农贸市场、三道坑镇木叶溪农贸市场等市场。</w:t>
      </w:r>
    </w:p>
    <w:p w:rsidR="00F13E3A" w:rsidRDefault="005A2213">
      <w:pPr>
        <w:spacing w:line="560" w:lineRule="exact"/>
        <w:ind w:firstLineChars="200" w:firstLine="643"/>
        <w:rPr>
          <w:rFonts w:ascii="仿宋" w:eastAsia="仿宋" w:hAnsi="仿宋" w:cs="仿宋"/>
          <w:sz w:val="32"/>
          <w:szCs w:val="32"/>
        </w:rPr>
      </w:pPr>
      <w:r>
        <w:rPr>
          <w:rFonts w:ascii="仿宋" w:eastAsia="仿宋" w:hAnsi="仿宋" w:cs="仿宋" w:hint="eastAsia"/>
          <w:b/>
          <w:bCs/>
          <w:color w:val="333333"/>
          <w:sz w:val="32"/>
          <w:szCs w:val="32"/>
        </w:rPr>
        <w:t>4、</w:t>
      </w:r>
      <w:r>
        <w:rPr>
          <w:rFonts w:ascii="仿宋" w:eastAsia="仿宋" w:hAnsi="仿宋" w:cs="仿宋" w:hint="eastAsia"/>
          <w:b/>
          <w:bCs/>
          <w:sz w:val="32"/>
          <w:szCs w:val="32"/>
        </w:rPr>
        <w:t>商贸物流方面，</w:t>
      </w:r>
      <w:r>
        <w:rPr>
          <w:rFonts w:ascii="仿宋" w:eastAsia="仿宋" w:hAnsi="仿宋" w:cs="仿宋" w:hint="eastAsia"/>
          <w:sz w:val="32"/>
          <w:szCs w:val="32"/>
        </w:rPr>
        <w:t>“十三五”以来我县物流快递业飞速发展，除较早的邮政物流快递外，新增了芷江农易达乡村物流有限公司、芷江五行山河物流有限公司、芷江佳耀物流货运站、芷江富香物流站、安能物流、德邦物流、安利物流芷江站、顺丰快递（圆通快递）、中通快递、圆通快递、申通快递、天天快递、汇通快递、优速快递、全峰快递、国通快递、宅急送、韵达快递、润达快递、百世快递、阿里菜鸟物流、京东物流快递、天猫直营等20多家物流快递公司。大大促进了电子商务、网络购销行业的发展，也促进互联网+及商贸物流业的发展。</w:t>
      </w:r>
    </w:p>
    <w:p w:rsidR="00F13E3A" w:rsidRDefault="005A2213">
      <w:pPr>
        <w:pStyle w:val="a4"/>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“十三五”以来，我县涌现了大批商贸物流基地：如湖南宝龙仓储物流交易中心，芷江农产品电商物流展示交易中心、芷江县学生食材配送中心等等，大大促进了我县商贸物流业发展。</w:t>
      </w:r>
    </w:p>
    <w:p w:rsidR="00F13E3A" w:rsidRDefault="005A2213">
      <w:pPr>
        <w:pStyle w:val="a4"/>
        <w:numPr>
          <w:ilvl w:val="0"/>
          <w:numId w:val="4"/>
        </w:num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电子商务产业方面，</w:t>
      </w:r>
      <w:r>
        <w:rPr>
          <w:rFonts w:ascii="仿宋" w:eastAsia="仿宋" w:hAnsi="仿宋" w:cs="仿宋" w:hint="eastAsia"/>
          <w:sz w:val="32"/>
          <w:szCs w:val="32"/>
        </w:rPr>
        <w:t xml:space="preserve">2016年，我县与阿里巴巴集团签订阿里巴巴农村淘宝项目合作协议，目前我县已建成村级农村淘宝服务站38家，2018年以来，已完成阿里巴巴农村淘宝村淘电商人员培训2000多人次，为普及我县农村电商打下基础， 2018年我县成功申报全国电子商务进农村综合示范县项目，目前正在全力实施当中，办公地点在芷江镇畅风坳村芷江农产品电商物流展示交易中心一楼的芷江县域电子商务运营中心，预计今年年底通过中期验收。 </w:t>
      </w:r>
    </w:p>
    <w:p w:rsidR="00F13E3A" w:rsidRDefault="005A2213">
      <w:pPr>
        <w:spacing w:line="600" w:lineRule="exact"/>
        <w:rPr>
          <w:rFonts w:ascii="黑体" w:eastAsia="黑体"/>
          <w:sz w:val="32"/>
          <w:szCs w:val="32"/>
        </w:rPr>
      </w:pPr>
      <w:r>
        <w:rPr>
          <w:rFonts w:ascii="黑体" w:eastAsia="黑体" w:hint="eastAsia"/>
          <w:sz w:val="32"/>
          <w:szCs w:val="32"/>
        </w:rPr>
        <w:t>五、评价结论及建议</w:t>
      </w:r>
    </w:p>
    <w:p w:rsidR="00F13E3A" w:rsidRDefault="005A2213">
      <w:pPr>
        <w:spacing w:line="600" w:lineRule="exact"/>
        <w:ind w:firstLineChars="200" w:firstLine="640"/>
        <w:rPr>
          <w:rFonts w:eastAsia="仿宋_GB2312"/>
          <w:sz w:val="32"/>
          <w:szCs w:val="32"/>
        </w:rPr>
      </w:pPr>
      <w:r>
        <w:rPr>
          <w:rFonts w:eastAsia="仿宋_GB2312" w:hint="eastAsia"/>
          <w:sz w:val="32"/>
          <w:szCs w:val="32"/>
        </w:rPr>
        <w:t>（一）评价结论</w:t>
      </w:r>
    </w:p>
    <w:p w:rsidR="00F13E3A" w:rsidRDefault="005A2213">
      <w:pPr>
        <w:spacing w:line="600" w:lineRule="exact"/>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年，我局认真贯彻落实县委、县政府的决策部署，加强组织领导，不断提高预决算编制质量，强化预算约束，严格财务管理，健</w:t>
      </w:r>
      <w:r>
        <w:rPr>
          <w:rFonts w:eastAsia="仿宋_GB2312" w:hint="eastAsia"/>
          <w:sz w:val="32"/>
          <w:szCs w:val="32"/>
        </w:rPr>
        <w:lastRenderedPageBreak/>
        <w:t>全资金管理制度，规范款项支付，确保资金安全，提高资金使用绩效。我局自评结论为：优秀。</w:t>
      </w:r>
      <w:r>
        <w:rPr>
          <w:rFonts w:eastAsia="仿宋_GB2312" w:hint="eastAsia"/>
          <w:sz w:val="32"/>
          <w:szCs w:val="32"/>
        </w:rPr>
        <w:t xml:space="preserve">                                               </w:t>
      </w:r>
    </w:p>
    <w:p w:rsidR="00F13E3A" w:rsidRDefault="005A2213">
      <w:pPr>
        <w:spacing w:line="600" w:lineRule="exact"/>
        <w:ind w:firstLineChars="100" w:firstLine="320"/>
        <w:rPr>
          <w:rFonts w:eastAsia="仿宋_GB2312"/>
          <w:sz w:val="32"/>
          <w:szCs w:val="32"/>
        </w:rPr>
      </w:pPr>
      <w:r>
        <w:rPr>
          <w:rFonts w:eastAsia="仿宋_GB2312" w:hint="eastAsia"/>
          <w:sz w:val="32"/>
          <w:szCs w:val="32"/>
        </w:rPr>
        <w:t>（二）存在问题</w:t>
      </w:r>
      <w:r>
        <w:rPr>
          <w:rFonts w:eastAsia="仿宋_GB2312" w:hint="eastAsia"/>
          <w:sz w:val="32"/>
          <w:szCs w:val="32"/>
        </w:rPr>
        <w:t xml:space="preserve">                                    </w:t>
      </w:r>
    </w:p>
    <w:p w:rsidR="00F13E3A" w:rsidRDefault="005A2213">
      <w:pPr>
        <w:spacing w:line="600" w:lineRule="exact"/>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预算编制不够细化。在预算执行过程中，预算编制与实际支出有的存在一定偏差。</w:t>
      </w:r>
    </w:p>
    <w:p w:rsidR="00F13E3A" w:rsidRDefault="005A2213">
      <w:pPr>
        <w:spacing w:line="600" w:lineRule="exact"/>
        <w:ind w:firstLine="63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资产管理有待加强。固定资产管理不够规范，未严格按照会计制度的规定核算和管理固定资产，实行定期盘点制度；往来清理不及时。</w:t>
      </w:r>
    </w:p>
    <w:p w:rsidR="00F13E3A" w:rsidRDefault="005A2213">
      <w:pPr>
        <w:spacing w:line="600" w:lineRule="exact"/>
        <w:ind w:firstLine="630"/>
        <w:rPr>
          <w:rFonts w:ascii="黑体" w:eastAsia="黑体"/>
          <w:sz w:val="32"/>
          <w:szCs w:val="32"/>
        </w:rPr>
      </w:pPr>
      <w:r>
        <w:rPr>
          <w:rFonts w:ascii="黑体" w:eastAsia="黑体"/>
          <w:sz w:val="32"/>
          <w:szCs w:val="32"/>
        </w:rPr>
        <w:t>六、改进措施和有关建议</w:t>
      </w:r>
    </w:p>
    <w:p w:rsidR="00F13E3A" w:rsidRDefault="005A2213">
      <w:pPr>
        <w:spacing w:line="600" w:lineRule="exact"/>
        <w:ind w:firstLine="630"/>
        <w:rPr>
          <w:rFonts w:eastAsia="仿宋_GB2312"/>
          <w:b/>
          <w:sz w:val="32"/>
          <w:szCs w:val="32"/>
        </w:rPr>
      </w:pPr>
      <w:r>
        <w:rPr>
          <w:rFonts w:eastAsia="仿宋_GB2312"/>
          <w:b/>
          <w:sz w:val="32"/>
          <w:szCs w:val="32"/>
        </w:rPr>
        <w:t>(</w:t>
      </w:r>
      <w:r>
        <w:rPr>
          <w:rFonts w:eastAsia="仿宋_GB2312"/>
          <w:b/>
          <w:sz w:val="32"/>
          <w:szCs w:val="32"/>
        </w:rPr>
        <w:t>一</w:t>
      </w:r>
      <w:r>
        <w:rPr>
          <w:rFonts w:eastAsia="仿宋_GB2312"/>
          <w:b/>
          <w:sz w:val="32"/>
          <w:szCs w:val="32"/>
        </w:rPr>
        <w:t>)</w:t>
      </w:r>
      <w:r>
        <w:rPr>
          <w:rFonts w:eastAsia="仿宋_GB2312"/>
          <w:b/>
          <w:sz w:val="32"/>
          <w:szCs w:val="32"/>
        </w:rPr>
        <w:t>科学合理编制预算，严格执行预算</w:t>
      </w:r>
    </w:p>
    <w:p w:rsidR="00F13E3A" w:rsidRDefault="005A2213">
      <w:pPr>
        <w:spacing w:line="600" w:lineRule="exact"/>
        <w:ind w:firstLine="640"/>
        <w:rPr>
          <w:rFonts w:eastAsia="仿宋_GB2312"/>
          <w:sz w:val="32"/>
          <w:szCs w:val="32"/>
        </w:rPr>
      </w:pPr>
      <w:r>
        <w:rPr>
          <w:rFonts w:eastAsia="仿宋_GB2312"/>
          <w:sz w:val="32"/>
          <w:szCs w:val="32"/>
        </w:rPr>
        <w:t>按照新《预算法》及其实施条例的相关规定，按本部门的发展规划，结合上一年度预算执行情况和本年度预算收支变化因素，科学合理的编制；本年预算方案，避免预算支出与实际执行出现较大偏差情况。</w:t>
      </w:r>
    </w:p>
    <w:p w:rsidR="00F13E3A" w:rsidRDefault="005A2213">
      <w:pPr>
        <w:spacing w:line="600" w:lineRule="exact"/>
        <w:ind w:firstLine="630"/>
        <w:rPr>
          <w:rFonts w:eastAsia="仿宋_GB2312"/>
          <w:b/>
          <w:sz w:val="32"/>
          <w:szCs w:val="32"/>
        </w:rPr>
      </w:pPr>
      <w:r>
        <w:rPr>
          <w:rFonts w:eastAsia="仿宋_GB2312"/>
          <w:b/>
          <w:sz w:val="32"/>
          <w:szCs w:val="32"/>
        </w:rPr>
        <w:t>(</w:t>
      </w:r>
      <w:r>
        <w:rPr>
          <w:rFonts w:eastAsia="仿宋_GB2312"/>
          <w:b/>
          <w:sz w:val="32"/>
          <w:szCs w:val="32"/>
        </w:rPr>
        <w:t>二</w:t>
      </w:r>
      <w:r>
        <w:rPr>
          <w:rFonts w:eastAsia="仿宋_GB2312"/>
          <w:b/>
          <w:sz w:val="32"/>
          <w:szCs w:val="32"/>
        </w:rPr>
        <w:t>)</w:t>
      </w:r>
      <w:r>
        <w:rPr>
          <w:rFonts w:eastAsia="仿宋_GB2312"/>
          <w:b/>
          <w:sz w:val="32"/>
          <w:szCs w:val="32"/>
        </w:rPr>
        <w:t>规范账务处理，提高财务信息质量</w:t>
      </w:r>
    </w:p>
    <w:p w:rsidR="00F13E3A" w:rsidRDefault="005A2213">
      <w:pPr>
        <w:spacing w:line="600" w:lineRule="exact"/>
        <w:ind w:firstLine="640"/>
        <w:rPr>
          <w:rFonts w:eastAsia="仿宋_GB2312"/>
          <w:sz w:val="32"/>
          <w:szCs w:val="32"/>
        </w:rPr>
      </w:pPr>
      <w:r>
        <w:rPr>
          <w:rFonts w:eastAsia="仿宋_GB2312"/>
          <w:sz w:val="32"/>
          <w:szCs w:val="32"/>
        </w:rPr>
        <w:t>严格按照《会计法》、《事业单位会计制度》、《事业单位财务规则》等规定执行财务核算，并结合实际情况，完整、准确地披露相关信息，尽可能地做到决算与预算相衔接。</w:t>
      </w:r>
    </w:p>
    <w:p w:rsidR="00F13E3A" w:rsidRDefault="005A2213">
      <w:pPr>
        <w:spacing w:line="600" w:lineRule="exact"/>
        <w:ind w:firstLine="630"/>
        <w:rPr>
          <w:rFonts w:eastAsia="仿宋_GB2312"/>
          <w:b/>
          <w:sz w:val="32"/>
          <w:szCs w:val="32"/>
        </w:rPr>
      </w:pPr>
      <w:r>
        <w:rPr>
          <w:rFonts w:eastAsia="仿宋_GB2312"/>
          <w:b/>
          <w:sz w:val="32"/>
          <w:szCs w:val="32"/>
        </w:rPr>
        <w:t>(</w:t>
      </w:r>
      <w:r>
        <w:rPr>
          <w:rFonts w:eastAsia="仿宋_GB2312"/>
          <w:b/>
          <w:sz w:val="32"/>
          <w:szCs w:val="32"/>
        </w:rPr>
        <w:t>三</w:t>
      </w:r>
      <w:r>
        <w:rPr>
          <w:rFonts w:eastAsia="仿宋_GB2312"/>
          <w:b/>
          <w:sz w:val="32"/>
          <w:szCs w:val="32"/>
        </w:rPr>
        <w:t>)</w:t>
      </w:r>
      <w:r>
        <w:rPr>
          <w:rFonts w:eastAsia="仿宋_GB2312"/>
          <w:b/>
          <w:sz w:val="32"/>
          <w:szCs w:val="32"/>
        </w:rPr>
        <w:t>完善管理制度，进一步加强资产管理</w:t>
      </w:r>
    </w:p>
    <w:p w:rsidR="00F13E3A" w:rsidRDefault="005A2213">
      <w:pPr>
        <w:spacing w:line="600" w:lineRule="exact"/>
        <w:ind w:firstLine="640"/>
        <w:rPr>
          <w:rFonts w:eastAsia="仿宋_GB2312"/>
          <w:sz w:val="32"/>
          <w:szCs w:val="32"/>
        </w:rPr>
      </w:pPr>
      <w:r>
        <w:rPr>
          <w:rFonts w:eastAsia="仿宋_GB2312"/>
          <w:sz w:val="32"/>
          <w:szCs w:val="32"/>
        </w:rPr>
        <w:t>进一步贯彻落实中央</w:t>
      </w:r>
      <w:r>
        <w:rPr>
          <w:rFonts w:eastAsia="仿宋_GB2312"/>
          <w:sz w:val="32"/>
          <w:szCs w:val="32"/>
        </w:rPr>
        <w:t>“</w:t>
      </w:r>
      <w:r>
        <w:rPr>
          <w:rFonts w:eastAsia="仿宋_GB2312"/>
          <w:sz w:val="32"/>
          <w:szCs w:val="32"/>
        </w:rPr>
        <w:t>八项规定</w:t>
      </w:r>
      <w:r>
        <w:rPr>
          <w:rFonts w:eastAsia="仿宋_GB2312"/>
          <w:sz w:val="32"/>
          <w:szCs w:val="32"/>
        </w:rPr>
        <w:t>”</w:t>
      </w:r>
      <w:r>
        <w:rPr>
          <w:rFonts w:eastAsia="仿宋_GB2312"/>
          <w:sz w:val="32"/>
          <w:szCs w:val="32"/>
        </w:rPr>
        <w:t>和湖南省委</w:t>
      </w:r>
      <w:r>
        <w:rPr>
          <w:rFonts w:eastAsia="仿宋_GB2312"/>
          <w:sz w:val="32"/>
          <w:szCs w:val="32"/>
        </w:rPr>
        <w:t>“</w:t>
      </w:r>
      <w:r>
        <w:rPr>
          <w:rFonts w:eastAsia="仿宋_GB2312"/>
          <w:sz w:val="32"/>
          <w:szCs w:val="32"/>
        </w:rPr>
        <w:t>九条规定</w:t>
      </w:r>
      <w:r>
        <w:rPr>
          <w:rFonts w:eastAsia="仿宋_GB2312"/>
          <w:sz w:val="32"/>
          <w:szCs w:val="32"/>
        </w:rPr>
        <w:t>”</w:t>
      </w:r>
      <w:r>
        <w:rPr>
          <w:rFonts w:eastAsia="仿宋_GB2312"/>
          <w:sz w:val="32"/>
          <w:szCs w:val="32"/>
        </w:rPr>
        <w:t>，建立本单位</w:t>
      </w:r>
      <w:r>
        <w:rPr>
          <w:rFonts w:eastAsia="仿宋_GB2312"/>
          <w:sz w:val="32"/>
          <w:szCs w:val="32"/>
        </w:rPr>
        <w:t>“</w:t>
      </w:r>
      <w:r>
        <w:rPr>
          <w:rFonts w:eastAsia="仿宋_GB2312"/>
          <w:sz w:val="32"/>
          <w:szCs w:val="32"/>
        </w:rPr>
        <w:t>三公经费</w:t>
      </w:r>
      <w:r>
        <w:rPr>
          <w:rFonts w:eastAsia="仿宋_GB2312"/>
          <w:sz w:val="32"/>
          <w:szCs w:val="32"/>
        </w:rPr>
        <w:t>”</w:t>
      </w:r>
      <w:r>
        <w:rPr>
          <w:rFonts w:eastAsia="仿宋_GB2312"/>
          <w:sz w:val="32"/>
          <w:szCs w:val="32"/>
        </w:rPr>
        <w:t>等公务支出管理制度及厉行节约制度，加强经费审批和控制，规范支出标准和范围并严格执行。</w:t>
      </w:r>
    </w:p>
    <w:p w:rsidR="00F13E3A" w:rsidRDefault="005A2213">
      <w:pPr>
        <w:spacing w:line="600" w:lineRule="exact"/>
        <w:ind w:firstLine="640"/>
        <w:rPr>
          <w:rFonts w:eastAsia="仿宋_GB2312"/>
          <w:sz w:val="32"/>
          <w:szCs w:val="32"/>
        </w:rPr>
      </w:pPr>
      <w:r>
        <w:rPr>
          <w:rFonts w:eastAsia="仿宋_GB2312"/>
          <w:sz w:val="32"/>
          <w:szCs w:val="32"/>
        </w:rPr>
        <w:t>严格按照《固定资产管理办法》的规定加强固定资产管理，及时登记、加强资产卡片管理，年终前对各类实物资产进行全面盘点，确</w:t>
      </w:r>
      <w:r>
        <w:rPr>
          <w:rFonts w:eastAsia="仿宋_GB2312"/>
          <w:sz w:val="32"/>
          <w:szCs w:val="32"/>
        </w:rPr>
        <w:lastRenderedPageBreak/>
        <w:t>保账账、账实相符。</w:t>
      </w:r>
    </w:p>
    <w:p w:rsidR="00F13E3A" w:rsidRDefault="005A2213">
      <w:pPr>
        <w:spacing w:line="600" w:lineRule="exact"/>
        <w:ind w:firstLine="630"/>
        <w:rPr>
          <w:rFonts w:eastAsia="仿宋_GB2312"/>
          <w:b/>
          <w:sz w:val="32"/>
          <w:szCs w:val="32"/>
        </w:rPr>
      </w:pPr>
      <w:r>
        <w:rPr>
          <w:rFonts w:eastAsia="仿宋_GB2312"/>
          <w:b/>
          <w:sz w:val="32"/>
          <w:szCs w:val="32"/>
        </w:rPr>
        <w:t>(</w:t>
      </w:r>
      <w:r>
        <w:rPr>
          <w:rFonts w:eastAsia="仿宋_GB2312"/>
          <w:b/>
          <w:sz w:val="32"/>
          <w:szCs w:val="32"/>
        </w:rPr>
        <w:t>四</w:t>
      </w:r>
      <w:r>
        <w:rPr>
          <w:rFonts w:eastAsia="仿宋_GB2312"/>
          <w:b/>
          <w:sz w:val="32"/>
          <w:szCs w:val="32"/>
        </w:rPr>
        <w:t>)</w:t>
      </w:r>
      <w:r>
        <w:rPr>
          <w:rFonts w:eastAsia="仿宋_GB2312"/>
          <w:b/>
          <w:sz w:val="32"/>
          <w:szCs w:val="32"/>
        </w:rPr>
        <w:t>加强新会计制度和新预算法学习培训</w:t>
      </w:r>
    </w:p>
    <w:p w:rsidR="00F13E3A" w:rsidRDefault="005A2213">
      <w:pPr>
        <w:spacing w:line="600" w:lineRule="exact"/>
        <w:ind w:firstLine="640"/>
        <w:rPr>
          <w:rFonts w:eastAsia="仿宋_GB2312"/>
          <w:sz w:val="32"/>
          <w:szCs w:val="32"/>
        </w:rPr>
      </w:pPr>
      <w:r>
        <w:rPr>
          <w:rFonts w:eastAsia="仿宋_GB2312"/>
          <w:sz w:val="32"/>
          <w:szCs w:val="32"/>
        </w:rPr>
        <w:t>加强新《预算法》和《事业单位会计制度》等学习培训，进一步规范部门预算收支核算，制定和完善基本支出等各项支出标准，严格按照标准和进度执行预算，增强预算的约束力和严肃性：落实预算执行分析，及时了解并合理调整、纠正预算执行偏差，切实提高部门预算管理力度和水平。</w:t>
      </w:r>
    </w:p>
    <w:p w:rsidR="00F13E3A" w:rsidRDefault="005A2213">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三、存在的主要问题、改进措施和有关建议</w:t>
      </w:r>
    </w:p>
    <w:p w:rsidR="00F13E3A" w:rsidRDefault="005A221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1、存在的问题</w:t>
      </w:r>
    </w:p>
    <w:p w:rsidR="00F13E3A" w:rsidRDefault="005A221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（一）预算编制工作有待细化。预算编制不够明确和细化，预算编制的合理性需要提高。预算执行力度还要进一步加强。</w:t>
      </w:r>
    </w:p>
    <w:p w:rsidR="00F13E3A" w:rsidRDefault="005A221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（二）财政工作水平有待提高。财政工作按部就班，缺乏创新，在精度和深度上欠缺，还需要进一步完善，尤其是在政府采购、固定资产管理方面还需要进一步严格。</w:t>
      </w:r>
    </w:p>
    <w:p w:rsidR="00F13E3A" w:rsidRDefault="005A221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2、改进措施和有关建议</w:t>
      </w:r>
    </w:p>
    <w:p w:rsidR="00F13E3A" w:rsidRDefault="005A221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（一）科学合理编制预算，严格执行预算</w:t>
      </w:r>
    </w:p>
    <w:p w:rsidR="00F13E3A" w:rsidRDefault="005A221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rsidR="00F13E3A" w:rsidRDefault="005A221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（二）完善管理制度，进一步加强资产管理</w:t>
      </w:r>
    </w:p>
    <w:p w:rsidR="00F13E3A" w:rsidRDefault="005A221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进一步贯彻落实中央“八项规定”和湖南省委“九条规定”，建立本部门“三公经费”等公务支出管理制度及厉行节约制度，加强经费审批和控制，规范支出标准与范围，并严格执行。严格按照《固定</w:t>
      </w:r>
      <w:r>
        <w:rPr>
          <w:rFonts w:ascii="仿宋_GB2312" w:eastAsia="仿宋_GB2312" w:hAnsi="仿宋_GB2312" w:cs="仿宋_GB2312" w:hint="eastAsia"/>
          <w:color w:val="000000"/>
          <w:sz w:val="32"/>
          <w:szCs w:val="32"/>
        </w:rPr>
        <w:lastRenderedPageBreak/>
        <w:t>资产管理办法》的规定加强固定资产管理，及时登记、更新台账，加强资产卡片管理，年终前对各类实物资产进行全面盘点，确保账账、账实相符。严格编制政府采购年初预算和计划，规范各类资产的购置审批制度、资产出租出借和收入管理制度、资产采购制度、使用管理制度、资产处置和报废审批制度、资产管理岗位职责制度等，加强单位内部的资产管理工作。</w:t>
      </w:r>
    </w:p>
    <w:p w:rsidR="00F13E3A" w:rsidRDefault="005A221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（三）抓好“三公”经费控制。严格控制“三公”经费的规模和比例，把关“三公”经费支出的审核、审批，杜绝挪用和挤占其他预算资金行为；进一步细化“三公”经费的管理，合理压缩“三公”经费支出。</w:t>
      </w:r>
    </w:p>
    <w:p w:rsidR="00F13E3A" w:rsidRDefault="00F13E3A">
      <w:pPr>
        <w:spacing w:line="560" w:lineRule="exact"/>
        <w:ind w:firstLineChars="200" w:firstLine="640"/>
        <w:rPr>
          <w:rFonts w:ascii="仿宋_GB2312" w:eastAsia="仿宋_GB2312" w:hAnsi="仿宋_GB2312" w:cs="仿宋_GB2312"/>
          <w:color w:val="000000"/>
          <w:sz w:val="32"/>
          <w:szCs w:val="32"/>
        </w:rPr>
      </w:pPr>
    </w:p>
    <w:p w:rsidR="00F13E3A" w:rsidRDefault="00F13E3A">
      <w:pPr>
        <w:widowControl/>
        <w:jc w:val="left"/>
        <w:textAlignment w:val="center"/>
        <w:rPr>
          <w:rFonts w:ascii="仿宋_GB2312" w:eastAsia="仿宋_GB2312" w:hAnsi="宋体" w:cs="仿宋_GB2312"/>
          <w:color w:val="000000"/>
          <w:kern w:val="0"/>
          <w:sz w:val="30"/>
          <w:szCs w:val="30"/>
        </w:rPr>
      </w:pPr>
    </w:p>
    <w:p w:rsidR="00F13E3A" w:rsidRDefault="005A2213">
      <w:pPr>
        <w:widowControl/>
        <w:jc w:val="left"/>
        <w:textAlignment w:val="center"/>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 xml:space="preserve">                        芷江侗族自治县商务科技和工业信息化局</w:t>
      </w:r>
    </w:p>
    <w:p w:rsidR="00F13E3A" w:rsidRDefault="005A2213">
      <w:pPr>
        <w:widowControl/>
        <w:jc w:val="left"/>
        <w:textAlignment w:val="center"/>
        <w:rPr>
          <w:rFonts w:ascii="仿宋_GB2312" w:eastAsia="仿宋_GB2312" w:hAnsi="宋体" w:cs="仿宋_GB2312"/>
          <w:color w:val="000000"/>
          <w:kern w:val="0"/>
          <w:sz w:val="30"/>
          <w:szCs w:val="30"/>
        </w:rPr>
      </w:pPr>
      <w:r>
        <w:rPr>
          <w:rFonts w:ascii="仿宋_GB2312" w:eastAsia="仿宋_GB2312" w:hAnsi="宋体" w:cs="仿宋_GB2312" w:hint="eastAsia"/>
          <w:color w:val="000000"/>
          <w:kern w:val="0"/>
          <w:sz w:val="30"/>
          <w:szCs w:val="30"/>
        </w:rPr>
        <w:t xml:space="preserve">                              二○二一年七月十八日</w:t>
      </w:r>
    </w:p>
    <w:p w:rsidR="00F13E3A" w:rsidRDefault="00F13E3A">
      <w:pPr>
        <w:widowControl/>
        <w:jc w:val="left"/>
        <w:textAlignment w:val="center"/>
        <w:rPr>
          <w:rFonts w:ascii="仿宋_GB2312" w:eastAsia="仿宋_GB2312" w:hAnsi="宋体" w:cs="仿宋_GB2312"/>
          <w:color w:val="000000"/>
          <w:kern w:val="0"/>
          <w:sz w:val="30"/>
          <w:szCs w:val="30"/>
        </w:rPr>
      </w:pPr>
    </w:p>
    <w:p w:rsidR="00F13E3A" w:rsidRDefault="00F13E3A">
      <w:pPr>
        <w:widowControl/>
        <w:jc w:val="left"/>
        <w:textAlignment w:val="center"/>
        <w:rPr>
          <w:rFonts w:ascii="仿宋_GB2312" w:eastAsia="仿宋_GB2312" w:hAnsi="宋体" w:cs="仿宋_GB2312"/>
          <w:color w:val="000000"/>
          <w:kern w:val="0"/>
          <w:sz w:val="30"/>
          <w:szCs w:val="30"/>
        </w:rPr>
      </w:pPr>
    </w:p>
    <w:p w:rsidR="00F13E3A" w:rsidRDefault="00F13E3A">
      <w:pPr>
        <w:widowControl/>
        <w:jc w:val="left"/>
        <w:textAlignment w:val="center"/>
        <w:rPr>
          <w:rFonts w:ascii="仿宋_GB2312" w:eastAsia="仿宋_GB2312" w:hAnsi="宋体" w:cs="仿宋_GB2312"/>
          <w:color w:val="000000"/>
          <w:kern w:val="0"/>
          <w:sz w:val="30"/>
          <w:szCs w:val="30"/>
        </w:rPr>
      </w:pPr>
    </w:p>
    <w:p w:rsidR="00F13E3A" w:rsidRDefault="00F13E3A">
      <w:pPr>
        <w:widowControl/>
        <w:jc w:val="left"/>
        <w:textAlignment w:val="center"/>
        <w:rPr>
          <w:rFonts w:ascii="仿宋_GB2312" w:eastAsia="仿宋_GB2312" w:hAnsi="宋体" w:cs="仿宋_GB2312"/>
          <w:color w:val="000000"/>
          <w:kern w:val="0"/>
          <w:sz w:val="30"/>
          <w:szCs w:val="30"/>
        </w:rPr>
      </w:pPr>
      <w:bookmarkStart w:id="0" w:name="_GoBack"/>
      <w:bookmarkEnd w:id="0"/>
    </w:p>
    <w:p w:rsidR="00F13E3A" w:rsidRDefault="00F13E3A">
      <w:pPr>
        <w:widowControl/>
        <w:jc w:val="left"/>
        <w:textAlignment w:val="center"/>
        <w:rPr>
          <w:rFonts w:ascii="仿宋_GB2312" w:eastAsia="仿宋_GB2312" w:hAnsi="宋体" w:cs="仿宋_GB2312"/>
          <w:color w:val="000000"/>
          <w:kern w:val="0"/>
          <w:sz w:val="30"/>
          <w:szCs w:val="30"/>
        </w:rPr>
      </w:pPr>
    </w:p>
    <w:p w:rsidR="00F13E3A" w:rsidRDefault="00F13E3A">
      <w:pPr>
        <w:widowControl/>
        <w:jc w:val="left"/>
        <w:textAlignment w:val="center"/>
        <w:rPr>
          <w:rFonts w:ascii="仿宋_GB2312" w:eastAsia="仿宋_GB2312" w:hAnsi="宋体" w:cs="仿宋_GB2312"/>
          <w:color w:val="000000"/>
          <w:kern w:val="0"/>
          <w:sz w:val="30"/>
          <w:szCs w:val="30"/>
        </w:rPr>
      </w:pPr>
    </w:p>
    <w:p w:rsidR="00F13E3A" w:rsidRDefault="00F13E3A">
      <w:pPr>
        <w:spacing w:line="600" w:lineRule="exact"/>
        <w:rPr>
          <w:rFonts w:ascii="仿宋" w:eastAsia="仿宋" w:hAnsi="仿宋" w:cs="Times New Roman"/>
          <w:sz w:val="32"/>
          <w:szCs w:val="32"/>
        </w:rPr>
      </w:pPr>
    </w:p>
    <w:p w:rsidR="00F13E3A" w:rsidRDefault="00F13E3A" w:rsidP="000A4D53">
      <w:pPr>
        <w:pStyle w:val="2"/>
        <w:ind w:firstLine="640"/>
        <w:rPr>
          <w:rFonts w:ascii="仿宋" w:eastAsia="仿宋" w:hAnsi="仿宋" w:cs="Times New Roman"/>
          <w:sz w:val="32"/>
          <w:szCs w:val="32"/>
        </w:rPr>
      </w:pPr>
    </w:p>
    <w:p w:rsidR="00F13E3A" w:rsidRDefault="00F13E3A" w:rsidP="000A4D53">
      <w:pPr>
        <w:pStyle w:val="2"/>
        <w:ind w:firstLine="640"/>
        <w:rPr>
          <w:rFonts w:ascii="仿宋" w:eastAsia="仿宋" w:hAnsi="仿宋" w:cs="Times New Roman"/>
          <w:sz w:val="32"/>
          <w:szCs w:val="32"/>
        </w:rPr>
      </w:pPr>
    </w:p>
    <w:p w:rsidR="00F13E3A" w:rsidRDefault="00F13E3A" w:rsidP="000A4D53">
      <w:pPr>
        <w:pStyle w:val="2"/>
        <w:ind w:firstLine="640"/>
        <w:rPr>
          <w:rFonts w:ascii="仿宋" w:eastAsia="仿宋" w:hAnsi="仿宋" w:cs="Times New Roman"/>
          <w:sz w:val="32"/>
          <w:szCs w:val="32"/>
        </w:rPr>
      </w:pPr>
    </w:p>
    <w:tbl>
      <w:tblPr>
        <w:tblW w:w="10005" w:type="dxa"/>
        <w:tblLayout w:type="fixed"/>
        <w:tblCellMar>
          <w:top w:w="15" w:type="dxa"/>
          <w:left w:w="15" w:type="dxa"/>
          <w:bottom w:w="15" w:type="dxa"/>
          <w:right w:w="15" w:type="dxa"/>
        </w:tblCellMar>
        <w:tblLook w:val="04A0"/>
      </w:tblPr>
      <w:tblGrid>
        <w:gridCol w:w="585"/>
        <w:gridCol w:w="465"/>
        <w:gridCol w:w="1080"/>
        <w:gridCol w:w="675"/>
        <w:gridCol w:w="1080"/>
        <w:gridCol w:w="735"/>
        <w:gridCol w:w="2295"/>
        <w:gridCol w:w="2355"/>
        <w:gridCol w:w="735"/>
      </w:tblGrid>
      <w:tr w:rsidR="00F13E3A">
        <w:trPr>
          <w:trHeight w:val="286"/>
        </w:trPr>
        <w:tc>
          <w:tcPr>
            <w:tcW w:w="2130" w:type="dxa"/>
            <w:gridSpan w:val="3"/>
            <w:shd w:val="clear" w:color="auto" w:fill="auto"/>
            <w:vAlign w:val="center"/>
          </w:tcPr>
          <w:p w:rsidR="00D56AF1" w:rsidRDefault="00D56AF1">
            <w:pPr>
              <w:widowControl/>
              <w:jc w:val="left"/>
              <w:textAlignment w:val="center"/>
              <w:rPr>
                <w:rFonts w:ascii="黑体" w:eastAsia="黑体" w:hAnsi="宋体" w:cs="黑体" w:hint="eastAsia"/>
                <w:color w:val="000000"/>
                <w:kern w:val="0"/>
                <w:sz w:val="24"/>
              </w:rPr>
            </w:pPr>
          </w:p>
          <w:p w:rsidR="00F13E3A" w:rsidRDefault="005A2213">
            <w:pPr>
              <w:widowControl/>
              <w:jc w:val="left"/>
              <w:textAlignment w:val="center"/>
              <w:rPr>
                <w:rFonts w:ascii="黑体" w:eastAsia="黑体" w:hAnsi="宋体" w:cs="黑体"/>
                <w:color w:val="000000"/>
                <w:sz w:val="24"/>
              </w:rPr>
            </w:pPr>
            <w:r>
              <w:rPr>
                <w:rFonts w:ascii="黑体" w:eastAsia="黑体" w:hAnsi="宋体" w:cs="黑体" w:hint="eastAsia"/>
                <w:color w:val="000000"/>
                <w:kern w:val="0"/>
                <w:sz w:val="24"/>
              </w:rPr>
              <w:lastRenderedPageBreak/>
              <w:t>附件1</w:t>
            </w:r>
          </w:p>
        </w:tc>
        <w:tc>
          <w:tcPr>
            <w:tcW w:w="675" w:type="dxa"/>
            <w:shd w:val="clear" w:color="auto" w:fill="auto"/>
            <w:vAlign w:val="center"/>
          </w:tcPr>
          <w:p w:rsidR="00F13E3A" w:rsidRDefault="00F13E3A">
            <w:pPr>
              <w:rPr>
                <w:rFonts w:ascii="宋体" w:eastAsia="宋体" w:hAnsi="宋体" w:cs="宋体"/>
                <w:color w:val="000000"/>
                <w:sz w:val="24"/>
              </w:rPr>
            </w:pPr>
          </w:p>
        </w:tc>
        <w:tc>
          <w:tcPr>
            <w:tcW w:w="1080" w:type="dxa"/>
            <w:shd w:val="clear" w:color="auto" w:fill="auto"/>
            <w:vAlign w:val="center"/>
          </w:tcPr>
          <w:p w:rsidR="00F13E3A" w:rsidRDefault="00F13E3A">
            <w:pPr>
              <w:rPr>
                <w:rFonts w:ascii="宋体" w:eastAsia="宋体" w:hAnsi="宋体" w:cs="宋体"/>
                <w:color w:val="000000"/>
                <w:sz w:val="24"/>
              </w:rPr>
            </w:pPr>
          </w:p>
        </w:tc>
        <w:tc>
          <w:tcPr>
            <w:tcW w:w="735" w:type="dxa"/>
            <w:shd w:val="clear" w:color="auto" w:fill="auto"/>
            <w:vAlign w:val="center"/>
          </w:tcPr>
          <w:p w:rsidR="00F13E3A" w:rsidRDefault="00F13E3A">
            <w:pPr>
              <w:rPr>
                <w:rFonts w:ascii="宋体" w:eastAsia="宋体" w:hAnsi="宋体" w:cs="宋体"/>
                <w:color w:val="000000"/>
                <w:sz w:val="24"/>
              </w:rPr>
            </w:pPr>
          </w:p>
        </w:tc>
        <w:tc>
          <w:tcPr>
            <w:tcW w:w="2295" w:type="dxa"/>
            <w:shd w:val="clear" w:color="auto" w:fill="auto"/>
            <w:vAlign w:val="center"/>
          </w:tcPr>
          <w:p w:rsidR="00F13E3A" w:rsidRDefault="00F13E3A">
            <w:pPr>
              <w:rPr>
                <w:rFonts w:ascii="宋体" w:eastAsia="宋体" w:hAnsi="宋体" w:cs="宋体"/>
                <w:color w:val="000000"/>
                <w:sz w:val="24"/>
              </w:rPr>
            </w:pPr>
          </w:p>
        </w:tc>
        <w:tc>
          <w:tcPr>
            <w:tcW w:w="2355" w:type="dxa"/>
            <w:shd w:val="clear" w:color="auto" w:fill="auto"/>
            <w:vAlign w:val="center"/>
          </w:tcPr>
          <w:p w:rsidR="00F13E3A" w:rsidRDefault="00F13E3A">
            <w:pPr>
              <w:rPr>
                <w:rFonts w:ascii="宋体" w:eastAsia="宋体" w:hAnsi="宋体" w:cs="宋体"/>
                <w:color w:val="000000"/>
                <w:sz w:val="24"/>
              </w:rPr>
            </w:pPr>
          </w:p>
        </w:tc>
        <w:tc>
          <w:tcPr>
            <w:tcW w:w="735" w:type="dxa"/>
            <w:shd w:val="clear" w:color="auto" w:fill="auto"/>
            <w:vAlign w:val="center"/>
          </w:tcPr>
          <w:p w:rsidR="00F13E3A" w:rsidRDefault="00F13E3A">
            <w:pPr>
              <w:rPr>
                <w:rFonts w:ascii="宋体" w:eastAsia="宋体" w:hAnsi="宋体" w:cs="宋体"/>
                <w:color w:val="000000"/>
                <w:sz w:val="24"/>
              </w:rPr>
            </w:pPr>
          </w:p>
        </w:tc>
      </w:tr>
      <w:tr w:rsidR="00F13E3A">
        <w:trPr>
          <w:trHeight w:val="450"/>
        </w:trPr>
        <w:tc>
          <w:tcPr>
            <w:tcW w:w="10005" w:type="dxa"/>
            <w:gridSpan w:val="9"/>
            <w:shd w:val="clear" w:color="auto" w:fill="auto"/>
            <w:vAlign w:val="center"/>
          </w:tcPr>
          <w:p w:rsidR="00F13E3A" w:rsidRDefault="005A2213">
            <w:pPr>
              <w:widowControl/>
              <w:jc w:val="center"/>
              <w:textAlignment w:val="center"/>
              <w:rPr>
                <w:rFonts w:ascii="方正小标宋_GBK" w:eastAsia="方正小标宋_GBK" w:hAnsi="方正小标宋_GBK" w:cs="方正小标宋_GBK"/>
                <w:b/>
                <w:color w:val="000000"/>
                <w:sz w:val="36"/>
                <w:szCs w:val="36"/>
              </w:rPr>
            </w:pPr>
            <w:r>
              <w:rPr>
                <w:rFonts w:ascii="方正小标宋_GBK" w:eastAsia="方正小标宋_GBK" w:hAnsi="方正小标宋_GBK" w:cs="方正小标宋_GBK"/>
                <w:b/>
                <w:color w:val="000000"/>
                <w:kern w:val="0"/>
                <w:sz w:val="36"/>
                <w:szCs w:val="36"/>
              </w:rPr>
              <w:lastRenderedPageBreak/>
              <w:t>部门整体支出绩效评价指标表</w:t>
            </w:r>
          </w:p>
        </w:tc>
      </w:tr>
      <w:tr w:rsidR="00F13E3A">
        <w:trPr>
          <w:trHeight w:val="285"/>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一级指标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分值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二级指标</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分值</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三级</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分值</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评价标准</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指标说明</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得分</w:t>
            </w:r>
          </w:p>
        </w:tc>
      </w:tr>
      <w:tr w:rsidR="00F13E3A">
        <w:trPr>
          <w:trHeight w:val="28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指标</w:t>
            </w: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r>
      <w:tr w:rsidR="00F13E3A">
        <w:trPr>
          <w:trHeight w:val="93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投入</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预算配置</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在职人员控制率</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w:t>
            </w:r>
          </w:p>
        </w:tc>
        <w:tc>
          <w:tcPr>
            <w:tcW w:w="2295" w:type="dxa"/>
            <w:vMerge w:val="restart"/>
            <w:tcBorders>
              <w:top w:val="single" w:sz="4" w:space="0" w:color="000000"/>
              <w:left w:val="single" w:sz="4" w:space="0" w:color="000000"/>
              <w:bottom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以100%为标准。在职人员控制率</w:t>
            </w:r>
            <w:r>
              <w:rPr>
                <w:rStyle w:val="font21"/>
                <w:rFonts w:hint="default"/>
              </w:rPr>
              <w:t>≦</w:t>
            </w:r>
            <w:r>
              <w:rPr>
                <w:rStyle w:val="font41"/>
                <w:rFonts w:hAnsi="宋体"/>
              </w:rPr>
              <w:t>100%，计5分；每超过一个百分点扣0.5分，扣完为止。</w:t>
            </w:r>
          </w:p>
        </w:tc>
        <w:tc>
          <w:tcPr>
            <w:tcW w:w="2355" w:type="dxa"/>
            <w:tcBorders>
              <w:top w:val="single" w:sz="4" w:space="0" w:color="000000"/>
              <w:left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在职人员控制率=（在职人员数/编制数）</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100%，在职人员数：部门（单位）实际在职人数，以财政厅确定的部门决算编制口径为准。</w:t>
            </w:r>
          </w:p>
        </w:tc>
        <w:tc>
          <w:tcPr>
            <w:tcW w:w="735" w:type="dxa"/>
            <w:vMerge w:val="restart"/>
            <w:tcBorders>
              <w:top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w:t>
            </w:r>
          </w:p>
        </w:tc>
      </w:tr>
      <w:tr w:rsidR="00F13E3A">
        <w:trPr>
          <w:trHeight w:val="45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295" w:type="dxa"/>
            <w:vMerge/>
            <w:tcBorders>
              <w:top w:val="single" w:sz="4" w:space="0" w:color="000000"/>
              <w:left w:val="single" w:sz="4" w:space="0" w:color="000000"/>
              <w:bottom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2355" w:type="dxa"/>
            <w:tcBorders>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编制数：机构编制部门核定批复的部门（单位）的人员编制数。</w:t>
            </w:r>
          </w:p>
        </w:tc>
        <w:tc>
          <w:tcPr>
            <w:tcW w:w="735" w:type="dxa"/>
            <w:vMerge/>
            <w:tcBorders>
              <w:top w:val="single" w:sz="4" w:space="0" w:color="000000"/>
              <w:bottom w:val="single" w:sz="4" w:space="0" w:color="000000"/>
              <w:right w:val="single" w:sz="4" w:space="0" w:color="000000"/>
            </w:tcBorders>
            <w:shd w:val="clear" w:color="auto" w:fill="auto"/>
            <w:vAlign w:val="center"/>
          </w:tcPr>
          <w:p w:rsidR="00F13E3A" w:rsidRDefault="00F13E3A">
            <w:pPr>
              <w:jc w:val="left"/>
              <w:rPr>
                <w:rFonts w:ascii="宋体" w:eastAsia="宋体" w:hAnsi="宋体" w:cs="宋体"/>
                <w:color w:val="000000"/>
                <w:sz w:val="24"/>
              </w:rPr>
            </w:pPr>
          </w:p>
        </w:tc>
      </w:tr>
      <w:tr w:rsidR="00F13E3A">
        <w:trPr>
          <w:trHeight w:val="111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三公经费</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变动率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三公经费</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变动率</w:t>
            </w:r>
            <w:r>
              <w:rPr>
                <w:rStyle w:val="font21"/>
                <w:rFonts w:hint="default"/>
              </w:rPr>
              <w:t>≦</w:t>
            </w:r>
            <w:r>
              <w:rPr>
                <w:rStyle w:val="font41"/>
                <w:rFonts w:hAnsi="宋体"/>
              </w:rPr>
              <w:t>0,计8分；</w:t>
            </w:r>
            <w:r>
              <w:rPr>
                <w:rStyle w:val="font41"/>
                <w:rFonts w:hAnsi="宋体"/>
              </w:rPr>
              <w:t>“</w:t>
            </w:r>
            <w:r>
              <w:rPr>
                <w:rStyle w:val="font41"/>
                <w:rFonts w:hAnsi="宋体"/>
              </w:rPr>
              <w:t>三公经费</w:t>
            </w:r>
            <w:r>
              <w:rPr>
                <w:rStyle w:val="font41"/>
                <w:rFonts w:hAnsi="宋体"/>
              </w:rPr>
              <w:t>”</w:t>
            </w:r>
            <w:r>
              <w:rPr>
                <w:rStyle w:val="font41"/>
                <w:rFonts w:hAnsi="宋体"/>
              </w:rPr>
              <w:t>＞0，每超过一个百分点扣0.8分，扣完为止。</w:t>
            </w:r>
          </w:p>
        </w:tc>
        <w:tc>
          <w:tcPr>
            <w:tcW w:w="2355" w:type="dxa"/>
            <w:tcBorders>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三公经费</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变动率=[（本年度</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三公经费</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预算数-上年度</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三公经费</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预算数）/上年度</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三公经费</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预算数]</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w:t>
            </w:r>
          </w:p>
        </w:tc>
      </w:tr>
      <w:tr w:rsidR="00F13E3A">
        <w:trPr>
          <w:trHeight w:val="705"/>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过                                                                                                                                       程</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预算执行</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预算完成率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100%计满分，每低于5%扣2分，扣完为止。</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预算完成率=（上年结转+年初预算+本年追加预算-年末结余）/（上年结转+年初预算+本年追加预算）</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w:t>
            </w:r>
          </w:p>
        </w:tc>
      </w:tr>
      <w:tr w:rsidR="00F13E3A">
        <w:trPr>
          <w:trHeight w:val="106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预算控制率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预算控制率=0，计5分；0-10%（含），计4分；10-20%（含），计3分；20-30%（含），计2分；大于30%不得分。</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预算控制率=（本年追加预算/年初预算）</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w:t>
            </w:r>
          </w:p>
        </w:tc>
      </w:tr>
      <w:tr w:rsidR="00F13E3A">
        <w:trPr>
          <w:trHeight w:val="64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新建楼堂馆所面积控制率</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100%以下（含）计满分，每超出5%扣2分，扣完为止。没有楼堂馆所项目的部门按满分计算。</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楼堂馆所面积控制率=实际建设面积/批准建设面积</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100% 。</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w:t>
            </w:r>
          </w:p>
        </w:tc>
      </w:tr>
      <w:tr w:rsidR="00F13E3A">
        <w:trPr>
          <w:trHeight w:val="49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2355" w:type="dxa"/>
            <w:tcBorders>
              <w:top w:val="single" w:sz="4" w:space="0" w:color="000000"/>
              <w:left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该指标以20</w:t>
            </w:r>
            <w:r>
              <w:rPr>
                <w:rFonts w:ascii="仿宋_GB2312" w:eastAsia="仿宋_GB2312" w:hAnsi="宋体" w:cs="仿宋_GB2312" w:hint="eastAsia"/>
                <w:color w:val="000000"/>
                <w:kern w:val="0"/>
                <w:sz w:val="20"/>
                <w:szCs w:val="20"/>
              </w:rPr>
              <w:t>20</w:t>
            </w:r>
            <w:r>
              <w:rPr>
                <w:rFonts w:ascii="仿宋_GB2312" w:eastAsia="仿宋_GB2312" w:hAnsi="宋体" w:cs="仿宋_GB2312"/>
                <w:color w:val="000000"/>
                <w:kern w:val="0"/>
                <w:sz w:val="20"/>
                <w:szCs w:val="20"/>
              </w:rPr>
              <w:t>年完工的新建楼堂馆所为评价内容。</w:t>
            </w: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宋体" w:eastAsia="宋体" w:hAnsi="宋体" w:cs="宋体"/>
                <w:color w:val="000000"/>
                <w:sz w:val="24"/>
              </w:rPr>
            </w:pPr>
          </w:p>
        </w:tc>
      </w:tr>
      <w:tr w:rsidR="00F13E3A">
        <w:trPr>
          <w:trHeight w:val="46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新建楼堂馆所投资概算控制率</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w:t>
            </w:r>
          </w:p>
        </w:tc>
        <w:tc>
          <w:tcPr>
            <w:tcW w:w="2295" w:type="dxa"/>
            <w:vMerge w:val="restart"/>
            <w:tcBorders>
              <w:top w:val="single" w:sz="4" w:space="0" w:color="000000"/>
              <w:left w:val="single" w:sz="4" w:space="0" w:color="000000"/>
              <w:bottom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100%以下（含）计满分，每超出5%扣2分，扣完为止。</w:t>
            </w:r>
          </w:p>
        </w:tc>
        <w:tc>
          <w:tcPr>
            <w:tcW w:w="2355" w:type="dxa"/>
            <w:tcBorders>
              <w:top w:val="single" w:sz="4" w:space="0" w:color="000000"/>
              <w:left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楼堂馆所投资预算控制率=实际投资金额/批准投资金额</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100% 。</w:t>
            </w:r>
          </w:p>
        </w:tc>
        <w:tc>
          <w:tcPr>
            <w:tcW w:w="735" w:type="dxa"/>
            <w:vMerge w:val="restart"/>
            <w:tcBorders>
              <w:top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w:t>
            </w:r>
          </w:p>
        </w:tc>
      </w:tr>
      <w:tr w:rsidR="00F13E3A">
        <w:trPr>
          <w:trHeight w:val="42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295" w:type="dxa"/>
            <w:vMerge/>
            <w:tcBorders>
              <w:top w:val="single" w:sz="4" w:space="0" w:color="000000"/>
              <w:left w:val="single" w:sz="4" w:space="0" w:color="000000"/>
              <w:bottom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2355" w:type="dxa"/>
            <w:tcBorders>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该指标以20</w:t>
            </w:r>
            <w:r>
              <w:rPr>
                <w:rFonts w:ascii="仿宋_GB2312" w:eastAsia="仿宋_GB2312" w:hAnsi="宋体" w:cs="仿宋_GB2312" w:hint="eastAsia"/>
                <w:color w:val="000000"/>
                <w:kern w:val="0"/>
                <w:sz w:val="20"/>
                <w:szCs w:val="20"/>
              </w:rPr>
              <w:t>20</w:t>
            </w:r>
            <w:r>
              <w:rPr>
                <w:rFonts w:ascii="仿宋_GB2312" w:eastAsia="仿宋_GB2312" w:hAnsi="宋体" w:cs="仿宋_GB2312"/>
                <w:color w:val="000000"/>
                <w:kern w:val="0"/>
                <w:sz w:val="20"/>
                <w:szCs w:val="20"/>
              </w:rPr>
              <w:t>年完工的新建楼堂馆所为评价内容。</w:t>
            </w:r>
          </w:p>
        </w:tc>
        <w:tc>
          <w:tcPr>
            <w:tcW w:w="735" w:type="dxa"/>
            <w:vMerge/>
            <w:tcBorders>
              <w:top w:val="single" w:sz="4" w:space="0" w:color="000000"/>
              <w:bottom w:val="single" w:sz="4" w:space="0" w:color="000000"/>
              <w:right w:val="single" w:sz="4" w:space="0" w:color="000000"/>
            </w:tcBorders>
            <w:shd w:val="clear" w:color="auto" w:fill="auto"/>
            <w:vAlign w:val="center"/>
          </w:tcPr>
          <w:p w:rsidR="00F13E3A" w:rsidRDefault="00F13E3A">
            <w:pPr>
              <w:jc w:val="left"/>
              <w:rPr>
                <w:rFonts w:ascii="宋体" w:eastAsia="宋体" w:hAnsi="宋体" w:cs="宋体"/>
                <w:color w:val="000000"/>
                <w:sz w:val="24"/>
              </w:rPr>
            </w:pPr>
          </w:p>
        </w:tc>
      </w:tr>
      <w:tr w:rsidR="00F13E3A">
        <w:trPr>
          <w:trHeight w:val="72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预算管理</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41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公用经费控制率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100%以下（含）计满分，每超出1%扣1分，扣完为止。</w:t>
            </w:r>
          </w:p>
        </w:tc>
        <w:tc>
          <w:tcPr>
            <w:tcW w:w="2355" w:type="dxa"/>
            <w:tcBorders>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公用经费控制率=（实际支出公用经费总额/预算安排公用经费总额）</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w:t>
            </w:r>
          </w:p>
        </w:tc>
      </w:tr>
      <w:tr w:rsidR="00F13E3A">
        <w:trPr>
          <w:trHeight w:val="9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三公经费</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控制率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100%以下（含）计满分，每超出1%扣1分，扣完为止。</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三公经费</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控制率-（</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三公经费</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实际支出数/</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三公经费</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预算安排</w:t>
            </w:r>
            <w:r>
              <w:rPr>
                <w:rFonts w:ascii="仿宋_GB2312" w:eastAsia="仿宋_GB2312" w:hAnsi="宋体" w:cs="仿宋_GB2312"/>
                <w:color w:val="000000"/>
                <w:kern w:val="0"/>
                <w:sz w:val="20"/>
                <w:szCs w:val="20"/>
              </w:rPr>
              <w:lastRenderedPageBreak/>
              <w:t>数）</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8</w:t>
            </w:r>
          </w:p>
        </w:tc>
      </w:tr>
      <w:tr w:rsidR="00F13E3A">
        <w:trPr>
          <w:trHeight w:val="57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政府采购执行率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100%计满分，每超过（降低）5%扣2分。扣完为止。</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政府采购执行率=（实际政府采购金额/政府采购预算数）</w:t>
            </w:r>
            <w:r>
              <w:rPr>
                <w:rFonts w:ascii="仿宋_GB2312" w:eastAsia="仿宋_GB2312" w:hAnsi="宋体" w:cs="仿宋_GB2312"/>
                <w:color w:val="000000"/>
                <w:kern w:val="0"/>
                <w:sz w:val="20"/>
                <w:szCs w:val="20"/>
              </w:rPr>
              <w:t>×</w:t>
            </w:r>
            <w:r>
              <w:rPr>
                <w:rFonts w:ascii="仿宋_GB2312" w:eastAsia="仿宋_GB2312" w:hAnsi="宋体" w:cs="仿宋_GB2312"/>
                <w:color w:val="000000"/>
                <w:kern w:val="0"/>
                <w:sz w:val="20"/>
                <w:szCs w:val="20"/>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w:t>
            </w:r>
          </w:p>
        </w:tc>
      </w:tr>
      <w:tr w:rsidR="00F13E3A">
        <w:trPr>
          <w:trHeight w:val="78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过                                                                                                                                       程</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预算管理</w:t>
            </w: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管理制度健全性</w:t>
            </w:r>
          </w:p>
        </w:tc>
        <w:tc>
          <w:tcPr>
            <w:tcW w:w="735" w:type="dxa"/>
            <w:vMerge w:val="restart"/>
            <w:tcBorders>
              <w:top w:val="single" w:sz="4" w:space="0" w:color="000000"/>
              <w:left w:val="single" w:sz="4" w:space="0" w:color="000000"/>
              <w:bottom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8</w:t>
            </w:r>
          </w:p>
        </w:tc>
        <w:tc>
          <w:tcPr>
            <w:tcW w:w="2295" w:type="dxa"/>
            <w:tcBorders>
              <w:top w:val="single" w:sz="4" w:space="0" w:color="000000"/>
              <w:left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①</w:t>
            </w:r>
            <w:r>
              <w:rPr>
                <w:rFonts w:ascii="仿宋_GB2312" w:eastAsia="仿宋_GB2312" w:hAnsi="宋体" w:cs="仿宋_GB2312"/>
                <w:color w:val="000000"/>
                <w:kern w:val="0"/>
                <w:sz w:val="20"/>
                <w:szCs w:val="20"/>
              </w:rPr>
              <w:t>有内部财务管理制度、会计核算制度等管理制度，2分；</w:t>
            </w:r>
          </w:p>
        </w:tc>
        <w:tc>
          <w:tcPr>
            <w:tcW w:w="2355" w:type="dxa"/>
            <w:vMerge w:val="restart"/>
            <w:tcBorders>
              <w:top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w:t>
            </w:r>
          </w:p>
        </w:tc>
      </w:tr>
      <w:tr w:rsidR="00F13E3A">
        <w:trPr>
          <w:trHeight w:val="48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295" w:type="dxa"/>
            <w:tcBorders>
              <w:left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②</w:t>
            </w:r>
            <w:r>
              <w:rPr>
                <w:rFonts w:ascii="仿宋_GB2312" w:eastAsia="仿宋_GB2312" w:hAnsi="宋体" w:cs="仿宋_GB2312"/>
                <w:color w:val="000000"/>
                <w:kern w:val="0"/>
                <w:sz w:val="20"/>
                <w:szCs w:val="20"/>
              </w:rPr>
              <w:t>有本部门厉行节约制度,2分；</w:t>
            </w:r>
          </w:p>
        </w:tc>
        <w:tc>
          <w:tcPr>
            <w:tcW w:w="2355" w:type="dxa"/>
            <w:vMerge/>
            <w:tcBorders>
              <w:top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宋体" w:eastAsia="宋体" w:hAnsi="宋体" w:cs="宋体"/>
                <w:color w:val="000000"/>
                <w:sz w:val="24"/>
              </w:rPr>
            </w:pPr>
          </w:p>
        </w:tc>
      </w:tr>
      <w:tr w:rsidR="00F13E3A">
        <w:trPr>
          <w:trHeight w:val="97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295" w:type="dxa"/>
            <w:tcBorders>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③</w:t>
            </w:r>
            <w:r>
              <w:rPr>
                <w:rFonts w:ascii="仿宋_GB2312" w:eastAsia="仿宋_GB2312" w:hAnsi="宋体" w:cs="仿宋_GB2312"/>
                <w:color w:val="000000"/>
                <w:kern w:val="0"/>
                <w:sz w:val="20"/>
                <w:szCs w:val="20"/>
              </w:rPr>
              <w:t>相关管理制度合法、合规、完整，2分；</w:t>
            </w:r>
            <w:r>
              <w:rPr>
                <w:rFonts w:ascii="仿宋_GB2312" w:eastAsia="仿宋_GB2312" w:hAnsi="宋体" w:cs="仿宋_GB2312"/>
                <w:color w:val="000000"/>
                <w:kern w:val="0"/>
                <w:sz w:val="20"/>
                <w:szCs w:val="20"/>
              </w:rPr>
              <w:t>④</w:t>
            </w:r>
            <w:r>
              <w:rPr>
                <w:rFonts w:ascii="仿宋_GB2312" w:eastAsia="仿宋_GB2312" w:hAnsi="宋体" w:cs="仿宋_GB2312"/>
                <w:color w:val="000000"/>
                <w:kern w:val="0"/>
                <w:sz w:val="20"/>
                <w:szCs w:val="20"/>
              </w:rPr>
              <w:t>相关管理制度得到有效执行，2分。</w:t>
            </w:r>
          </w:p>
        </w:tc>
        <w:tc>
          <w:tcPr>
            <w:tcW w:w="2355" w:type="dxa"/>
            <w:vMerge/>
            <w:tcBorders>
              <w:top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宋体" w:eastAsia="宋体" w:hAnsi="宋体" w:cs="宋体"/>
                <w:color w:val="000000"/>
                <w:sz w:val="24"/>
              </w:rPr>
            </w:pPr>
          </w:p>
        </w:tc>
      </w:tr>
      <w:tr w:rsidR="00F13E3A">
        <w:trPr>
          <w:trHeight w:val="220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资金使用合规性</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w:t>
            </w:r>
          </w:p>
        </w:tc>
        <w:tc>
          <w:tcPr>
            <w:tcW w:w="2295" w:type="dxa"/>
            <w:tcBorders>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①</w:t>
            </w:r>
            <w:r>
              <w:rPr>
                <w:rFonts w:ascii="仿宋_GB2312" w:eastAsia="仿宋_GB2312" w:hAnsi="宋体" w:cs="仿宋_GB2312"/>
                <w:color w:val="000000"/>
                <w:kern w:val="0"/>
                <w:sz w:val="20"/>
                <w:szCs w:val="20"/>
              </w:rPr>
              <w:t>支出符合国家财经法规和财务管理制度规定以及有关专项资金管理办法的规定；</w:t>
            </w:r>
            <w:r>
              <w:rPr>
                <w:rFonts w:ascii="仿宋_GB2312" w:eastAsia="仿宋_GB2312" w:hAnsi="宋体" w:cs="仿宋_GB2312"/>
                <w:color w:val="000000"/>
                <w:kern w:val="0"/>
                <w:sz w:val="20"/>
                <w:szCs w:val="20"/>
              </w:rPr>
              <w:t>②</w:t>
            </w:r>
            <w:r>
              <w:rPr>
                <w:rFonts w:ascii="仿宋_GB2312" w:eastAsia="仿宋_GB2312" w:hAnsi="宋体" w:cs="仿宋_GB2312"/>
                <w:color w:val="000000"/>
                <w:kern w:val="0"/>
                <w:sz w:val="20"/>
                <w:szCs w:val="20"/>
              </w:rPr>
              <w:t>资金拨付有完整的审批程序和手续；</w:t>
            </w:r>
            <w:r>
              <w:rPr>
                <w:rFonts w:ascii="仿宋_GB2312" w:eastAsia="仿宋_GB2312" w:hAnsi="宋体" w:cs="仿宋_GB2312"/>
                <w:color w:val="000000"/>
                <w:kern w:val="0"/>
                <w:sz w:val="20"/>
                <w:szCs w:val="20"/>
              </w:rPr>
              <w:t>③</w:t>
            </w:r>
            <w:r>
              <w:rPr>
                <w:rFonts w:ascii="仿宋_GB2312" w:eastAsia="仿宋_GB2312" w:hAnsi="宋体" w:cs="仿宋_GB2312"/>
                <w:color w:val="000000"/>
                <w:kern w:val="0"/>
                <w:sz w:val="20"/>
                <w:szCs w:val="20"/>
              </w:rPr>
              <w:t>项目支出按规定经过评估论证；</w:t>
            </w:r>
            <w:r>
              <w:rPr>
                <w:rFonts w:ascii="仿宋_GB2312" w:eastAsia="仿宋_GB2312" w:hAnsi="宋体" w:cs="仿宋_GB2312"/>
                <w:color w:val="000000"/>
                <w:kern w:val="0"/>
                <w:sz w:val="20"/>
                <w:szCs w:val="20"/>
              </w:rPr>
              <w:t>④</w:t>
            </w:r>
            <w:r>
              <w:rPr>
                <w:rFonts w:ascii="仿宋_GB2312" w:eastAsia="仿宋_GB2312" w:hAnsi="宋体" w:cs="仿宋_GB2312"/>
                <w:color w:val="000000"/>
                <w:kern w:val="0"/>
                <w:sz w:val="20"/>
                <w:szCs w:val="20"/>
              </w:rPr>
              <w:t>支出符合部门预算批复的用途；</w:t>
            </w:r>
            <w:r>
              <w:rPr>
                <w:rFonts w:ascii="仿宋_GB2312" w:eastAsia="仿宋_GB2312" w:hAnsi="宋体" w:cs="仿宋_GB2312"/>
                <w:color w:val="000000"/>
                <w:kern w:val="0"/>
                <w:sz w:val="20"/>
                <w:szCs w:val="20"/>
              </w:rPr>
              <w:t>⑤</w:t>
            </w:r>
            <w:r>
              <w:rPr>
                <w:rFonts w:ascii="仿宋_GB2312" w:eastAsia="仿宋_GB2312" w:hAnsi="宋体" w:cs="仿宋_GB2312"/>
                <w:color w:val="000000"/>
                <w:kern w:val="0"/>
                <w:sz w:val="20"/>
                <w:szCs w:val="20"/>
              </w:rPr>
              <w:t>资金使用无截留、挤占、挪用、虚列支出等情况。</w:t>
            </w:r>
          </w:p>
        </w:tc>
        <w:tc>
          <w:tcPr>
            <w:tcW w:w="2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w:t>
            </w:r>
          </w:p>
        </w:tc>
      </w:tr>
      <w:tr w:rsidR="00F13E3A">
        <w:trPr>
          <w:trHeight w:val="81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以上情况每出现一例不符合要求的扣1分，扣完为止。</w:t>
            </w:r>
          </w:p>
        </w:tc>
        <w:tc>
          <w:tcPr>
            <w:tcW w:w="2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宋体" w:eastAsia="宋体" w:hAnsi="宋体" w:cs="宋体"/>
                <w:color w:val="000000"/>
                <w:sz w:val="24"/>
              </w:rPr>
            </w:pPr>
          </w:p>
        </w:tc>
      </w:tr>
      <w:tr w:rsidR="00F13E3A">
        <w:trPr>
          <w:trHeight w:val="199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预决算信息公开性</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①</w:t>
            </w:r>
            <w:r>
              <w:rPr>
                <w:rFonts w:ascii="仿宋_GB2312" w:eastAsia="仿宋_GB2312" w:hAnsi="宋体" w:cs="仿宋_GB2312"/>
                <w:color w:val="000000"/>
                <w:kern w:val="0"/>
                <w:sz w:val="20"/>
                <w:szCs w:val="20"/>
              </w:rPr>
              <w:t>按规定内容公开预决算信息，1分；</w:t>
            </w:r>
            <w:r>
              <w:rPr>
                <w:rFonts w:ascii="仿宋_GB2312" w:eastAsia="仿宋_GB2312" w:hAnsi="宋体" w:cs="仿宋_GB2312"/>
                <w:color w:val="000000"/>
                <w:kern w:val="0"/>
                <w:sz w:val="20"/>
                <w:szCs w:val="20"/>
              </w:rPr>
              <w:t>②</w:t>
            </w:r>
            <w:r>
              <w:rPr>
                <w:rFonts w:ascii="仿宋_GB2312" w:eastAsia="仿宋_GB2312" w:hAnsi="宋体" w:cs="仿宋_GB2312"/>
                <w:color w:val="000000"/>
                <w:kern w:val="0"/>
                <w:sz w:val="20"/>
                <w:szCs w:val="20"/>
              </w:rPr>
              <w:t>按规定时限公开预决算信息，1分；</w:t>
            </w:r>
            <w:r>
              <w:rPr>
                <w:rFonts w:ascii="仿宋_GB2312" w:eastAsia="仿宋_GB2312" w:hAnsi="宋体" w:cs="仿宋_GB2312"/>
                <w:color w:val="000000"/>
                <w:kern w:val="0"/>
                <w:sz w:val="20"/>
                <w:szCs w:val="20"/>
              </w:rPr>
              <w:t>③</w:t>
            </w:r>
            <w:r>
              <w:rPr>
                <w:rFonts w:ascii="仿宋_GB2312" w:eastAsia="仿宋_GB2312" w:hAnsi="宋体" w:cs="仿宋_GB2312"/>
                <w:color w:val="000000"/>
                <w:kern w:val="0"/>
                <w:sz w:val="20"/>
                <w:szCs w:val="20"/>
              </w:rPr>
              <w:t>基础数据信息和会计信息资料真实，1分；</w:t>
            </w:r>
            <w:r>
              <w:rPr>
                <w:rFonts w:ascii="仿宋_GB2312" w:eastAsia="仿宋_GB2312" w:hAnsi="宋体" w:cs="仿宋_GB2312"/>
                <w:color w:val="000000"/>
                <w:kern w:val="0"/>
                <w:sz w:val="20"/>
                <w:szCs w:val="20"/>
              </w:rPr>
              <w:t>④</w:t>
            </w:r>
            <w:r>
              <w:rPr>
                <w:rFonts w:ascii="仿宋_GB2312" w:eastAsia="仿宋_GB2312" w:hAnsi="宋体" w:cs="仿宋_GB2312"/>
                <w:color w:val="000000"/>
                <w:kern w:val="0"/>
                <w:sz w:val="20"/>
                <w:szCs w:val="20"/>
              </w:rPr>
              <w:t>基础数据信息和会计信息资料完整，1分；</w:t>
            </w:r>
            <w:r>
              <w:rPr>
                <w:rFonts w:ascii="仿宋_GB2312" w:eastAsia="仿宋_GB2312" w:hAnsi="宋体" w:cs="仿宋_GB2312"/>
                <w:color w:val="000000"/>
                <w:kern w:val="0"/>
                <w:sz w:val="20"/>
                <w:szCs w:val="20"/>
              </w:rPr>
              <w:t>⑤</w:t>
            </w:r>
            <w:r>
              <w:rPr>
                <w:rFonts w:ascii="仿宋_GB2312" w:eastAsia="仿宋_GB2312" w:hAnsi="宋体" w:cs="仿宋_GB2312"/>
                <w:color w:val="000000"/>
                <w:kern w:val="0"/>
                <w:sz w:val="20"/>
                <w:szCs w:val="20"/>
              </w:rPr>
              <w:t xml:space="preserve">基础数据信息和汇集信息资料准确，1分。  </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预决算信息是指与部门预算、执行、决算、监督、绩效等管理相关的信息。</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w:t>
            </w:r>
          </w:p>
        </w:tc>
      </w:tr>
      <w:tr w:rsidR="00F13E3A">
        <w:trPr>
          <w:trHeight w:val="795"/>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产出及效率</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26</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职责履行</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8</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重点工作实际完成率</w:t>
            </w:r>
          </w:p>
        </w:tc>
        <w:tc>
          <w:tcPr>
            <w:tcW w:w="735" w:type="dxa"/>
            <w:vMerge w:val="restart"/>
            <w:tcBorders>
              <w:top w:val="single" w:sz="4" w:space="0" w:color="000000"/>
              <w:left w:val="single" w:sz="4" w:space="0" w:color="000000"/>
              <w:bottom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8</w:t>
            </w:r>
          </w:p>
        </w:tc>
        <w:tc>
          <w:tcPr>
            <w:tcW w:w="2295" w:type="dxa"/>
            <w:tcBorders>
              <w:top w:val="single" w:sz="4" w:space="0" w:color="000000"/>
              <w:left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根据绩效办2</w:t>
            </w:r>
            <w:r>
              <w:rPr>
                <w:rFonts w:ascii="仿宋_GB2312" w:eastAsia="仿宋_GB2312" w:hAnsi="宋体" w:cs="仿宋_GB2312" w:hint="eastAsia"/>
                <w:color w:val="000000"/>
                <w:kern w:val="0"/>
                <w:sz w:val="20"/>
                <w:szCs w:val="20"/>
              </w:rPr>
              <w:t>020</w:t>
            </w:r>
            <w:r>
              <w:rPr>
                <w:rFonts w:ascii="仿宋_GB2312" w:eastAsia="仿宋_GB2312" w:hAnsi="宋体" w:cs="仿宋_GB2312"/>
                <w:color w:val="000000"/>
                <w:kern w:val="0"/>
                <w:sz w:val="20"/>
                <w:szCs w:val="20"/>
              </w:rPr>
              <w:t>年对各部门为民办实事和部门重点工程与重点工作考核分数折算。</w:t>
            </w:r>
          </w:p>
        </w:tc>
        <w:tc>
          <w:tcPr>
            <w:tcW w:w="2355" w:type="dxa"/>
            <w:vMerge w:val="restart"/>
            <w:tcBorders>
              <w:top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w:t>
            </w:r>
          </w:p>
        </w:tc>
      </w:tr>
      <w:tr w:rsidR="00F13E3A">
        <w:trPr>
          <w:trHeight w:val="6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295" w:type="dxa"/>
            <w:tcBorders>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该项得分=（绩效办对应部分考核得分/200）*8</w:t>
            </w:r>
          </w:p>
        </w:tc>
        <w:tc>
          <w:tcPr>
            <w:tcW w:w="2355" w:type="dxa"/>
            <w:vMerge/>
            <w:tcBorders>
              <w:top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宋体" w:eastAsia="宋体" w:hAnsi="宋体" w:cs="宋体"/>
                <w:color w:val="000000"/>
                <w:sz w:val="24"/>
              </w:rPr>
            </w:pPr>
          </w:p>
        </w:tc>
      </w:tr>
      <w:tr w:rsidR="00F13E3A">
        <w:trPr>
          <w:trHeight w:val="75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履职 效益</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经济效益</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w:t>
            </w:r>
          </w:p>
        </w:tc>
        <w:tc>
          <w:tcPr>
            <w:tcW w:w="2295" w:type="dxa"/>
            <w:vMerge w:val="restart"/>
            <w:tcBorders>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此两项指标为设置部门整体支出绩效评价指标时必须考虑的共性要素，可根据部门实际情况有选择的进行设置，并将其细化为相应的个性化指标。</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rPr>
                <w:rFonts w:ascii="仿宋_GB2312" w:eastAsia="仿宋_GB2312" w:hAnsi="宋体" w:cs="仿宋_GB2312"/>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w:t>
            </w:r>
          </w:p>
        </w:tc>
      </w:tr>
      <w:tr w:rsidR="00F13E3A">
        <w:trPr>
          <w:trHeight w:val="79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社会效益</w:t>
            </w: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295" w:type="dxa"/>
            <w:vMerge/>
            <w:tcBorders>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rPr>
                <w:rFonts w:ascii="仿宋_GB2312" w:eastAsia="仿宋_GB2312" w:hAnsi="宋体" w:cs="仿宋_GB2312"/>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w:t>
            </w:r>
          </w:p>
        </w:tc>
      </w:tr>
      <w:tr w:rsidR="00F13E3A">
        <w:trPr>
          <w:trHeight w:val="15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行政效能</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w:t>
            </w:r>
          </w:p>
        </w:tc>
        <w:tc>
          <w:tcPr>
            <w:tcW w:w="2295" w:type="dxa"/>
            <w:tcBorders>
              <w:top w:val="single" w:sz="4" w:space="0" w:color="000000"/>
              <w:left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促进部门改进文风会风，加强经费及资产管理，推动网上办事，提高行政效率，降低行政成本效果较好的计6分；一般3分；无效果或者效果不明显0分。</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根据部门自评材料评定。</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w:t>
            </w:r>
          </w:p>
        </w:tc>
      </w:tr>
      <w:tr w:rsidR="00F13E3A">
        <w:trPr>
          <w:trHeight w:val="49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社会公众或服务对象满意度</w:t>
            </w:r>
          </w:p>
        </w:tc>
        <w:tc>
          <w:tcPr>
            <w:tcW w:w="735" w:type="dxa"/>
            <w:vMerge w:val="restart"/>
            <w:tcBorders>
              <w:top w:val="single" w:sz="4" w:space="0" w:color="000000"/>
              <w:left w:val="single" w:sz="4" w:space="0" w:color="000000"/>
              <w:bottom w:val="single" w:sz="4" w:space="0" w:color="000000"/>
            </w:tcBorders>
            <w:shd w:val="clear" w:color="auto" w:fill="auto"/>
            <w:vAlign w:val="center"/>
          </w:tcPr>
          <w:p w:rsidR="00F13E3A" w:rsidRDefault="005A2213">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w:t>
            </w:r>
          </w:p>
        </w:tc>
        <w:tc>
          <w:tcPr>
            <w:tcW w:w="2295" w:type="dxa"/>
            <w:tcBorders>
              <w:top w:val="single" w:sz="4" w:space="0" w:color="000000"/>
              <w:left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90%（含）以上计6分；</w:t>
            </w:r>
          </w:p>
        </w:tc>
        <w:tc>
          <w:tcPr>
            <w:tcW w:w="2355" w:type="dxa"/>
            <w:vMerge w:val="restart"/>
            <w:tcBorders>
              <w:top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社会公众或服务对象是指部门（单位）履行职责而影响到的部门、群体或个人，一般采取社会调查的方式。</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w:t>
            </w:r>
          </w:p>
        </w:tc>
      </w:tr>
      <w:tr w:rsidR="00F13E3A">
        <w:trPr>
          <w:trHeight w:val="43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295" w:type="dxa"/>
            <w:tcBorders>
              <w:left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80%（含）-90%，计4分；</w:t>
            </w:r>
          </w:p>
        </w:tc>
        <w:tc>
          <w:tcPr>
            <w:tcW w:w="2355" w:type="dxa"/>
            <w:vMerge/>
            <w:tcBorders>
              <w:top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宋体" w:eastAsia="宋体" w:hAnsi="宋体" w:cs="宋体"/>
                <w:color w:val="000000"/>
                <w:sz w:val="24"/>
              </w:rPr>
            </w:pPr>
          </w:p>
        </w:tc>
      </w:tr>
      <w:tr w:rsidR="00F13E3A">
        <w:trPr>
          <w:trHeight w:val="48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295" w:type="dxa"/>
            <w:tcBorders>
              <w:left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70%（含）-80%，计2分；</w:t>
            </w:r>
          </w:p>
        </w:tc>
        <w:tc>
          <w:tcPr>
            <w:tcW w:w="2355" w:type="dxa"/>
            <w:vMerge/>
            <w:tcBorders>
              <w:top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宋体" w:eastAsia="宋体" w:hAnsi="宋体" w:cs="宋体"/>
                <w:color w:val="000000"/>
                <w:sz w:val="24"/>
              </w:rPr>
            </w:pPr>
          </w:p>
        </w:tc>
      </w:tr>
      <w:tr w:rsidR="00F13E3A">
        <w:trPr>
          <w:trHeight w:val="48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295" w:type="dxa"/>
            <w:tcBorders>
              <w:left w:val="single" w:sz="4" w:space="0" w:color="000000"/>
              <w:right w:val="single" w:sz="4" w:space="0" w:color="000000"/>
            </w:tcBorders>
            <w:shd w:val="clear" w:color="auto" w:fill="auto"/>
            <w:vAlign w:val="center"/>
          </w:tcPr>
          <w:p w:rsidR="00F13E3A" w:rsidRDefault="00F13E3A">
            <w:pPr>
              <w:widowControl/>
              <w:jc w:val="left"/>
              <w:textAlignment w:val="center"/>
              <w:rPr>
                <w:rFonts w:ascii="仿宋_GB2312" w:eastAsia="仿宋_GB2312" w:hAnsi="宋体" w:cs="仿宋_GB2312"/>
                <w:color w:val="000000"/>
                <w:kern w:val="0"/>
                <w:sz w:val="20"/>
                <w:szCs w:val="20"/>
              </w:rPr>
            </w:pPr>
          </w:p>
        </w:tc>
        <w:tc>
          <w:tcPr>
            <w:tcW w:w="2355" w:type="dxa"/>
            <w:vMerge/>
            <w:tcBorders>
              <w:top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宋体" w:eastAsia="宋体" w:hAnsi="宋体" w:cs="宋体"/>
                <w:color w:val="000000"/>
                <w:sz w:val="24"/>
              </w:rPr>
            </w:pPr>
          </w:p>
        </w:tc>
      </w:tr>
      <w:tr w:rsidR="00F13E3A">
        <w:trPr>
          <w:trHeight w:val="28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tcBorders>
            <w:shd w:val="clear" w:color="auto" w:fill="auto"/>
            <w:vAlign w:val="center"/>
          </w:tcPr>
          <w:p w:rsidR="00F13E3A" w:rsidRDefault="00F13E3A">
            <w:pPr>
              <w:jc w:val="center"/>
              <w:rPr>
                <w:rFonts w:ascii="仿宋_GB2312" w:eastAsia="仿宋_GB2312" w:hAnsi="宋体" w:cs="仿宋_GB2312"/>
                <w:color w:val="000000"/>
                <w:sz w:val="20"/>
                <w:szCs w:val="20"/>
              </w:rPr>
            </w:pPr>
          </w:p>
        </w:tc>
        <w:tc>
          <w:tcPr>
            <w:tcW w:w="2295" w:type="dxa"/>
            <w:tcBorders>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低于70%计0分。</w:t>
            </w:r>
          </w:p>
        </w:tc>
        <w:tc>
          <w:tcPr>
            <w:tcW w:w="2355" w:type="dxa"/>
            <w:vMerge/>
            <w:tcBorders>
              <w:top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_GB2312" w:eastAsia="仿宋_GB2312" w:hAnsi="宋体" w:cs="仿宋_GB2312"/>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宋体" w:eastAsia="宋体" w:hAnsi="宋体" w:cs="宋体"/>
                <w:color w:val="000000"/>
                <w:sz w:val="24"/>
              </w:rPr>
            </w:pPr>
          </w:p>
        </w:tc>
      </w:tr>
      <w:tr w:rsidR="00F13E3A">
        <w:trPr>
          <w:trHeight w:val="37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rPr>
                <w:rFonts w:ascii="黑体" w:eastAsia="黑体" w:hAnsi="宋体" w:cs="黑体"/>
                <w:color w:val="000000"/>
                <w:sz w:val="28"/>
                <w:szCs w:val="2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rPr>
                <w:rFonts w:ascii="宋体" w:eastAsia="宋体" w:hAnsi="宋体" w:cs="宋体"/>
                <w:color w:val="000000"/>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合计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rPr>
                <w:rFonts w:ascii="宋体" w:eastAsia="宋体" w:hAnsi="宋体" w:cs="宋体"/>
                <w:color w:val="000000"/>
                <w:sz w:val="24"/>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rPr>
                <w:rFonts w:ascii="宋体" w:eastAsia="宋体" w:hAnsi="宋体" w:cs="宋体"/>
                <w:color w:val="000000"/>
                <w:sz w:val="24"/>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rPr>
                <w:rFonts w:ascii="宋体" w:eastAsia="宋体" w:hAnsi="宋体" w:cs="宋体"/>
                <w:color w:val="000000"/>
                <w:sz w:val="24"/>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97</w:t>
            </w:r>
          </w:p>
        </w:tc>
      </w:tr>
    </w:tbl>
    <w:p w:rsidR="00F13E3A" w:rsidRDefault="00F13E3A">
      <w:pPr>
        <w:spacing w:line="600" w:lineRule="exact"/>
        <w:rPr>
          <w:rFonts w:ascii="仿宋" w:eastAsia="仿宋" w:hAnsi="仿宋" w:cs="Times New Roman"/>
          <w:sz w:val="32"/>
          <w:szCs w:val="32"/>
        </w:rPr>
      </w:pPr>
    </w:p>
    <w:p w:rsidR="00F13E3A" w:rsidRDefault="00F13E3A">
      <w:pPr>
        <w:spacing w:line="600" w:lineRule="exact"/>
        <w:rPr>
          <w:rFonts w:ascii="仿宋" w:eastAsia="仿宋" w:hAnsi="仿宋" w:cs="Times New Roman"/>
          <w:sz w:val="32"/>
          <w:szCs w:val="32"/>
        </w:rPr>
      </w:pPr>
    </w:p>
    <w:p w:rsidR="00F13E3A" w:rsidRDefault="00F13E3A">
      <w:pPr>
        <w:spacing w:line="600" w:lineRule="exact"/>
        <w:rPr>
          <w:rFonts w:ascii="仿宋" w:eastAsia="仿宋" w:hAnsi="仿宋" w:cs="Times New Roman"/>
          <w:sz w:val="32"/>
          <w:szCs w:val="32"/>
        </w:rPr>
      </w:pPr>
    </w:p>
    <w:p w:rsidR="00F13E3A" w:rsidRDefault="00F13E3A">
      <w:pPr>
        <w:spacing w:line="600" w:lineRule="exact"/>
        <w:rPr>
          <w:rFonts w:ascii="仿宋" w:eastAsia="仿宋" w:hAnsi="仿宋" w:cs="Times New Roman"/>
          <w:sz w:val="32"/>
          <w:szCs w:val="32"/>
        </w:rPr>
      </w:pPr>
    </w:p>
    <w:p w:rsidR="00F13E3A" w:rsidRDefault="00F13E3A">
      <w:pPr>
        <w:spacing w:line="600" w:lineRule="exact"/>
        <w:rPr>
          <w:rFonts w:ascii="仿宋" w:eastAsia="仿宋" w:hAnsi="仿宋" w:cs="Times New Roman"/>
          <w:sz w:val="32"/>
          <w:szCs w:val="32"/>
        </w:rPr>
      </w:pPr>
    </w:p>
    <w:p w:rsidR="00F13E3A" w:rsidRDefault="00F13E3A" w:rsidP="000A4D53">
      <w:pPr>
        <w:pStyle w:val="2"/>
        <w:ind w:firstLine="640"/>
        <w:rPr>
          <w:rFonts w:ascii="仿宋" w:eastAsia="仿宋" w:hAnsi="仿宋" w:cs="Times New Roman"/>
          <w:sz w:val="32"/>
          <w:szCs w:val="32"/>
        </w:rPr>
      </w:pPr>
    </w:p>
    <w:p w:rsidR="00F13E3A" w:rsidRDefault="00F13E3A" w:rsidP="000A4D53">
      <w:pPr>
        <w:pStyle w:val="2"/>
        <w:ind w:firstLine="640"/>
        <w:rPr>
          <w:rFonts w:ascii="仿宋" w:eastAsia="仿宋" w:hAnsi="仿宋" w:cs="Times New Roman"/>
          <w:sz w:val="32"/>
          <w:szCs w:val="32"/>
        </w:rPr>
      </w:pPr>
    </w:p>
    <w:p w:rsidR="00F13E3A" w:rsidRDefault="00F13E3A" w:rsidP="000A4D53">
      <w:pPr>
        <w:pStyle w:val="2"/>
        <w:ind w:firstLine="640"/>
        <w:rPr>
          <w:rFonts w:ascii="仿宋" w:eastAsia="仿宋" w:hAnsi="仿宋" w:cs="Times New Roman" w:hint="eastAsia"/>
          <w:sz w:val="32"/>
          <w:szCs w:val="32"/>
        </w:rPr>
      </w:pPr>
    </w:p>
    <w:p w:rsidR="00D56AF1" w:rsidRDefault="00D56AF1" w:rsidP="000A4D53">
      <w:pPr>
        <w:pStyle w:val="2"/>
        <w:ind w:firstLine="640"/>
        <w:rPr>
          <w:rFonts w:ascii="仿宋" w:eastAsia="仿宋" w:hAnsi="仿宋" w:cs="Times New Roman" w:hint="eastAsia"/>
          <w:sz w:val="32"/>
          <w:szCs w:val="32"/>
        </w:rPr>
      </w:pPr>
    </w:p>
    <w:p w:rsidR="00D56AF1" w:rsidRDefault="00D56AF1" w:rsidP="000A4D53">
      <w:pPr>
        <w:pStyle w:val="2"/>
        <w:ind w:firstLine="640"/>
        <w:rPr>
          <w:rFonts w:ascii="仿宋" w:eastAsia="仿宋" w:hAnsi="仿宋" w:cs="Times New Roman"/>
          <w:sz w:val="32"/>
          <w:szCs w:val="32"/>
        </w:rPr>
      </w:pPr>
    </w:p>
    <w:p w:rsidR="00F13E3A" w:rsidRDefault="00F13E3A" w:rsidP="000A4D53">
      <w:pPr>
        <w:pStyle w:val="2"/>
        <w:ind w:firstLine="640"/>
        <w:rPr>
          <w:rFonts w:ascii="仿宋" w:eastAsia="仿宋" w:hAnsi="仿宋" w:cs="Times New Roman"/>
          <w:sz w:val="32"/>
          <w:szCs w:val="32"/>
        </w:rPr>
      </w:pPr>
    </w:p>
    <w:p w:rsidR="00F13E3A" w:rsidRDefault="00F13E3A" w:rsidP="000A4D53">
      <w:pPr>
        <w:pStyle w:val="2"/>
        <w:ind w:firstLine="640"/>
        <w:rPr>
          <w:rFonts w:ascii="仿宋" w:eastAsia="仿宋" w:hAnsi="仿宋" w:cs="Times New Roman"/>
          <w:sz w:val="32"/>
          <w:szCs w:val="32"/>
        </w:rPr>
      </w:pPr>
    </w:p>
    <w:tbl>
      <w:tblPr>
        <w:tblpPr w:leftFromText="180" w:rightFromText="180" w:vertAnchor="text" w:horzAnchor="page" w:tblpX="1103" w:tblpY="33"/>
        <w:tblOverlap w:val="never"/>
        <w:tblW w:w="9420" w:type="dxa"/>
        <w:tblLayout w:type="fixed"/>
        <w:tblCellMar>
          <w:top w:w="15" w:type="dxa"/>
          <w:left w:w="15" w:type="dxa"/>
          <w:bottom w:w="15" w:type="dxa"/>
          <w:right w:w="15" w:type="dxa"/>
        </w:tblCellMar>
        <w:tblLook w:val="04A0"/>
      </w:tblPr>
      <w:tblGrid>
        <w:gridCol w:w="2493"/>
        <w:gridCol w:w="763"/>
        <w:gridCol w:w="209"/>
        <w:gridCol w:w="116"/>
        <w:gridCol w:w="909"/>
        <w:gridCol w:w="835"/>
        <w:gridCol w:w="904"/>
        <w:gridCol w:w="903"/>
        <w:gridCol w:w="2288"/>
      </w:tblGrid>
      <w:tr w:rsidR="00F13E3A" w:rsidTr="00D56AF1">
        <w:trPr>
          <w:trHeight w:val="151"/>
        </w:trPr>
        <w:tc>
          <w:tcPr>
            <w:tcW w:w="2493" w:type="dxa"/>
            <w:shd w:val="clear" w:color="auto" w:fill="auto"/>
            <w:vAlign w:val="center"/>
          </w:tcPr>
          <w:p w:rsidR="00F13E3A" w:rsidRDefault="005A2213">
            <w:pPr>
              <w:widowControl/>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附件2</w:t>
            </w:r>
          </w:p>
        </w:tc>
        <w:tc>
          <w:tcPr>
            <w:tcW w:w="972" w:type="dxa"/>
            <w:gridSpan w:val="2"/>
            <w:shd w:val="clear" w:color="auto" w:fill="auto"/>
            <w:vAlign w:val="center"/>
          </w:tcPr>
          <w:p w:rsidR="00F13E3A" w:rsidRDefault="00F13E3A">
            <w:pPr>
              <w:rPr>
                <w:rFonts w:ascii="仿宋" w:eastAsia="仿宋" w:hAnsi="仿宋" w:cs="仿宋"/>
                <w:color w:val="000000"/>
                <w:sz w:val="24"/>
              </w:rPr>
            </w:pPr>
          </w:p>
        </w:tc>
        <w:tc>
          <w:tcPr>
            <w:tcW w:w="1025" w:type="dxa"/>
            <w:gridSpan w:val="2"/>
            <w:shd w:val="clear" w:color="auto" w:fill="auto"/>
            <w:vAlign w:val="center"/>
          </w:tcPr>
          <w:p w:rsidR="00F13E3A" w:rsidRDefault="00F13E3A">
            <w:pPr>
              <w:rPr>
                <w:rFonts w:ascii="仿宋" w:eastAsia="仿宋" w:hAnsi="仿宋" w:cs="仿宋"/>
                <w:color w:val="000000"/>
                <w:sz w:val="24"/>
              </w:rPr>
            </w:pPr>
          </w:p>
        </w:tc>
        <w:tc>
          <w:tcPr>
            <w:tcW w:w="835" w:type="dxa"/>
            <w:shd w:val="clear" w:color="auto" w:fill="auto"/>
            <w:vAlign w:val="center"/>
          </w:tcPr>
          <w:p w:rsidR="00F13E3A" w:rsidRDefault="00F13E3A">
            <w:pPr>
              <w:rPr>
                <w:rFonts w:ascii="仿宋" w:eastAsia="仿宋" w:hAnsi="仿宋" w:cs="仿宋"/>
                <w:color w:val="000000"/>
                <w:sz w:val="24"/>
              </w:rPr>
            </w:pPr>
          </w:p>
        </w:tc>
        <w:tc>
          <w:tcPr>
            <w:tcW w:w="903" w:type="dxa"/>
            <w:shd w:val="clear" w:color="auto" w:fill="auto"/>
            <w:vAlign w:val="center"/>
          </w:tcPr>
          <w:p w:rsidR="00F13E3A" w:rsidRDefault="00F13E3A">
            <w:pPr>
              <w:rPr>
                <w:rFonts w:ascii="仿宋" w:eastAsia="仿宋" w:hAnsi="仿宋" w:cs="仿宋"/>
                <w:color w:val="000000"/>
                <w:sz w:val="24"/>
              </w:rPr>
            </w:pPr>
          </w:p>
        </w:tc>
        <w:tc>
          <w:tcPr>
            <w:tcW w:w="903" w:type="dxa"/>
            <w:shd w:val="clear" w:color="auto" w:fill="auto"/>
            <w:vAlign w:val="center"/>
          </w:tcPr>
          <w:p w:rsidR="00F13E3A" w:rsidRDefault="00F13E3A">
            <w:pPr>
              <w:rPr>
                <w:rFonts w:ascii="仿宋" w:eastAsia="仿宋" w:hAnsi="仿宋" w:cs="仿宋"/>
                <w:color w:val="000000"/>
                <w:sz w:val="24"/>
              </w:rPr>
            </w:pPr>
          </w:p>
        </w:tc>
        <w:tc>
          <w:tcPr>
            <w:tcW w:w="2288" w:type="dxa"/>
            <w:shd w:val="clear" w:color="auto" w:fill="auto"/>
            <w:vAlign w:val="center"/>
          </w:tcPr>
          <w:p w:rsidR="00F13E3A" w:rsidRDefault="00F13E3A">
            <w:pPr>
              <w:rPr>
                <w:rFonts w:ascii="仿宋" w:eastAsia="仿宋" w:hAnsi="仿宋" w:cs="仿宋"/>
                <w:color w:val="000000"/>
                <w:sz w:val="24"/>
              </w:rPr>
            </w:pPr>
          </w:p>
        </w:tc>
      </w:tr>
      <w:tr w:rsidR="00F13E3A" w:rsidTr="00D56AF1">
        <w:trPr>
          <w:trHeight w:val="310"/>
        </w:trPr>
        <w:tc>
          <w:tcPr>
            <w:tcW w:w="9420" w:type="dxa"/>
            <w:gridSpan w:val="9"/>
            <w:shd w:val="clear" w:color="auto" w:fill="auto"/>
            <w:vAlign w:val="center"/>
          </w:tcPr>
          <w:p w:rsidR="00F13E3A" w:rsidRDefault="005A2213">
            <w:pPr>
              <w:widowControl/>
              <w:jc w:val="center"/>
              <w:textAlignment w:val="center"/>
              <w:rPr>
                <w:rFonts w:ascii="仿宋" w:eastAsia="仿宋" w:hAnsi="仿宋" w:cs="仿宋"/>
                <w:b/>
                <w:color w:val="000000"/>
                <w:sz w:val="36"/>
                <w:szCs w:val="36"/>
              </w:rPr>
            </w:pPr>
            <w:r>
              <w:rPr>
                <w:rFonts w:ascii="仿宋" w:eastAsia="仿宋" w:hAnsi="仿宋" w:cs="仿宋" w:hint="eastAsia"/>
                <w:b/>
                <w:color w:val="000000"/>
                <w:kern w:val="0"/>
                <w:sz w:val="36"/>
                <w:szCs w:val="36"/>
              </w:rPr>
              <w:t>部门整体支出绩效评价基础数据表</w:t>
            </w:r>
          </w:p>
        </w:tc>
      </w:tr>
      <w:tr w:rsidR="00F13E3A" w:rsidTr="00D56AF1">
        <w:trPr>
          <w:trHeight w:val="191"/>
        </w:trPr>
        <w:tc>
          <w:tcPr>
            <w:tcW w:w="2493" w:type="dxa"/>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填报单位:县商务科技和工业信息化局</w:t>
            </w:r>
          </w:p>
        </w:tc>
        <w:tc>
          <w:tcPr>
            <w:tcW w:w="972" w:type="dxa"/>
            <w:gridSpan w:val="2"/>
            <w:shd w:val="clear" w:color="auto" w:fill="auto"/>
            <w:vAlign w:val="center"/>
          </w:tcPr>
          <w:p w:rsidR="00F13E3A" w:rsidRDefault="00F13E3A">
            <w:pPr>
              <w:rPr>
                <w:rFonts w:ascii="仿宋" w:eastAsia="仿宋" w:hAnsi="仿宋" w:cs="仿宋"/>
                <w:color w:val="000000"/>
                <w:sz w:val="24"/>
              </w:rPr>
            </w:pPr>
          </w:p>
        </w:tc>
        <w:tc>
          <w:tcPr>
            <w:tcW w:w="1025" w:type="dxa"/>
            <w:gridSpan w:val="2"/>
            <w:shd w:val="clear" w:color="auto" w:fill="auto"/>
            <w:vAlign w:val="center"/>
          </w:tcPr>
          <w:p w:rsidR="00F13E3A" w:rsidRDefault="00F13E3A">
            <w:pPr>
              <w:rPr>
                <w:rFonts w:ascii="仿宋" w:eastAsia="仿宋" w:hAnsi="仿宋" w:cs="仿宋"/>
                <w:color w:val="000000"/>
                <w:sz w:val="24"/>
              </w:rPr>
            </w:pPr>
          </w:p>
        </w:tc>
        <w:tc>
          <w:tcPr>
            <w:tcW w:w="835" w:type="dxa"/>
            <w:shd w:val="clear" w:color="auto" w:fill="auto"/>
            <w:vAlign w:val="center"/>
          </w:tcPr>
          <w:p w:rsidR="00F13E3A" w:rsidRDefault="00F13E3A">
            <w:pPr>
              <w:rPr>
                <w:rFonts w:ascii="仿宋" w:eastAsia="仿宋" w:hAnsi="仿宋" w:cs="仿宋"/>
                <w:color w:val="000000"/>
                <w:sz w:val="24"/>
              </w:rPr>
            </w:pPr>
          </w:p>
        </w:tc>
        <w:tc>
          <w:tcPr>
            <w:tcW w:w="903" w:type="dxa"/>
            <w:shd w:val="clear" w:color="auto" w:fill="auto"/>
            <w:vAlign w:val="center"/>
          </w:tcPr>
          <w:p w:rsidR="00F13E3A" w:rsidRDefault="00F13E3A">
            <w:pPr>
              <w:rPr>
                <w:rFonts w:ascii="仿宋" w:eastAsia="仿宋" w:hAnsi="仿宋" w:cs="仿宋"/>
                <w:color w:val="000000"/>
                <w:sz w:val="24"/>
              </w:rPr>
            </w:pPr>
          </w:p>
        </w:tc>
        <w:tc>
          <w:tcPr>
            <w:tcW w:w="903" w:type="dxa"/>
            <w:shd w:val="clear" w:color="auto" w:fill="auto"/>
            <w:vAlign w:val="center"/>
          </w:tcPr>
          <w:p w:rsidR="00F13E3A" w:rsidRDefault="00F13E3A">
            <w:pPr>
              <w:rPr>
                <w:rFonts w:ascii="仿宋" w:eastAsia="仿宋" w:hAnsi="仿宋" w:cs="仿宋"/>
                <w:color w:val="000000"/>
                <w:sz w:val="24"/>
              </w:rPr>
            </w:pPr>
          </w:p>
        </w:tc>
        <w:tc>
          <w:tcPr>
            <w:tcW w:w="2288" w:type="dxa"/>
            <w:shd w:val="clear" w:color="auto" w:fill="auto"/>
            <w:vAlign w:val="center"/>
          </w:tcPr>
          <w:p w:rsidR="00F13E3A" w:rsidRDefault="00F13E3A">
            <w:pPr>
              <w:rPr>
                <w:rFonts w:ascii="仿宋" w:eastAsia="仿宋" w:hAnsi="仿宋" w:cs="仿宋"/>
                <w:color w:val="000000"/>
                <w:sz w:val="24"/>
              </w:rPr>
            </w:pPr>
          </w:p>
        </w:tc>
      </w:tr>
      <w:tr w:rsidR="00F13E3A" w:rsidTr="00D56AF1">
        <w:trPr>
          <w:trHeight w:val="294"/>
        </w:trPr>
        <w:tc>
          <w:tcPr>
            <w:tcW w:w="3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财政供养人员情况</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编制数</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2020年实际在职人数</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控制率</w:t>
            </w:r>
          </w:p>
        </w:tc>
      </w:tr>
      <w:tr w:rsidR="00F13E3A" w:rsidTr="00D56AF1">
        <w:trPr>
          <w:trHeight w:val="190"/>
        </w:trPr>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34</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39</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87.18%</w:t>
            </w:r>
          </w:p>
        </w:tc>
      </w:tr>
      <w:tr w:rsidR="00F13E3A" w:rsidTr="00D56AF1">
        <w:trPr>
          <w:trHeight w:val="202"/>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经费控制情况</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2019年决算数</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2020年预算数</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2020年决算数</w:t>
            </w:r>
          </w:p>
        </w:tc>
      </w:tr>
      <w:tr w:rsidR="00F13E3A" w:rsidTr="00D56AF1">
        <w:trPr>
          <w:trHeight w:val="247"/>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三公经费</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9.88</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35</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6.28</w:t>
            </w:r>
          </w:p>
        </w:tc>
      </w:tr>
      <w:tr w:rsidR="00F13E3A" w:rsidTr="00D56AF1">
        <w:trPr>
          <w:trHeight w:val="301"/>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1、公务用车购置和维护经费</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widowControl/>
              <w:jc w:val="center"/>
              <w:textAlignment w:val="center"/>
              <w:rPr>
                <w:rFonts w:ascii="仿宋" w:eastAsia="仿宋" w:hAnsi="仿宋" w:cs="仿宋"/>
                <w:color w:val="000000"/>
                <w:sz w:val="24"/>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widowControl/>
              <w:jc w:val="center"/>
              <w:textAlignment w:val="center"/>
              <w:rPr>
                <w:rFonts w:ascii="仿宋" w:eastAsia="仿宋" w:hAnsi="仿宋" w:cs="仿宋"/>
                <w:color w:val="000000"/>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widowControl/>
              <w:jc w:val="center"/>
              <w:textAlignment w:val="center"/>
              <w:rPr>
                <w:rFonts w:ascii="仿宋" w:eastAsia="仿宋" w:hAnsi="仿宋" w:cs="仿宋"/>
                <w:color w:val="000000"/>
                <w:sz w:val="24"/>
              </w:rPr>
            </w:pPr>
          </w:p>
        </w:tc>
      </w:tr>
      <w:tr w:rsidR="00F13E3A" w:rsidTr="00D56AF1">
        <w:trPr>
          <w:trHeight w:val="202"/>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       其中：公车购置</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r>
      <w:tr w:rsidR="00F13E3A" w:rsidTr="00D56AF1">
        <w:trPr>
          <w:trHeight w:val="209"/>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        公车运行维护</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0.41</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0.9</w:t>
            </w:r>
          </w:p>
        </w:tc>
      </w:tr>
      <w:tr w:rsidR="00F13E3A" w:rsidTr="00D56AF1">
        <w:trPr>
          <w:trHeight w:val="208"/>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2、出国经费</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r>
      <w:tr w:rsidR="00F13E3A" w:rsidTr="00D56AF1">
        <w:trPr>
          <w:trHeight w:val="202"/>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   3、公务接待</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9.47</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30</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5.39</w:t>
            </w:r>
          </w:p>
        </w:tc>
      </w:tr>
      <w:tr w:rsidR="00F13E3A" w:rsidTr="00D56AF1">
        <w:trPr>
          <w:trHeight w:val="200"/>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项目支出：</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widowControl/>
              <w:jc w:val="center"/>
              <w:textAlignment w:val="center"/>
              <w:rPr>
                <w:rFonts w:ascii="仿宋" w:eastAsia="仿宋" w:hAnsi="仿宋" w:cs="仿宋"/>
                <w:color w:val="000000"/>
                <w:sz w:val="24"/>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widowControl/>
              <w:jc w:val="center"/>
              <w:textAlignment w:val="center"/>
              <w:rPr>
                <w:rFonts w:ascii="仿宋" w:eastAsia="仿宋" w:hAnsi="仿宋" w:cs="仿宋"/>
                <w:color w:val="000000"/>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0A4D53">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50.75</w:t>
            </w:r>
          </w:p>
        </w:tc>
      </w:tr>
      <w:tr w:rsidR="00F13E3A" w:rsidTr="00D56AF1">
        <w:trPr>
          <w:trHeight w:val="190"/>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    1、科技三项经费</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jc w:val="center"/>
              <w:rPr>
                <w:rFonts w:ascii="仿宋" w:eastAsia="仿宋" w:hAnsi="仿宋" w:cs="仿宋"/>
                <w:color w:val="000000"/>
                <w:sz w:val="24"/>
              </w:rPr>
            </w:pPr>
            <w:r>
              <w:rPr>
                <w:rFonts w:ascii="仿宋" w:eastAsia="仿宋" w:hAnsi="仿宋" w:cs="仿宋" w:hint="eastAsia"/>
                <w:color w:val="000000"/>
                <w:sz w:val="24"/>
              </w:rPr>
              <w:t>22.5</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jc w:val="center"/>
              <w:rPr>
                <w:rFonts w:ascii="仿宋" w:eastAsia="仿宋" w:hAnsi="仿宋" w:cs="仿宋"/>
                <w:color w:val="000000"/>
                <w:sz w:val="24"/>
              </w:rPr>
            </w:pPr>
            <w:r>
              <w:rPr>
                <w:rFonts w:ascii="仿宋" w:eastAsia="仿宋" w:hAnsi="仿宋" w:cs="仿宋" w:hint="eastAsia"/>
                <w:color w:val="000000"/>
                <w:sz w:val="24"/>
              </w:rPr>
              <w:t>15.75</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jc w:val="center"/>
              <w:rPr>
                <w:rFonts w:ascii="仿宋" w:eastAsia="仿宋" w:hAnsi="仿宋" w:cs="仿宋"/>
                <w:color w:val="000000"/>
                <w:sz w:val="24"/>
              </w:rPr>
            </w:pPr>
            <w:r>
              <w:rPr>
                <w:rFonts w:ascii="仿宋" w:eastAsia="仿宋" w:hAnsi="仿宋" w:cs="仿宋" w:hint="eastAsia"/>
                <w:color w:val="000000"/>
                <w:sz w:val="24"/>
              </w:rPr>
              <w:t>15.75</w:t>
            </w:r>
          </w:p>
        </w:tc>
      </w:tr>
      <w:tr w:rsidR="00F13E3A" w:rsidTr="00D56AF1">
        <w:trPr>
          <w:trHeight w:val="208"/>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    2、经信科技专项业务费</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jc w:val="center"/>
              <w:rPr>
                <w:rFonts w:ascii="仿宋" w:eastAsia="仿宋" w:hAnsi="仿宋" w:cs="仿宋"/>
                <w:color w:val="000000"/>
                <w:sz w:val="24"/>
              </w:rPr>
            </w:pPr>
            <w:r>
              <w:rPr>
                <w:rFonts w:ascii="仿宋" w:eastAsia="仿宋" w:hAnsi="仿宋" w:cs="仿宋" w:hint="eastAsia"/>
                <w:color w:val="000000"/>
                <w:sz w:val="24"/>
              </w:rPr>
              <w:t>50</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jc w:val="center"/>
              <w:rPr>
                <w:rFonts w:ascii="仿宋" w:eastAsia="仿宋" w:hAnsi="仿宋" w:cs="仿宋"/>
                <w:color w:val="000000"/>
                <w:sz w:val="24"/>
              </w:rPr>
            </w:pPr>
            <w:r>
              <w:rPr>
                <w:rFonts w:ascii="仿宋" w:eastAsia="仿宋" w:hAnsi="仿宋" w:cs="仿宋" w:hint="eastAsia"/>
                <w:color w:val="000000"/>
                <w:sz w:val="24"/>
              </w:rPr>
              <w:t>35</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jc w:val="center"/>
              <w:rPr>
                <w:rFonts w:ascii="仿宋" w:eastAsia="仿宋" w:hAnsi="仿宋" w:cs="仿宋"/>
                <w:color w:val="000000"/>
                <w:sz w:val="24"/>
              </w:rPr>
            </w:pPr>
            <w:r>
              <w:rPr>
                <w:rFonts w:ascii="仿宋" w:eastAsia="仿宋" w:hAnsi="仿宋" w:cs="仿宋" w:hint="eastAsia"/>
                <w:color w:val="000000"/>
                <w:sz w:val="24"/>
              </w:rPr>
              <w:t>35</w:t>
            </w:r>
          </w:p>
        </w:tc>
      </w:tr>
      <w:tr w:rsidR="00F13E3A" w:rsidTr="00D56AF1">
        <w:trPr>
          <w:trHeight w:val="165"/>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          ……</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r>
      <w:tr w:rsidR="00F13E3A" w:rsidTr="00D56AF1">
        <w:trPr>
          <w:trHeight w:val="247"/>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公用经费</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327.06</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widowControl/>
              <w:jc w:val="center"/>
              <w:textAlignment w:val="center"/>
              <w:rPr>
                <w:rFonts w:ascii="仿宋" w:eastAsia="仿宋" w:hAnsi="仿宋" w:cs="仿宋"/>
                <w:color w:val="000000"/>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249.68</w:t>
            </w:r>
          </w:p>
        </w:tc>
      </w:tr>
      <w:tr w:rsidR="00F13E3A" w:rsidTr="00D56AF1">
        <w:trPr>
          <w:trHeight w:val="247"/>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  其中：办公经费</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132.89</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widowControl/>
              <w:jc w:val="center"/>
              <w:textAlignment w:val="center"/>
              <w:rPr>
                <w:rFonts w:ascii="仿宋" w:eastAsia="仿宋" w:hAnsi="仿宋" w:cs="仿宋"/>
                <w:color w:val="000000"/>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106.61</w:t>
            </w:r>
          </w:p>
        </w:tc>
      </w:tr>
      <w:tr w:rsidR="00F13E3A" w:rsidTr="00D56AF1">
        <w:trPr>
          <w:trHeight w:val="247"/>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   水费、电费、差旅费</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29.37</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widowControl/>
              <w:jc w:val="center"/>
              <w:textAlignment w:val="center"/>
              <w:rPr>
                <w:rFonts w:ascii="仿宋" w:eastAsia="仿宋" w:hAnsi="仿宋" w:cs="仿宋"/>
                <w:color w:val="000000"/>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24.72</w:t>
            </w:r>
          </w:p>
        </w:tc>
      </w:tr>
      <w:tr w:rsidR="00F13E3A" w:rsidTr="00D56AF1">
        <w:trPr>
          <w:trHeight w:val="232"/>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      会议费、培训费</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24.69</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widowControl/>
              <w:jc w:val="center"/>
              <w:textAlignment w:val="center"/>
              <w:rPr>
                <w:rFonts w:ascii="仿宋" w:eastAsia="仿宋" w:hAnsi="仿宋" w:cs="仿宋"/>
                <w:color w:val="000000"/>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22.18</w:t>
            </w:r>
          </w:p>
        </w:tc>
      </w:tr>
      <w:tr w:rsidR="00F13E3A" w:rsidTr="00D56AF1">
        <w:trPr>
          <w:trHeight w:val="233"/>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政府采购金额</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r>
      <w:tr w:rsidR="00F13E3A" w:rsidTr="00D56AF1">
        <w:trPr>
          <w:trHeight w:val="247"/>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部门整体支出预算调整 </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w:t>
            </w: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r>
      <w:tr w:rsidR="00F13E3A" w:rsidTr="00D56AF1">
        <w:trPr>
          <w:trHeight w:val="390"/>
        </w:trPr>
        <w:tc>
          <w:tcPr>
            <w:tcW w:w="3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楼堂馆所控制情况      （2020年完工项目）</w:t>
            </w:r>
          </w:p>
        </w:tc>
        <w:tc>
          <w:tcPr>
            <w:tcW w:w="3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批复规模（㎡）</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实际规模（㎡）</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规模控制率</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预算投资（万元）</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实际投资（万元）</w:t>
            </w:r>
          </w:p>
        </w:tc>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投资概算控制率</w:t>
            </w:r>
          </w:p>
        </w:tc>
      </w:tr>
      <w:tr w:rsidR="00F13E3A" w:rsidTr="00D56AF1">
        <w:trPr>
          <w:trHeight w:val="399"/>
        </w:trPr>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c>
          <w:tcPr>
            <w:tcW w:w="3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b/>
                <w:color w:val="000000"/>
                <w:sz w:val="24"/>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b/>
                <w:color w:val="000000"/>
                <w:sz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b/>
                <w:color w:val="000000"/>
                <w:sz w:val="24"/>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b/>
                <w:color w:val="000000"/>
                <w:sz w:val="24"/>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b/>
                <w:color w:val="000000"/>
                <w:sz w:val="24"/>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b/>
                <w:color w:val="000000"/>
                <w:sz w:val="24"/>
              </w:rPr>
            </w:pPr>
          </w:p>
        </w:tc>
      </w:tr>
      <w:tr w:rsidR="00F13E3A" w:rsidTr="00D56AF1">
        <w:trPr>
          <w:trHeight w:val="239"/>
        </w:trPr>
        <w:tc>
          <w:tcPr>
            <w:tcW w:w="32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c>
          <w:tcPr>
            <w:tcW w:w="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 w:eastAsia="仿宋" w:hAnsi="仿宋" w:cs="仿宋"/>
                <w:color w:val="000000"/>
                <w:sz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 w:eastAsia="仿宋" w:hAnsi="仿宋" w:cs="仿宋"/>
                <w:color w:val="000000"/>
                <w:sz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 w:eastAsia="仿宋" w:hAnsi="仿宋" w:cs="仿宋"/>
                <w:color w:val="000000"/>
                <w:sz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 w:eastAsia="仿宋" w:hAnsi="仿宋" w:cs="仿宋"/>
                <w:color w:val="000000"/>
                <w:sz w:val="24"/>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left"/>
              <w:rPr>
                <w:rFonts w:ascii="仿宋" w:eastAsia="仿宋" w:hAnsi="仿宋" w:cs="仿宋"/>
                <w:color w:val="000000"/>
                <w:sz w:val="24"/>
              </w:rPr>
            </w:pPr>
          </w:p>
        </w:tc>
      </w:tr>
      <w:tr w:rsidR="00F13E3A" w:rsidTr="00D56AF1">
        <w:trPr>
          <w:trHeight w:val="350"/>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5A221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厉行节约保障措施</w:t>
            </w:r>
          </w:p>
        </w:tc>
        <w:tc>
          <w:tcPr>
            <w:tcW w:w="616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13E3A" w:rsidRDefault="00F13E3A">
            <w:pPr>
              <w:jc w:val="center"/>
              <w:rPr>
                <w:rFonts w:ascii="仿宋" w:eastAsia="仿宋" w:hAnsi="仿宋" w:cs="仿宋"/>
                <w:color w:val="000000"/>
                <w:sz w:val="24"/>
              </w:rPr>
            </w:pPr>
          </w:p>
        </w:tc>
      </w:tr>
      <w:tr w:rsidR="00F13E3A" w:rsidTr="00D56AF1">
        <w:trPr>
          <w:trHeight w:val="382"/>
        </w:trPr>
        <w:tc>
          <w:tcPr>
            <w:tcW w:w="9420" w:type="dxa"/>
            <w:gridSpan w:val="9"/>
            <w:tcBorders>
              <w:top w:val="single" w:sz="4" w:space="0" w:color="000000"/>
            </w:tcBorders>
            <w:shd w:val="clear" w:color="auto" w:fill="auto"/>
            <w:vAlign w:val="center"/>
          </w:tcPr>
          <w:p w:rsidR="00F13E3A" w:rsidRDefault="005A221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    说明：“项目支出”需要填报除基本支出以外的所有项目情况，包括业务工作项目、运行维护项目等；“公用经费”填报基本支出中的一般商品和服务支出。</w:t>
            </w:r>
          </w:p>
        </w:tc>
      </w:tr>
    </w:tbl>
    <w:p w:rsidR="00F13E3A" w:rsidRDefault="00F13E3A">
      <w:pPr>
        <w:spacing w:line="600" w:lineRule="exact"/>
        <w:rPr>
          <w:rFonts w:ascii="仿宋" w:eastAsia="仿宋" w:hAnsi="仿宋" w:cs="Times New Roman"/>
          <w:sz w:val="32"/>
          <w:szCs w:val="32"/>
        </w:rPr>
      </w:pPr>
    </w:p>
    <w:sectPr w:rsidR="00F13E3A" w:rsidSect="00F13E3A">
      <w:pgSz w:w="11906" w:h="16838"/>
      <w:pgMar w:top="1100" w:right="1080" w:bottom="1043" w:left="1080" w:header="851" w:footer="992" w:gutter="0"/>
      <w:cols w:space="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294" w:rsidRDefault="00363294" w:rsidP="000A4D53">
      <w:r>
        <w:separator/>
      </w:r>
    </w:p>
  </w:endnote>
  <w:endnote w:type="continuationSeparator" w:id="1">
    <w:p w:rsidR="00363294" w:rsidRDefault="00363294" w:rsidP="000A4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altName w:val="Calibri"/>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294" w:rsidRDefault="00363294" w:rsidP="000A4D53">
      <w:r>
        <w:separator/>
      </w:r>
    </w:p>
  </w:footnote>
  <w:footnote w:type="continuationSeparator" w:id="1">
    <w:p w:rsidR="00363294" w:rsidRDefault="00363294" w:rsidP="000A4D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B20609"/>
    <w:multiLevelType w:val="singleLevel"/>
    <w:tmpl w:val="8DB20609"/>
    <w:lvl w:ilvl="0">
      <w:start w:val="6"/>
      <w:numFmt w:val="decimal"/>
      <w:suff w:val="nothing"/>
      <w:lvlText w:val="%1、"/>
      <w:lvlJc w:val="left"/>
    </w:lvl>
  </w:abstractNum>
  <w:abstractNum w:abstractNumId="1">
    <w:nsid w:val="F2ACA269"/>
    <w:multiLevelType w:val="singleLevel"/>
    <w:tmpl w:val="F2ACA269"/>
    <w:lvl w:ilvl="0">
      <w:start w:val="1"/>
      <w:numFmt w:val="decimal"/>
      <w:suff w:val="nothing"/>
      <w:lvlText w:val="%1、"/>
      <w:lvlJc w:val="left"/>
    </w:lvl>
  </w:abstractNum>
  <w:abstractNum w:abstractNumId="2">
    <w:nsid w:val="60F699CC"/>
    <w:multiLevelType w:val="singleLevel"/>
    <w:tmpl w:val="60F699CC"/>
    <w:lvl w:ilvl="0">
      <w:start w:val="5"/>
      <w:numFmt w:val="decimal"/>
      <w:suff w:val="nothing"/>
      <w:lvlText w:val="%1、"/>
      <w:lvlJc w:val="left"/>
    </w:lvl>
  </w:abstractNum>
  <w:abstractNum w:abstractNumId="3">
    <w:nsid w:val="60F92350"/>
    <w:multiLevelType w:val="singleLevel"/>
    <w:tmpl w:val="60F92350"/>
    <w:lvl w:ilvl="0">
      <w:start w:val="3"/>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HorizontalSpacing w:val="105"/>
  <w:drawingGridVerticalSpacing w:val="157"/>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E3D0395"/>
    <w:rsid w:val="0003550F"/>
    <w:rsid w:val="00073BD3"/>
    <w:rsid w:val="000747A2"/>
    <w:rsid w:val="000A4D53"/>
    <w:rsid w:val="000A6C05"/>
    <w:rsid w:val="0010381C"/>
    <w:rsid w:val="00122903"/>
    <w:rsid w:val="00141EE3"/>
    <w:rsid w:val="00183A39"/>
    <w:rsid w:val="001D1E14"/>
    <w:rsid w:val="001F6ABC"/>
    <w:rsid w:val="002160E6"/>
    <w:rsid w:val="00286CDA"/>
    <w:rsid w:val="002F0478"/>
    <w:rsid w:val="00303D22"/>
    <w:rsid w:val="00331A1D"/>
    <w:rsid w:val="00346288"/>
    <w:rsid w:val="0035219B"/>
    <w:rsid w:val="003604F3"/>
    <w:rsid w:val="00363294"/>
    <w:rsid w:val="00373951"/>
    <w:rsid w:val="00384D42"/>
    <w:rsid w:val="003A4D25"/>
    <w:rsid w:val="003E1571"/>
    <w:rsid w:val="00424DB9"/>
    <w:rsid w:val="00453FF1"/>
    <w:rsid w:val="0048421A"/>
    <w:rsid w:val="00503CCC"/>
    <w:rsid w:val="0051559B"/>
    <w:rsid w:val="005A2213"/>
    <w:rsid w:val="005D6CFD"/>
    <w:rsid w:val="00642A84"/>
    <w:rsid w:val="006919A7"/>
    <w:rsid w:val="006C6E24"/>
    <w:rsid w:val="00740C44"/>
    <w:rsid w:val="00792C90"/>
    <w:rsid w:val="007A2CF0"/>
    <w:rsid w:val="0087372F"/>
    <w:rsid w:val="008A51C5"/>
    <w:rsid w:val="008C6CBB"/>
    <w:rsid w:val="008E0E74"/>
    <w:rsid w:val="008E2CA0"/>
    <w:rsid w:val="009B5B75"/>
    <w:rsid w:val="009C2808"/>
    <w:rsid w:val="00A07DB2"/>
    <w:rsid w:val="00A100F6"/>
    <w:rsid w:val="00A17E6D"/>
    <w:rsid w:val="00A40273"/>
    <w:rsid w:val="00A767FE"/>
    <w:rsid w:val="00AB6831"/>
    <w:rsid w:val="00AD4125"/>
    <w:rsid w:val="00AF7C4A"/>
    <w:rsid w:val="00B12CD3"/>
    <w:rsid w:val="00B73104"/>
    <w:rsid w:val="00B93E74"/>
    <w:rsid w:val="00BB7AE4"/>
    <w:rsid w:val="00C143C1"/>
    <w:rsid w:val="00C30EF9"/>
    <w:rsid w:val="00C54204"/>
    <w:rsid w:val="00CD575A"/>
    <w:rsid w:val="00D0706E"/>
    <w:rsid w:val="00D26810"/>
    <w:rsid w:val="00D56AF1"/>
    <w:rsid w:val="00D66807"/>
    <w:rsid w:val="00D8429F"/>
    <w:rsid w:val="00DC65F1"/>
    <w:rsid w:val="00DD0050"/>
    <w:rsid w:val="00E3705E"/>
    <w:rsid w:val="00E452A2"/>
    <w:rsid w:val="00E73CAB"/>
    <w:rsid w:val="00E83CF8"/>
    <w:rsid w:val="00EA3C35"/>
    <w:rsid w:val="00EC4B14"/>
    <w:rsid w:val="00EF47F8"/>
    <w:rsid w:val="00F0007C"/>
    <w:rsid w:val="00F13E3A"/>
    <w:rsid w:val="00F51C94"/>
    <w:rsid w:val="00F867C3"/>
    <w:rsid w:val="00F94D0A"/>
    <w:rsid w:val="00F96137"/>
    <w:rsid w:val="01E17EFE"/>
    <w:rsid w:val="055B6364"/>
    <w:rsid w:val="0BC72F38"/>
    <w:rsid w:val="0C1850DC"/>
    <w:rsid w:val="0E0D18E2"/>
    <w:rsid w:val="14FD3A35"/>
    <w:rsid w:val="17464A03"/>
    <w:rsid w:val="19122F1D"/>
    <w:rsid w:val="20D00758"/>
    <w:rsid w:val="21EC27BE"/>
    <w:rsid w:val="22863AB9"/>
    <w:rsid w:val="23CC3B29"/>
    <w:rsid w:val="26733897"/>
    <w:rsid w:val="270A366D"/>
    <w:rsid w:val="2A185716"/>
    <w:rsid w:val="2B2A463E"/>
    <w:rsid w:val="2C023472"/>
    <w:rsid w:val="2C3B24DB"/>
    <w:rsid w:val="2F8E7218"/>
    <w:rsid w:val="319118B1"/>
    <w:rsid w:val="32B300A6"/>
    <w:rsid w:val="333F7414"/>
    <w:rsid w:val="339876AE"/>
    <w:rsid w:val="341C357F"/>
    <w:rsid w:val="34893F93"/>
    <w:rsid w:val="37FF1589"/>
    <w:rsid w:val="39AD5D24"/>
    <w:rsid w:val="3E3D0395"/>
    <w:rsid w:val="402B6133"/>
    <w:rsid w:val="40CA58CC"/>
    <w:rsid w:val="420263F5"/>
    <w:rsid w:val="429569CD"/>
    <w:rsid w:val="44234CC8"/>
    <w:rsid w:val="4D605C00"/>
    <w:rsid w:val="51191371"/>
    <w:rsid w:val="516B6477"/>
    <w:rsid w:val="518F6D6B"/>
    <w:rsid w:val="584040E5"/>
    <w:rsid w:val="5A312CA9"/>
    <w:rsid w:val="5E9123C2"/>
    <w:rsid w:val="5FAF228B"/>
    <w:rsid w:val="5FB377BF"/>
    <w:rsid w:val="65675315"/>
    <w:rsid w:val="67FF2650"/>
    <w:rsid w:val="6C0D165E"/>
    <w:rsid w:val="6D9A31E4"/>
    <w:rsid w:val="71CC099F"/>
    <w:rsid w:val="785526B0"/>
    <w:rsid w:val="7C645E4D"/>
    <w:rsid w:val="7CFB22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uiPriority="1"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13E3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qFormat/>
    <w:rsid w:val="00F13E3A"/>
    <w:pPr>
      <w:ind w:firstLineChars="200" w:firstLine="420"/>
    </w:pPr>
    <w:rPr>
      <w:rFonts w:eastAsia="仿宋_GB2312"/>
    </w:rPr>
  </w:style>
  <w:style w:type="paragraph" w:styleId="a3">
    <w:name w:val="footer"/>
    <w:basedOn w:val="a"/>
    <w:uiPriority w:val="99"/>
    <w:qFormat/>
    <w:rsid w:val="00F13E3A"/>
    <w:pPr>
      <w:tabs>
        <w:tab w:val="center" w:pos="4153"/>
        <w:tab w:val="right" w:pos="8306"/>
      </w:tabs>
      <w:snapToGrid w:val="0"/>
      <w:jc w:val="left"/>
    </w:pPr>
    <w:rPr>
      <w:sz w:val="18"/>
      <w:szCs w:val="18"/>
    </w:rPr>
  </w:style>
  <w:style w:type="paragraph" w:styleId="a4">
    <w:name w:val="Normal (Web)"/>
    <w:basedOn w:val="a"/>
    <w:qFormat/>
    <w:rsid w:val="00F13E3A"/>
    <w:pPr>
      <w:widowControl/>
      <w:adjustRightInd w:val="0"/>
      <w:snapToGrid w:val="0"/>
      <w:spacing w:beforeAutospacing="1" w:after="200" w:afterAutospacing="1"/>
      <w:jc w:val="left"/>
    </w:pPr>
    <w:rPr>
      <w:rFonts w:ascii="Tahoma" w:eastAsia="微软雅黑" w:hAnsi="Tahoma"/>
      <w:kern w:val="0"/>
      <w:sz w:val="24"/>
    </w:rPr>
  </w:style>
  <w:style w:type="paragraph" w:styleId="a5">
    <w:name w:val="Title"/>
    <w:basedOn w:val="a"/>
    <w:next w:val="a"/>
    <w:link w:val="Char"/>
    <w:qFormat/>
    <w:rsid w:val="00F13E3A"/>
    <w:pPr>
      <w:spacing w:before="240" w:after="60"/>
      <w:jc w:val="center"/>
      <w:outlineLvl w:val="0"/>
    </w:pPr>
    <w:rPr>
      <w:rFonts w:asciiTheme="majorHAnsi" w:eastAsia="宋体" w:hAnsiTheme="majorHAnsi" w:cstheme="majorBidi"/>
      <w:b/>
      <w:bCs/>
      <w:sz w:val="32"/>
      <w:szCs w:val="32"/>
    </w:rPr>
  </w:style>
  <w:style w:type="character" w:styleId="a6">
    <w:name w:val="page number"/>
    <w:basedOn w:val="a0"/>
    <w:uiPriority w:val="99"/>
    <w:qFormat/>
    <w:rsid w:val="00F13E3A"/>
  </w:style>
  <w:style w:type="character" w:styleId="a7">
    <w:name w:val="FollowedHyperlink"/>
    <w:basedOn w:val="a0"/>
    <w:rsid w:val="00F13E3A"/>
    <w:rPr>
      <w:color w:val="333333"/>
      <w:u w:val="none"/>
    </w:rPr>
  </w:style>
  <w:style w:type="character" w:styleId="a8">
    <w:name w:val="Emphasis"/>
    <w:basedOn w:val="a0"/>
    <w:qFormat/>
    <w:rsid w:val="00F13E3A"/>
  </w:style>
  <w:style w:type="character" w:styleId="HTML">
    <w:name w:val="HTML Definition"/>
    <w:basedOn w:val="a0"/>
    <w:rsid w:val="00F13E3A"/>
  </w:style>
  <w:style w:type="character" w:styleId="HTML0">
    <w:name w:val="HTML Variable"/>
    <w:basedOn w:val="a0"/>
    <w:rsid w:val="00F13E3A"/>
  </w:style>
  <w:style w:type="character" w:styleId="a9">
    <w:name w:val="Hyperlink"/>
    <w:basedOn w:val="a0"/>
    <w:qFormat/>
    <w:rsid w:val="00F13E3A"/>
    <w:rPr>
      <w:color w:val="333333"/>
      <w:u w:val="none"/>
    </w:rPr>
  </w:style>
  <w:style w:type="character" w:styleId="HTML1">
    <w:name w:val="HTML Code"/>
    <w:basedOn w:val="a0"/>
    <w:qFormat/>
    <w:rsid w:val="00F13E3A"/>
    <w:rPr>
      <w:rFonts w:ascii="Courier New" w:hAnsi="Courier New"/>
      <w:sz w:val="20"/>
    </w:rPr>
  </w:style>
  <w:style w:type="character" w:styleId="HTML2">
    <w:name w:val="HTML Cite"/>
    <w:basedOn w:val="a0"/>
    <w:qFormat/>
    <w:rsid w:val="00F13E3A"/>
  </w:style>
  <w:style w:type="paragraph" w:customStyle="1" w:styleId="reader-word-layer">
    <w:name w:val="reader-word-layer"/>
    <w:basedOn w:val="a"/>
    <w:qFormat/>
    <w:rsid w:val="00F13E3A"/>
    <w:pPr>
      <w:widowControl/>
      <w:spacing w:before="100" w:beforeAutospacing="1" w:after="100" w:afterAutospacing="1"/>
      <w:jc w:val="left"/>
    </w:pPr>
    <w:rPr>
      <w:rFonts w:ascii="宋体" w:eastAsia="宋体" w:hAnsi="宋体" w:cs="宋体"/>
      <w:kern w:val="0"/>
      <w:sz w:val="24"/>
    </w:rPr>
  </w:style>
  <w:style w:type="character" w:customStyle="1" w:styleId="Char">
    <w:name w:val="标题 Char"/>
    <w:basedOn w:val="a0"/>
    <w:link w:val="a5"/>
    <w:qFormat/>
    <w:rsid w:val="00F13E3A"/>
    <w:rPr>
      <w:rFonts w:asciiTheme="majorHAnsi" w:eastAsia="宋体" w:hAnsiTheme="majorHAnsi" w:cstheme="majorBidi"/>
      <w:b/>
      <w:bCs/>
      <w:kern w:val="2"/>
      <w:sz w:val="32"/>
      <w:szCs w:val="32"/>
    </w:rPr>
  </w:style>
  <w:style w:type="paragraph" w:customStyle="1" w:styleId="1">
    <w:name w:val="列出段落1"/>
    <w:basedOn w:val="a"/>
    <w:uiPriority w:val="99"/>
    <w:unhideWhenUsed/>
    <w:qFormat/>
    <w:rsid w:val="00F13E3A"/>
    <w:pPr>
      <w:ind w:firstLineChars="200" w:firstLine="420"/>
    </w:pPr>
  </w:style>
  <w:style w:type="character" w:customStyle="1" w:styleId="font21">
    <w:name w:val="font21"/>
    <w:basedOn w:val="a0"/>
    <w:qFormat/>
    <w:rsid w:val="00F13E3A"/>
    <w:rPr>
      <w:rFonts w:ascii="宋体" w:eastAsia="宋体" w:hAnsi="宋体" w:cs="宋体" w:hint="eastAsia"/>
      <w:color w:val="000000"/>
      <w:sz w:val="20"/>
      <w:szCs w:val="20"/>
      <w:u w:val="none"/>
    </w:rPr>
  </w:style>
  <w:style w:type="character" w:customStyle="1" w:styleId="font41">
    <w:name w:val="font41"/>
    <w:basedOn w:val="a0"/>
    <w:qFormat/>
    <w:rsid w:val="00F13E3A"/>
    <w:rPr>
      <w:rFonts w:ascii="仿宋_GB2312" w:eastAsia="仿宋_GB2312" w:cs="仿宋_GB2312" w:hint="default"/>
      <w:color w:val="000000"/>
      <w:sz w:val="20"/>
      <w:szCs w:val="20"/>
      <w:u w:val="none"/>
    </w:rPr>
  </w:style>
  <w:style w:type="paragraph" w:customStyle="1" w:styleId="10">
    <w:name w:val="列出段落1"/>
    <w:basedOn w:val="a"/>
    <w:uiPriority w:val="34"/>
    <w:qFormat/>
    <w:rsid w:val="00F13E3A"/>
    <w:pPr>
      <w:ind w:firstLineChars="200" w:firstLine="420"/>
    </w:pPr>
  </w:style>
  <w:style w:type="character" w:customStyle="1" w:styleId="hover">
    <w:name w:val="hover"/>
    <w:basedOn w:val="a0"/>
    <w:qFormat/>
    <w:rsid w:val="00F13E3A"/>
    <w:rPr>
      <w:color w:val="000000"/>
      <w:shd w:val="clear" w:color="auto" w:fill="FFFFFF"/>
    </w:rPr>
  </w:style>
  <w:style w:type="character" w:customStyle="1" w:styleId="hover1">
    <w:name w:val="hover1"/>
    <w:basedOn w:val="a0"/>
    <w:qFormat/>
    <w:rsid w:val="00F13E3A"/>
    <w:rPr>
      <w:shd w:val="clear" w:color="auto" w:fill="DAEEFF"/>
    </w:rPr>
  </w:style>
  <w:style w:type="character" w:customStyle="1" w:styleId="last-child">
    <w:name w:val="last-child"/>
    <w:basedOn w:val="a0"/>
    <w:rsid w:val="00F13E3A"/>
  </w:style>
  <w:style w:type="character" w:customStyle="1" w:styleId="last-child1">
    <w:name w:val="last-child1"/>
    <w:basedOn w:val="a0"/>
    <w:qFormat/>
    <w:rsid w:val="00F13E3A"/>
    <w:rPr>
      <w:color w:val="333333"/>
    </w:rPr>
  </w:style>
  <w:style w:type="character" w:customStyle="1" w:styleId="bsharetext">
    <w:name w:val="bsharetext"/>
    <w:basedOn w:val="a0"/>
    <w:qFormat/>
    <w:rsid w:val="00F13E3A"/>
  </w:style>
  <w:style w:type="character" w:customStyle="1" w:styleId="wx-space">
    <w:name w:val="wx-space"/>
    <w:basedOn w:val="a0"/>
    <w:rsid w:val="00F13E3A"/>
  </w:style>
  <w:style w:type="character" w:customStyle="1" w:styleId="wx-space1">
    <w:name w:val="wx-space1"/>
    <w:basedOn w:val="a0"/>
    <w:qFormat/>
    <w:rsid w:val="00F13E3A"/>
  </w:style>
  <w:style w:type="paragraph" w:styleId="aa">
    <w:name w:val="header"/>
    <w:basedOn w:val="a"/>
    <w:link w:val="Char0"/>
    <w:rsid w:val="000A4D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0A4D5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2619</Words>
  <Characters>14930</Characters>
  <Application>Microsoft Office Word</Application>
  <DocSecurity>0</DocSecurity>
  <Lines>124</Lines>
  <Paragraphs>35</Paragraphs>
  <ScaleCrop>false</ScaleCrop>
  <Company>CHINA</Company>
  <LinksUpToDate>false</LinksUpToDate>
  <CharactersWithSpaces>17514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23</cp:revision>
  <cp:lastPrinted>2017-05-11T06:24:00Z</cp:lastPrinted>
  <dcterms:created xsi:type="dcterms:W3CDTF">2016-10-31T09:27:00Z</dcterms:created>
  <dcterms:modified xsi:type="dcterms:W3CDTF">2021-08-04T08:12:00Z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