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A63" w:rsidRDefault="00347A63">
      <w:pPr>
        <w:spacing w:line="700" w:lineRule="exact"/>
        <w:jc w:val="center"/>
        <w:rPr>
          <w:color w:val="000000" w:themeColor="text1"/>
          <w:szCs w:val="32"/>
        </w:rPr>
      </w:pPr>
    </w:p>
    <w:p w:rsidR="00347A63" w:rsidRDefault="00347A63">
      <w:pPr>
        <w:spacing w:line="700" w:lineRule="exact"/>
        <w:jc w:val="center"/>
        <w:rPr>
          <w:color w:val="000000" w:themeColor="text1"/>
          <w:szCs w:val="32"/>
        </w:rPr>
      </w:pPr>
    </w:p>
    <w:p w:rsidR="00347A63" w:rsidRDefault="00347A63">
      <w:pPr>
        <w:spacing w:line="700" w:lineRule="exact"/>
        <w:jc w:val="center"/>
        <w:rPr>
          <w:color w:val="000000" w:themeColor="text1"/>
          <w:szCs w:val="32"/>
        </w:rPr>
      </w:pPr>
    </w:p>
    <w:p w:rsidR="00347A63" w:rsidRDefault="00347A63">
      <w:pPr>
        <w:spacing w:line="700" w:lineRule="exact"/>
        <w:jc w:val="center"/>
        <w:rPr>
          <w:color w:val="000000" w:themeColor="text1"/>
          <w:szCs w:val="32"/>
        </w:rPr>
      </w:pPr>
    </w:p>
    <w:p w:rsidR="00347A63" w:rsidRDefault="00347A63">
      <w:pPr>
        <w:spacing w:line="700" w:lineRule="exact"/>
        <w:jc w:val="center"/>
        <w:rPr>
          <w:color w:val="000000" w:themeColor="text1"/>
          <w:szCs w:val="32"/>
        </w:rPr>
      </w:pPr>
    </w:p>
    <w:p w:rsidR="00347A63" w:rsidRDefault="00347A63">
      <w:pPr>
        <w:spacing w:line="700" w:lineRule="exact"/>
        <w:jc w:val="center"/>
        <w:rPr>
          <w:color w:val="000000" w:themeColor="text1"/>
          <w:szCs w:val="32"/>
        </w:rPr>
      </w:pPr>
    </w:p>
    <w:p w:rsidR="00347A63" w:rsidRDefault="00347A63">
      <w:pPr>
        <w:spacing w:line="600" w:lineRule="exact"/>
        <w:jc w:val="center"/>
        <w:rPr>
          <w:rFonts w:ascii="楷体_GB2312" w:eastAsia="楷体_GB2312" w:hAnsi="楷体_GB2312" w:cs="楷体_GB2312"/>
          <w:color w:val="000000" w:themeColor="text1"/>
          <w:sz w:val="32"/>
          <w:szCs w:val="32"/>
        </w:rPr>
      </w:pPr>
    </w:p>
    <w:p w:rsidR="00347A63" w:rsidRDefault="00EA146C">
      <w:pPr>
        <w:spacing w:line="70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芷文旅广体发[2020]12号                签发人：李艳军</w:t>
      </w:r>
    </w:p>
    <w:p w:rsidR="00347A63" w:rsidRDefault="00347A63">
      <w:pPr>
        <w:spacing w:line="600" w:lineRule="exact"/>
        <w:jc w:val="center"/>
        <w:rPr>
          <w:rFonts w:ascii="黑体" w:eastAsia="黑体" w:hAnsi="黑体" w:cs="黑体"/>
          <w:color w:val="000000" w:themeColor="text1"/>
          <w:szCs w:val="32"/>
        </w:rPr>
      </w:pPr>
    </w:p>
    <w:p w:rsidR="00347A63" w:rsidRDefault="00EA146C">
      <w:pPr>
        <w:pStyle w:val="2"/>
        <w:spacing w:before="0" w:beforeAutospacing="0" w:after="0" w:afterAutospacing="0" w:line="550" w:lineRule="exact"/>
        <w:jc w:val="center"/>
        <w:rPr>
          <w:rFonts w:ascii="方正大标宋简体" w:eastAsia="方正大标宋简体" w:hAnsi="方正大标宋简体" w:cs="方正大标宋简体"/>
          <w:b w:val="0"/>
          <w:color w:val="000000" w:themeColor="text1"/>
          <w:sz w:val="44"/>
          <w:szCs w:val="44"/>
        </w:rPr>
      </w:pPr>
      <w:r>
        <w:rPr>
          <w:rFonts w:ascii="方正大标宋简体" w:eastAsia="方正大标宋简体" w:hAnsi="方正大标宋简体" w:cs="方正大标宋简体" w:hint="eastAsia"/>
          <w:b w:val="0"/>
          <w:color w:val="000000" w:themeColor="text1"/>
          <w:sz w:val="44"/>
          <w:szCs w:val="44"/>
        </w:rPr>
        <w:t>芷江侗族自治县文化旅游广电体育局</w:t>
      </w:r>
    </w:p>
    <w:p w:rsidR="00347A63" w:rsidRDefault="00EA146C">
      <w:pPr>
        <w:pStyle w:val="p0"/>
        <w:spacing w:line="550" w:lineRule="exact"/>
        <w:jc w:val="center"/>
        <w:rPr>
          <w:rFonts w:ascii="方正大标宋简体" w:eastAsia="方正大标宋简体" w:hAnsi="方正大标宋简体" w:cs="方正大标宋简体"/>
          <w:color w:val="000000" w:themeColor="text1"/>
          <w:sz w:val="44"/>
          <w:szCs w:val="44"/>
        </w:rPr>
      </w:pPr>
      <w:r>
        <w:rPr>
          <w:rFonts w:ascii="方正大标宋简体" w:eastAsia="方正大标宋简体" w:hAnsi="方正大标宋简体" w:cs="方正大标宋简体" w:hint="eastAsia"/>
          <w:color w:val="000000" w:themeColor="text1"/>
          <w:sz w:val="44"/>
          <w:szCs w:val="44"/>
        </w:rPr>
        <w:t>关于2019年度财政资金绩效评估的自评报告</w:t>
      </w:r>
    </w:p>
    <w:p w:rsidR="00347A63" w:rsidRDefault="00347A63">
      <w:pPr>
        <w:pStyle w:val="p0"/>
        <w:spacing w:line="550" w:lineRule="exact"/>
        <w:rPr>
          <w:rFonts w:ascii="方正大标宋简体" w:eastAsia="方正大标宋简体" w:hAnsi="宋体"/>
          <w:bCs/>
          <w:color w:val="000000" w:themeColor="text1"/>
          <w:spacing w:val="-11"/>
          <w:sz w:val="44"/>
        </w:rPr>
      </w:pPr>
    </w:p>
    <w:p w:rsidR="00347A63" w:rsidRDefault="00EA146C">
      <w:pPr>
        <w:spacing w:line="55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县财政局：</w:t>
      </w:r>
    </w:p>
    <w:p w:rsidR="00347A63" w:rsidRDefault="00EA146C">
      <w:pPr>
        <w:spacing w:line="550" w:lineRule="exact"/>
        <w:ind w:firstLineChars="200" w:firstLine="640"/>
        <w:rPr>
          <w:rFonts w:ascii="仿宋_GB2312" w:eastAsia="仿宋_GB2312" w:hAnsi="仿宋_GB2312" w:cs="仿宋_GB2312"/>
          <w:color w:val="000000" w:themeColor="text1"/>
          <w:spacing w:val="-2"/>
          <w:sz w:val="32"/>
          <w:szCs w:val="32"/>
        </w:rPr>
      </w:pPr>
      <w:r>
        <w:rPr>
          <w:rFonts w:ascii="仿宋_GB2312" w:eastAsia="仿宋_GB2312" w:hAnsi="仿宋_GB2312" w:cs="仿宋_GB2312" w:hint="eastAsia"/>
          <w:color w:val="000000" w:themeColor="text1"/>
          <w:sz w:val="32"/>
          <w:szCs w:val="32"/>
        </w:rPr>
        <w:t>根据芷财绩[2020]1号文件</w:t>
      </w:r>
      <w:r>
        <w:rPr>
          <w:rFonts w:ascii="仿宋_GB2312" w:eastAsia="仿宋_GB2312" w:hAnsi="仿宋" w:hint="eastAsia"/>
          <w:color w:val="000000" w:themeColor="text1"/>
          <w:spacing w:val="-2"/>
          <w:sz w:val="32"/>
          <w:szCs w:val="32"/>
        </w:rPr>
        <w:t>《关于开展2019年度财政资金绩效评价工作的通知》</w:t>
      </w:r>
      <w:r>
        <w:rPr>
          <w:rFonts w:ascii="仿宋_GB2312" w:eastAsia="仿宋_GB2312" w:hAnsi="仿宋_GB2312" w:cs="仿宋_GB2312" w:hint="eastAsia"/>
          <w:color w:val="000000" w:themeColor="text1"/>
          <w:spacing w:val="-2"/>
          <w:sz w:val="32"/>
          <w:szCs w:val="32"/>
        </w:rPr>
        <w:t>要求，我单位建立了机构，组织专门人员对2019年度财政资金度整体支出及项目支出进行了自评，对整体支出及专项资金的投入、过程、产出及效果等内容进行了逐项评价，撰写了自评报告，并对自评项目进行了打分，自评结果均为优。</w:t>
      </w:r>
    </w:p>
    <w:p w:rsidR="00347A63" w:rsidRDefault="00EA146C">
      <w:pPr>
        <w:spacing w:line="550" w:lineRule="exact"/>
        <w:ind w:firstLine="420"/>
        <w:rPr>
          <w:rFonts w:ascii="仿宋_GB2312" w:eastAsia="仿宋_GB2312" w:hAnsi="仿宋_GB2312" w:cs="仿宋_GB2312"/>
          <w:color w:val="000000" w:themeColor="text1"/>
          <w:spacing w:val="-2"/>
          <w:sz w:val="32"/>
          <w:szCs w:val="32"/>
        </w:rPr>
      </w:pPr>
      <w:r>
        <w:rPr>
          <w:rFonts w:ascii="仿宋_GB2312" w:eastAsia="仿宋_GB2312" w:hAnsi="仿宋_GB2312" w:cs="仿宋_GB2312" w:hint="eastAsia"/>
          <w:color w:val="000000" w:themeColor="text1"/>
          <w:spacing w:val="-2"/>
          <w:sz w:val="32"/>
          <w:szCs w:val="32"/>
        </w:rPr>
        <w:t>附件：</w:t>
      </w:r>
    </w:p>
    <w:p w:rsidR="00347A63" w:rsidRDefault="00EA146C">
      <w:pPr>
        <w:spacing w:line="550" w:lineRule="exact"/>
        <w:ind w:firstLine="420"/>
        <w:rPr>
          <w:rFonts w:ascii="仿宋_GB2312" w:eastAsia="仿宋_GB2312" w:hAnsi="仿宋_GB2312" w:cs="仿宋_GB2312"/>
          <w:color w:val="000000" w:themeColor="text1"/>
          <w:spacing w:val="-2"/>
          <w:sz w:val="32"/>
          <w:szCs w:val="32"/>
        </w:rPr>
      </w:pPr>
      <w:r>
        <w:rPr>
          <w:rFonts w:ascii="仿宋_GB2312" w:eastAsia="仿宋_GB2312" w:hAnsi="仿宋_GB2312" w:cs="仿宋_GB2312" w:hint="eastAsia"/>
          <w:color w:val="000000" w:themeColor="text1"/>
          <w:spacing w:val="-2"/>
          <w:sz w:val="32"/>
          <w:szCs w:val="32"/>
        </w:rPr>
        <w:t>1、</w:t>
      </w:r>
      <w:r>
        <w:rPr>
          <w:rFonts w:ascii="仿宋_GB2312" w:eastAsia="仿宋_GB2312" w:hAnsi="仿宋_GB2312" w:cs="仿宋_GB2312" w:hint="eastAsia"/>
          <w:color w:val="000000" w:themeColor="text1"/>
          <w:sz w:val="32"/>
          <w:szCs w:val="32"/>
        </w:rPr>
        <w:t>芷江侗族自治县文化旅游广电体育局2019年度部门整体支出绩效评价自评报告</w:t>
      </w:r>
    </w:p>
    <w:p w:rsidR="00347A63" w:rsidRDefault="00EA146C">
      <w:pPr>
        <w:spacing w:line="550" w:lineRule="exact"/>
        <w:ind w:firstLineChars="150" w:firstLine="48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2、芷江侗族自治县文化旅游广电体育局部门整体支出绩效评估指标评分表</w:t>
      </w:r>
    </w:p>
    <w:p w:rsidR="00347A63" w:rsidRDefault="00EA146C">
      <w:pPr>
        <w:spacing w:line="550" w:lineRule="exact"/>
        <w:ind w:firstLine="42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3、芷江侗族自治县文化旅游广电体育局部门整体支出绩效评价基础数据表</w:t>
      </w:r>
    </w:p>
    <w:p w:rsidR="00347A63" w:rsidRDefault="00EA146C">
      <w:pPr>
        <w:spacing w:line="550" w:lineRule="exact"/>
        <w:ind w:firstLine="42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4、芷江侗族自治县文化旅游广电体育局民族艺术团人员经费专项资金绩效评价自评报告</w:t>
      </w:r>
    </w:p>
    <w:p w:rsidR="00347A63" w:rsidRDefault="00EA146C">
      <w:pPr>
        <w:spacing w:line="550" w:lineRule="exact"/>
        <w:ind w:firstLineChars="150" w:firstLine="48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5、芷江侗族自治县文化旅游广电体育局民族艺术团人员经费专项资金绩效评估指标评分表</w:t>
      </w:r>
    </w:p>
    <w:p w:rsidR="00347A63" w:rsidRDefault="00EA146C">
      <w:pPr>
        <w:spacing w:line="550" w:lineRule="exact"/>
        <w:ind w:firstLineChars="150" w:firstLine="48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6、芷江侗族自治县文化旅游广电体育局少数民族事业补助费专项资金绩效评估自评报告</w:t>
      </w:r>
    </w:p>
    <w:p w:rsidR="00347A63" w:rsidRDefault="00EA146C">
      <w:pPr>
        <w:spacing w:line="550" w:lineRule="exact"/>
        <w:ind w:firstLineChars="150" w:firstLine="48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7、芷江侗族自治县文化旅游广电体育局少数民族事业补助费专项资金绩效评估指标评分表</w:t>
      </w:r>
    </w:p>
    <w:p w:rsidR="00347A63" w:rsidRDefault="00EA146C">
      <w:pPr>
        <w:spacing w:line="550" w:lineRule="exact"/>
        <w:ind w:firstLineChars="150" w:firstLine="48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8、芷江侗族自治县文化旅游广电体育局少数民族医疗减免费专项资金绩效评估自评报告</w:t>
      </w:r>
    </w:p>
    <w:p w:rsidR="00347A63" w:rsidRDefault="00EA146C">
      <w:pPr>
        <w:spacing w:line="550" w:lineRule="exact"/>
        <w:ind w:firstLineChars="150" w:firstLine="48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9、芷江侗族自治县文化旅游广电体育局少数民族医疗减免费专项资金绩效评估指标评分表</w:t>
      </w:r>
    </w:p>
    <w:p w:rsidR="00347A63" w:rsidRDefault="00EA146C">
      <w:pPr>
        <w:spacing w:line="550" w:lineRule="exact"/>
        <w:ind w:firstLineChars="150" w:firstLine="48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10、芷江侗族自治县文化旅游广电体育局图书馆、文化馆免费开放中央及省级补助资金绩效评估自评报告</w:t>
      </w:r>
    </w:p>
    <w:p w:rsidR="00347A63" w:rsidRDefault="00EA146C">
      <w:pPr>
        <w:spacing w:line="550" w:lineRule="exact"/>
        <w:ind w:firstLineChars="150" w:firstLine="48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11、芷江侗族自治县文化旅游广电体育局图书馆、文化馆免费开放中央及省级补助资金绩效评估指标评分表</w:t>
      </w:r>
    </w:p>
    <w:p w:rsidR="00347A63" w:rsidRDefault="00347A63">
      <w:pPr>
        <w:spacing w:line="550" w:lineRule="exact"/>
        <w:ind w:firstLineChars="1400" w:firstLine="4480"/>
        <w:rPr>
          <w:rFonts w:ascii="仿宋_GB2312" w:eastAsia="仿宋_GB2312" w:hAnsi="仿宋_GB2312" w:cs="仿宋_GB2312"/>
          <w:color w:val="000000" w:themeColor="text1"/>
          <w:sz w:val="32"/>
          <w:szCs w:val="32"/>
        </w:rPr>
      </w:pPr>
    </w:p>
    <w:p w:rsidR="00347A63" w:rsidRDefault="00EA146C">
      <w:pPr>
        <w:spacing w:line="550" w:lineRule="exact"/>
        <w:ind w:firstLineChars="787" w:firstLine="2518"/>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芷江侗族自治县文化旅游广电体育局</w:t>
      </w:r>
    </w:p>
    <w:p w:rsidR="00347A63" w:rsidRPr="00952FD6" w:rsidRDefault="00EA146C" w:rsidP="00952FD6">
      <w:pPr>
        <w:spacing w:line="550" w:lineRule="exact"/>
        <w:ind w:firstLineChars="787" w:firstLine="2518"/>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2020年7月20日</w:t>
      </w:r>
      <w:r>
        <w:rPr>
          <w:rFonts w:ascii="方正大标宋简体" w:eastAsia="方正大标宋简体" w:hAnsi="方正大标宋简体" w:cs="方正大标宋简体"/>
          <w:color w:val="000000" w:themeColor="text1"/>
          <w:sz w:val="44"/>
          <w:szCs w:val="44"/>
        </w:rPr>
        <w:br w:type="page"/>
      </w:r>
    </w:p>
    <w:p w:rsidR="00347A63" w:rsidRDefault="00EA146C">
      <w:pPr>
        <w:pStyle w:val="2"/>
        <w:spacing w:before="0" w:beforeAutospacing="0" w:after="0" w:afterAutospacing="0" w:line="600" w:lineRule="exact"/>
        <w:rPr>
          <w:rFonts w:ascii="仿宋_GB2312" w:eastAsia="仿宋_GB2312" w:hAnsi="仿宋_GB2312" w:cs="仿宋_GB2312"/>
          <w:b w:val="0"/>
          <w:bCs w:val="0"/>
          <w:color w:val="000000" w:themeColor="text1"/>
          <w:sz w:val="32"/>
          <w:szCs w:val="32"/>
        </w:rPr>
      </w:pPr>
      <w:r>
        <w:rPr>
          <w:rFonts w:ascii="仿宋_GB2312" w:eastAsia="仿宋_GB2312" w:hAnsi="仿宋_GB2312" w:cs="仿宋_GB2312" w:hint="eastAsia"/>
          <w:b w:val="0"/>
          <w:bCs w:val="0"/>
          <w:color w:val="000000" w:themeColor="text1"/>
          <w:sz w:val="32"/>
          <w:szCs w:val="32"/>
        </w:rPr>
        <w:lastRenderedPageBreak/>
        <w:t>附件1：</w:t>
      </w:r>
    </w:p>
    <w:p w:rsidR="00347A63" w:rsidRDefault="00347A63"/>
    <w:p w:rsidR="00347A63" w:rsidRDefault="00EA146C">
      <w:pPr>
        <w:pStyle w:val="2"/>
        <w:spacing w:before="0" w:beforeAutospacing="0" w:after="0" w:afterAutospacing="0" w:line="600" w:lineRule="exact"/>
        <w:jc w:val="center"/>
        <w:rPr>
          <w:rFonts w:ascii="方正小标宋简体" w:eastAsia="方正小标宋简体" w:hAnsi="方正小标宋简体" w:cs="方正小标宋简体"/>
          <w:b w:val="0"/>
          <w:bCs w:val="0"/>
          <w:color w:val="000000" w:themeColor="text1"/>
          <w:sz w:val="44"/>
          <w:szCs w:val="44"/>
        </w:rPr>
      </w:pPr>
      <w:r>
        <w:rPr>
          <w:rFonts w:ascii="方正小标宋简体" w:eastAsia="方正小标宋简体" w:hAnsi="方正小标宋简体" w:cs="方正小标宋简体" w:hint="eastAsia"/>
          <w:b w:val="0"/>
          <w:bCs w:val="0"/>
          <w:color w:val="000000" w:themeColor="text1"/>
          <w:sz w:val="44"/>
          <w:szCs w:val="44"/>
        </w:rPr>
        <w:t>芷江侗族自治县文化旅游广电体育局</w:t>
      </w:r>
    </w:p>
    <w:p w:rsidR="00347A63" w:rsidRDefault="00EA146C">
      <w:pPr>
        <w:pStyle w:val="2"/>
        <w:spacing w:before="0" w:beforeAutospacing="0" w:after="0" w:afterAutospacing="0" w:line="600" w:lineRule="exact"/>
        <w:jc w:val="center"/>
        <w:rPr>
          <w:rFonts w:ascii="方正小标宋简体" w:eastAsia="方正小标宋简体" w:hAnsi="方正小标宋简体" w:cs="方正小标宋简体"/>
          <w:b w:val="0"/>
          <w:bCs w:val="0"/>
          <w:color w:val="000000" w:themeColor="text1"/>
          <w:sz w:val="44"/>
          <w:szCs w:val="44"/>
        </w:rPr>
      </w:pPr>
      <w:r>
        <w:rPr>
          <w:rFonts w:ascii="方正小标宋简体" w:eastAsia="方正小标宋简体" w:hAnsi="方正小标宋简体" w:cs="方正小标宋简体" w:hint="eastAsia"/>
          <w:b w:val="0"/>
          <w:bCs w:val="0"/>
          <w:color w:val="000000" w:themeColor="text1"/>
          <w:sz w:val="44"/>
          <w:szCs w:val="44"/>
        </w:rPr>
        <w:t>2019年度部门整体支出的绩效评价报告</w:t>
      </w:r>
    </w:p>
    <w:p w:rsidR="00347A63" w:rsidRDefault="00347A63">
      <w:pPr>
        <w:pStyle w:val="2"/>
        <w:spacing w:before="0" w:beforeAutospacing="0" w:after="0" w:afterAutospacing="0" w:line="600" w:lineRule="exact"/>
        <w:jc w:val="center"/>
        <w:rPr>
          <w:rFonts w:ascii="黑体" w:eastAsia="黑体" w:cs="Arial"/>
          <w:color w:val="000000" w:themeColor="text1"/>
        </w:rPr>
      </w:pPr>
    </w:p>
    <w:p w:rsidR="00347A63" w:rsidRDefault="00EA146C">
      <w:pPr>
        <w:spacing w:line="600" w:lineRule="exact"/>
        <w:ind w:firstLineChars="150" w:firstLine="474"/>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pacing w:val="-2"/>
          <w:sz w:val="32"/>
          <w:szCs w:val="32"/>
        </w:rPr>
        <w:t>根据《预算法》有关“各级政府、各部门、各单位应当对预算支出情况开展绩效评价”的规定及县财政局《关于开展2019年度财政资金绩效评价工作的通知》（芷财绩[2020]1号）文件精神，我单位对部门整体支出进行了绩效评价,现将有关情况报告如下：</w:t>
      </w:r>
    </w:p>
    <w:p w:rsidR="00347A63" w:rsidRDefault="00EA146C">
      <w:pPr>
        <w:spacing w:line="600" w:lineRule="exact"/>
        <w:ind w:firstLineChars="150" w:firstLine="474"/>
        <w:rPr>
          <w:rFonts w:ascii="黑体" w:eastAsia="黑体" w:hAnsi="黑体" w:cs="黑体"/>
          <w:color w:val="000000" w:themeColor="text1"/>
          <w:spacing w:val="-2"/>
          <w:sz w:val="32"/>
          <w:szCs w:val="32"/>
        </w:rPr>
      </w:pPr>
      <w:r>
        <w:rPr>
          <w:rFonts w:ascii="黑体" w:eastAsia="黑体" w:hAnsi="黑体" w:cs="黑体" w:hint="eastAsia"/>
          <w:color w:val="000000" w:themeColor="text1"/>
          <w:spacing w:val="-2"/>
          <w:sz w:val="32"/>
          <w:szCs w:val="32"/>
        </w:rPr>
        <w:t>一、部门基本情况</w:t>
      </w:r>
    </w:p>
    <w:p w:rsidR="00347A63" w:rsidRDefault="00EA146C" w:rsidP="00352FA3">
      <w:pPr>
        <w:spacing w:line="600" w:lineRule="exact"/>
        <w:ind w:firstLineChars="200" w:firstLine="632"/>
        <w:rPr>
          <w:rFonts w:ascii="楷体_GB2312" w:eastAsia="楷体_GB2312" w:hAnsi="楷体_GB2312" w:cs="楷体_GB2312"/>
          <w:b/>
          <w:color w:val="000000" w:themeColor="text1"/>
          <w:spacing w:val="-2"/>
          <w:sz w:val="32"/>
          <w:szCs w:val="32"/>
        </w:rPr>
      </w:pPr>
      <w:r>
        <w:rPr>
          <w:rFonts w:ascii="楷体_GB2312" w:eastAsia="楷体_GB2312" w:hAnsi="楷体_GB2312" w:cs="楷体_GB2312" w:hint="eastAsia"/>
          <w:b/>
          <w:color w:val="000000" w:themeColor="text1"/>
          <w:spacing w:val="-2"/>
          <w:sz w:val="32"/>
          <w:szCs w:val="32"/>
        </w:rPr>
        <w:t>（一）主要职责</w:t>
      </w:r>
    </w:p>
    <w:p w:rsidR="00347A63" w:rsidRDefault="00EA146C">
      <w:pPr>
        <w:pStyle w:val="a7"/>
        <w:spacing w:before="0" w:beforeAutospacing="0" w:after="0" w:afterAutospacing="0" w:line="600" w:lineRule="exact"/>
        <w:ind w:firstLine="645"/>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一是</w:t>
      </w:r>
      <w:r>
        <w:rPr>
          <w:rFonts w:ascii="仿宋_GB2312" w:eastAsia="仿宋_GB2312" w:hAnsi="仿宋_GB2312" w:cs="仿宋_GB2312" w:hint="eastAsia"/>
          <w:color w:val="000000" w:themeColor="text1"/>
          <w:sz w:val="32"/>
          <w:szCs w:val="32"/>
        </w:rPr>
        <w:t>组织开展民族团结进步创建活动，加强与各民族地区的联系和交往，参与协调维护民族地区社会稳定工作，组织和承办全县民族团结进步表彰活动，参与少数民族人才队伍建设规划的制订和实施工作，协助有关部门做好少数民族干部的培养教育和推荐使用工作。依法管理全县宗教事务，负责全县宗教活动场所和宗教职业人员登记，年检报批工作，协助处理宗教方面的矛盾、纠纷和突发事件以及影响社会安全的宗教问题。</w:t>
      </w:r>
    </w:p>
    <w:p w:rsidR="00347A63" w:rsidRDefault="00EA146C">
      <w:pPr>
        <w:pStyle w:val="a7"/>
        <w:spacing w:before="0" w:beforeAutospacing="0" w:after="0" w:afterAutospacing="0" w:line="600" w:lineRule="exact"/>
        <w:ind w:firstLine="645"/>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二是</w:t>
      </w:r>
      <w:r>
        <w:rPr>
          <w:rFonts w:ascii="仿宋_GB2312" w:eastAsia="仿宋_GB2312" w:hAnsi="仿宋_GB2312" w:cs="仿宋_GB2312" w:hint="eastAsia"/>
          <w:color w:val="000000" w:themeColor="text1"/>
          <w:sz w:val="32"/>
          <w:szCs w:val="32"/>
        </w:rPr>
        <w:t>组织推进全县文化市场公共服务，大力促进城乡公共服务一体化发展。指导文化市场综合执法。负责组织开展全县公共文化事业管理，加强指导、协调、推动全县文化产业发展。</w:t>
      </w:r>
      <w:r>
        <w:rPr>
          <w:rFonts w:ascii="仿宋_GB2312" w:eastAsia="仿宋_GB2312" w:hAnsi="仿宋_GB2312" w:cs="仿宋_GB2312" w:hint="eastAsia"/>
          <w:color w:val="000000" w:themeColor="text1"/>
          <w:sz w:val="32"/>
          <w:szCs w:val="32"/>
        </w:rPr>
        <w:lastRenderedPageBreak/>
        <w:t>加强推进全县广播影视领导体制机制改革。加强对全县数字出版以及网络视听节目服务、公共视听载体播放广播影视节目的规划指导和监督管理。加强全县著作权保护管理、公共服务和国家授权的国际应对。加强全县新闻出版广播影视传播能力建设。</w:t>
      </w:r>
    </w:p>
    <w:p w:rsidR="00347A63" w:rsidRDefault="00EA146C">
      <w:pPr>
        <w:pStyle w:val="a7"/>
        <w:spacing w:before="0" w:beforeAutospacing="0" w:after="0" w:afterAutospacing="0" w:line="600" w:lineRule="exact"/>
        <w:ind w:firstLine="645"/>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w:t>
      </w:r>
      <w:r>
        <w:rPr>
          <w:rFonts w:ascii="仿宋_GB2312" w:eastAsia="仿宋_GB2312" w:hAnsi="仿宋_GB2312" w:cs="仿宋_GB2312" w:hint="eastAsia"/>
          <w:b/>
          <w:bCs/>
          <w:color w:val="000000" w:themeColor="text1"/>
          <w:sz w:val="32"/>
          <w:szCs w:val="32"/>
        </w:rPr>
        <w:t>是</w:t>
      </w:r>
      <w:r>
        <w:rPr>
          <w:rFonts w:ascii="仿宋_GB2312" w:eastAsia="仿宋_GB2312" w:hAnsi="仿宋_GB2312" w:cs="仿宋_GB2312" w:hint="eastAsia"/>
          <w:color w:val="000000" w:themeColor="text1"/>
          <w:sz w:val="32"/>
          <w:szCs w:val="32"/>
        </w:rPr>
        <w:t>组织开展全县群众体育和竞训体育事业的管理、指导、协调，推动体育事业发展，加强群众体育运动和竞技体育活动的组织和建设，加强湖南省体操蹦床芷江后备人才基地的管理。统筹规划群众体育发展，指导群众性体育活动的开展，指导公共体育设施建设，负责公共体育设施的监督管理。</w:t>
      </w:r>
    </w:p>
    <w:p w:rsidR="00347A63" w:rsidRDefault="00EA146C">
      <w:pPr>
        <w:pStyle w:val="a7"/>
        <w:spacing w:before="0" w:beforeAutospacing="0" w:after="0" w:afterAutospacing="0" w:line="600" w:lineRule="exact"/>
        <w:ind w:firstLine="645"/>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四是</w:t>
      </w:r>
      <w:r>
        <w:rPr>
          <w:rFonts w:ascii="仿宋_GB2312" w:eastAsia="仿宋_GB2312" w:hAnsi="仿宋_GB2312" w:cs="仿宋_GB2312" w:hint="eastAsia"/>
          <w:color w:val="000000" w:themeColor="text1"/>
          <w:sz w:val="32"/>
          <w:szCs w:val="32"/>
        </w:rPr>
        <w:t>组织开展全县旅游工作管理、指导，推动旅游事业发展。承担规范旅游市场秩序、监督管理服务质量、维护旅游消费者和经营者合法权益的责任。组织全县旅游资源的普查、规划、开发和相关保护工作，指导协调旅游游区的规划编制和开发建设。组织、指导重要旅游产品的开发，促进和引导旅游业利用外资和社会投资工作。</w:t>
      </w:r>
    </w:p>
    <w:p w:rsidR="00347A63" w:rsidRDefault="00EA146C">
      <w:pPr>
        <w:pStyle w:val="a7"/>
        <w:spacing w:before="0" w:beforeAutospacing="0" w:after="0" w:afterAutospacing="0" w:line="600" w:lineRule="exact"/>
        <w:ind w:firstLine="645"/>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五是</w:t>
      </w:r>
      <w:r>
        <w:rPr>
          <w:rFonts w:ascii="仿宋_GB2312" w:eastAsia="仿宋_GB2312" w:hAnsi="仿宋_GB2312" w:cs="仿宋_GB2312" w:hint="eastAsia"/>
          <w:color w:val="000000" w:themeColor="text1"/>
          <w:sz w:val="32"/>
          <w:szCs w:val="32"/>
        </w:rPr>
        <w:t>对报县委、县人民政府批准的节庆、论坛类活动提出意见。</w:t>
      </w:r>
    </w:p>
    <w:p w:rsidR="00347A63" w:rsidRDefault="00EA146C" w:rsidP="00352FA3">
      <w:pPr>
        <w:spacing w:line="600" w:lineRule="exact"/>
        <w:ind w:firstLineChars="200" w:firstLine="632"/>
        <w:rPr>
          <w:rFonts w:ascii="楷体_GB2312" w:eastAsia="楷体_GB2312" w:hAnsi="楷体_GB2312" w:cs="楷体_GB2312"/>
          <w:b/>
          <w:color w:val="000000" w:themeColor="text1"/>
          <w:spacing w:val="-2"/>
          <w:sz w:val="32"/>
          <w:szCs w:val="32"/>
        </w:rPr>
      </w:pPr>
      <w:r>
        <w:rPr>
          <w:rFonts w:ascii="楷体_GB2312" w:eastAsia="楷体_GB2312" w:hAnsi="楷体_GB2312" w:cs="楷体_GB2312" w:hint="eastAsia"/>
          <w:b/>
          <w:color w:val="000000" w:themeColor="text1"/>
          <w:spacing w:val="-2"/>
          <w:sz w:val="32"/>
          <w:szCs w:val="32"/>
        </w:rPr>
        <w:t>（二）机构设置、人员情况</w:t>
      </w:r>
    </w:p>
    <w:p w:rsidR="00347A63" w:rsidRDefault="00EA146C">
      <w:pPr>
        <w:pStyle w:val="a7"/>
        <w:spacing w:before="0" w:beforeAutospacing="0" w:after="0" w:afterAutospacing="0" w:line="600" w:lineRule="exact"/>
        <w:ind w:firstLine="645"/>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目前县文化旅游广电体育局共设有股室8个，二级事业单位7个，现有在职人员77人。</w:t>
      </w:r>
    </w:p>
    <w:p w:rsidR="00347A63" w:rsidRDefault="00EA146C" w:rsidP="00352FA3">
      <w:pPr>
        <w:spacing w:line="600" w:lineRule="exact"/>
        <w:ind w:firstLineChars="200" w:firstLine="632"/>
        <w:rPr>
          <w:rFonts w:ascii="楷体_GB2312" w:eastAsia="楷体_GB2312" w:hAnsi="楷体_GB2312" w:cs="楷体_GB2312"/>
          <w:b/>
          <w:color w:val="000000" w:themeColor="text1"/>
          <w:spacing w:val="-2"/>
          <w:sz w:val="32"/>
          <w:szCs w:val="32"/>
        </w:rPr>
      </w:pPr>
      <w:r>
        <w:rPr>
          <w:rFonts w:ascii="楷体_GB2312" w:eastAsia="楷体_GB2312" w:hAnsi="楷体_GB2312" w:cs="楷体_GB2312" w:hint="eastAsia"/>
          <w:b/>
          <w:color w:val="000000" w:themeColor="text1"/>
          <w:spacing w:val="-2"/>
          <w:sz w:val="32"/>
          <w:szCs w:val="32"/>
        </w:rPr>
        <w:t>（三）主要工作任务</w:t>
      </w:r>
    </w:p>
    <w:p w:rsidR="00347A63" w:rsidRDefault="00EA146C" w:rsidP="00352FA3">
      <w:pPr>
        <w:adjustRightInd w:val="0"/>
        <w:snapToGrid w:val="0"/>
        <w:spacing w:line="600" w:lineRule="exact"/>
        <w:ind w:firstLineChars="200" w:firstLine="640"/>
        <w:rPr>
          <w:rFonts w:ascii="仿宋_GB2312" w:eastAsia="仿宋_GB2312" w:hAnsi="仿宋_GB2312" w:cs="仿宋_GB2312"/>
          <w:color w:val="000000" w:themeColor="text1"/>
          <w:spacing w:val="-6"/>
          <w:sz w:val="32"/>
          <w:szCs w:val="32"/>
        </w:rPr>
      </w:pPr>
      <w:r>
        <w:rPr>
          <w:rFonts w:ascii="仿宋_GB2312" w:eastAsia="仿宋_GB2312" w:hAnsi="仿宋_GB2312" w:cs="仿宋_GB2312" w:hint="eastAsia"/>
          <w:b/>
          <w:color w:val="000000" w:themeColor="text1"/>
          <w:sz w:val="32"/>
          <w:szCs w:val="32"/>
        </w:rPr>
        <w:lastRenderedPageBreak/>
        <w:t>1.公共文体广网络逐步完善。一是</w:t>
      </w:r>
      <w:r>
        <w:rPr>
          <w:rFonts w:ascii="仿宋_GB2312" w:eastAsia="仿宋_GB2312" w:hAnsi="仿宋_GB2312" w:cs="仿宋_GB2312" w:hint="eastAsia"/>
          <w:bCs/>
          <w:color w:val="000000" w:themeColor="text1"/>
          <w:sz w:val="32"/>
          <w:szCs w:val="32"/>
        </w:rPr>
        <w:t>在县乡文体服务网络方面。</w:t>
      </w:r>
      <w:r>
        <w:rPr>
          <w:rFonts w:ascii="仿宋_GB2312" w:eastAsia="仿宋_GB2312" w:hAnsi="仿宋_GB2312" w:cs="仿宋_GB2312" w:hint="eastAsia"/>
          <w:color w:val="000000" w:themeColor="text1"/>
          <w:sz w:val="32"/>
          <w:szCs w:val="32"/>
        </w:rPr>
        <w:t>形成了县图书馆、县文化馆、县和平剧院、县电影公司、县体育馆及新建的“三馆一中心”等一系列文体设施网络，其中，县飞虎体育中心已投入使用，县文化馆、图书馆、博物馆、影剧中心已进入内部装修阶段。各乡镇均建立了集宣传教育、文艺演出、体育健身等于一体的乡镇综合文化站。</w:t>
      </w:r>
      <w:r>
        <w:rPr>
          <w:rFonts w:ascii="仿宋_GB2312" w:eastAsia="仿宋_GB2312" w:hAnsi="仿宋_GB2312" w:cs="仿宋_GB2312" w:hint="eastAsia"/>
          <w:b/>
          <w:color w:val="000000" w:themeColor="text1"/>
          <w:sz w:val="32"/>
          <w:szCs w:val="32"/>
        </w:rPr>
        <w:t>二是</w:t>
      </w:r>
      <w:r>
        <w:rPr>
          <w:rFonts w:ascii="仿宋_GB2312" w:eastAsia="仿宋_GB2312" w:hAnsi="仿宋_GB2312" w:cs="仿宋_GB2312" w:hint="eastAsia"/>
          <w:bCs/>
          <w:color w:val="000000" w:themeColor="text1"/>
          <w:sz w:val="32"/>
          <w:szCs w:val="32"/>
        </w:rPr>
        <w:t>在村级文体服务网络方面。</w:t>
      </w:r>
      <w:r>
        <w:rPr>
          <w:rFonts w:ascii="仿宋_GB2312" w:eastAsia="仿宋_GB2312" w:hAnsi="仿宋_GB2312" w:cs="仿宋_GB2312" w:hint="eastAsia"/>
          <w:color w:val="000000" w:themeColor="text1"/>
          <w:sz w:val="32"/>
          <w:szCs w:val="32"/>
        </w:rPr>
        <w:t>216个村已基本建成集文化活动广场、文化活动室、乡村舞台、篮球场和宣传栏等为一体的村综合文化服务中心。农村应急广播村村响工程已实现全覆盖。</w:t>
      </w:r>
      <w:r>
        <w:rPr>
          <w:rFonts w:ascii="仿宋_GB2312" w:eastAsia="仿宋_GB2312" w:hAnsi="仿宋_GB2312" w:cs="仿宋_GB2312" w:hint="eastAsia"/>
          <w:b/>
          <w:color w:val="000000" w:themeColor="text1"/>
          <w:sz w:val="32"/>
          <w:szCs w:val="32"/>
        </w:rPr>
        <w:t>三是</w:t>
      </w:r>
      <w:r>
        <w:rPr>
          <w:rFonts w:ascii="仿宋_GB2312" w:eastAsia="仿宋_GB2312" w:hAnsi="仿宋_GB2312" w:cs="仿宋_GB2312" w:hint="eastAsia"/>
          <w:bCs/>
          <w:color w:val="000000" w:themeColor="text1"/>
          <w:sz w:val="32"/>
          <w:szCs w:val="32"/>
        </w:rPr>
        <w:t>在服务体系建设方面。</w:t>
      </w:r>
      <w:r>
        <w:rPr>
          <w:rFonts w:ascii="仿宋_GB2312" w:eastAsia="仿宋_GB2312" w:hAnsi="仿宋_GB2312" w:cs="仿宋_GB2312" w:hint="eastAsia"/>
          <w:color w:val="000000" w:themeColor="text1"/>
          <w:sz w:val="32"/>
          <w:szCs w:val="32"/>
        </w:rPr>
        <w:t>2019年，通过文化馆、图书馆、乡镇综合文化站的免费开放，共接待前来排练、学习的文艺、舞蹈、读书、看报群众4.5万人次，借阅图书5万余次；开展知识讲座，文艺培训24期，惠及群众上万人。通过“月月乐”“周周乐”等特色品牌文艺演出，送戏下乡演出126场。订购影片22部，完成放映任务总任务3576场，观影人数20万余人次，其中广场电影放映200余场次。</w:t>
      </w:r>
      <w:r>
        <w:rPr>
          <w:rFonts w:ascii="仿宋_GB2312" w:eastAsia="仿宋_GB2312" w:hAnsi="仿宋_GB2312" w:cs="仿宋_GB2312" w:hint="eastAsia"/>
          <w:b/>
          <w:bCs/>
          <w:color w:val="000000" w:themeColor="text1"/>
          <w:spacing w:val="-6"/>
          <w:sz w:val="32"/>
          <w:szCs w:val="32"/>
        </w:rPr>
        <w:t>四是</w:t>
      </w:r>
      <w:r>
        <w:rPr>
          <w:rFonts w:ascii="仿宋_GB2312" w:eastAsia="仿宋_GB2312" w:hAnsi="仿宋_GB2312" w:cs="仿宋_GB2312" w:hint="eastAsia"/>
          <w:color w:val="000000" w:themeColor="text1"/>
          <w:spacing w:val="-6"/>
          <w:sz w:val="32"/>
          <w:szCs w:val="32"/>
        </w:rPr>
        <w:t>在活动开展方面。围绕新中国成立70周年，组织开展庆祝“建国七十周年”系列文艺汇演，如“甜甜的怀化·美丽的家乡”原创广场舞大赛、“欢乐潇湘·胜利芷江”文艺汇演（荣获湖南省一等奖）、“我和我的祖国·湖南百万职工同声唱”（荣获怀化市二等奖）、庆祝建国70周年芷江万人快闪“我和我的祖国”（荣获湖南省二等奖）、荣获“书香湖南”第38届全省少年儿童庆祝新中国成立70周年系列读书活动“先进集体”奖</w:t>
      </w:r>
      <w:r>
        <w:rPr>
          <w:rFonts w:ascii="仿宋_GB2312" w:eastAsia="仿宋_GB2312" w:hAnsi="仿宋_GB2312" w:cs="仿宋_GB2312" w:hint="eastAsia"/>
          <w:color w:val="000000" w:themeColor="text1"/>
          <w:spacing w:val="-6"/>
          <w:sz w:val="32"/>
          <w:szCs w:val="32"/>
        </w:rPr>
        <w:lastRenderedPageBreak/>
        <w:t>等主题活动；大力开展送戏下乡工作，实现全县贫困村全覆盖；组织开展“我们的中国梦·湖湘文化进万家”等七大主题文化志愿服务活动；加强文旅体行业队伍和志愿者队伍建设，提升服务质量，实现信息化管理；加大文体队伍的辅导和培训力度，精心筹备“爱祖国、爱家乡”系列文体活动，唱响主旋律、坚守主阵地、凝聚正能量，真正做到管好用好公共文体阵地。</w:t>
      </w:r>
      <w:r>
        <w:rPr>
          <w:rFonts w:ascii="仿宋_GB2312" w:eastAsia="仿宋_GB2312" w:hAnsi="仿宋_GB2312" w:cs="仿宋_GB2312" w:hint="eastAsia"/>
          <w:b/>
          <w:bCs/>
          <w:color w:val="000000" w:themeColor="text1"/>
          <w:spacing w:val="-6"/>
          <w:sz w:val="32"/>
          <w:szCs w:val="32"/>
        </w:rPr>
        <w:t>五是</w:t>
      </w:r>
      <w:r>
        <w:rPr>
          <w:rFonts w:ascii="仿宋_GB2312" w:eastAsia="仿宋_GB2312" w:hAnsi="仿宋_GB2312" w:cs="仿宋_GB2312" w:hint="eastAsia"/>
          <w:color w:val="000000" w:themeColor="text1"/>
          <w:spacing w:val="-6"/>
          <w:sz w:val="32"/>
          <w:szCs w:val="32"/>
        </w:rPr>
        <w:t>非遗及文物工作。按照机构改革的要求，芷江侗族自治县非物质文化遗产保护中心于2019年3月31日挂牌，将原非物质文化遗产保护中心及原文管所组建成新的副局级独立法人事业单位---非物质文化遗产保护中心（加挂芷江侗族自治县博物馆牌子）。2019年7月初，正式组建新的单位并开展工作。目前，我县现有国家级非物质文化遗产项目2个：传统舞蹈类项目--芷江孽龙，传统美术类项目—芷江沅州石雕；我县市级非物质文化遗产项目目前有9个、传承人4人：有芷江白蜡、芷江鸭、芷江蝴蝶画、芷江扦担舞，芷江傩堂戏、芷江侗族民歌、芷江闹年锣鼓、芷江酸萝卜(吾泡、侗古佬)</w:t>
      </w:r>
      <w:bookmarkStart w:id="0" w:name="_GoBack"/>
      <w:bookmarkEnd w:id="0"/>
      <w:r>
        <w:rPr>
          <w:rFonts w:ascii="仿宋_GB2312" w:eastAsia="仿宋_GB2312" w:hAnsi="仿宋_GB2312" w:cs="仿宋_GB2312" w:hint="eastAsia"/>
          <w:color w:val="000000" w:themeColor="text1"/>
          <w:spacing w:val="-6"/>
          <w:sz w:val="32"/>
          <w:szCs w:val="32"/>
        </w:rPr>
        <w:t>、芷江侗族摆古；县级非物质文化遗产项目有汉剧、阳戏、通草堆画、斗笠、毛谷斯舞、滕滕腔、三棒鼓、芷江渔鼓等56个，传承人36人。明年我县准备申报2个省级非物质文化遗产项目：芷江白蜡、芷江侗族民歌。2019年10月7日，国务院关于核定并公布第八批全国重点文物保护单位的通知（国发【2019】22号），芷江文庙被公布为全国重点文物保护单位。2019年10月，分别举办了芷江孽龙竞技和我镜头下的芷江文化遗产摄影大赛，</w:t>
      </w:r>
      <w:r>
        <w:rPr>
          <w:rFonts w:ascii="仿宋_GB2312" w:eastAsia="仿宋_GB2312" w:hAnsi="仿宋_GB2312" w:cs="仿宋_GB2312" w:hint="eastAsia"/>
          <w:color w:val="000000" w:themeColor="text1"/>
          <w:spacing w:val="-6"/>
          <w:sz w:val="32"/>
          <w:szCs w:val="32"/>
        </w:rPr>
        <w:lastRenderedPageBreak/>
        <w:t>活动取得了圆满成功，并在10月23日《怀化日报--今日芷江》刊登了专版。</w:t>
      </w:r>
    </w:p>
    <w:p w:rsidR="00347A63" w:rsidRDefault="00EA146C" w:rsidP="00352FA3">
      <w:pPr>
        <w:adjustRightInd w:val="0"/>
        <w:snapToGrid w:val="0"/>
        <w:spacing w:line="600" w:lineRule="exact"/>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2.文化旅游蓬勃发展。</w:t>
      </w:r>
      <w:r>
        <w:rPr>
          <w:rFonts w:ascii="仿宋_GB2312" w:eastAsia="仿宋_GB2312" w:hAnsi="仿宋_GB2312" w:cs="仿宋_GB2312" w:hint="eastAsia"/>
          <w:color w:val="000000" w:themeColor="text1"/>
          <w:sz w:val="32"/>
          <w:szCs w:val="32"/>
        </w:rPr>
        <w:t>2019年接待游客565.6万人次、旅游总收入28.28亿元，同比分别增长4.4%和4.45%。我县冠乐贝生态农庄成功创建为湖南省“四星级乡村旅游点”，中国人民抗日战争胜利受降纪念馆成功创建为省级“平安景区”，“和平湖亲水”休闲徒步线路、中国人民抗日战争胜利受降旧址和龙津风雨桥，获批怀化十大最美徒步线路和怀化十大文化旅游新地标称号。</w:t>
      </w:r>
      <w:r>
        <w:rPr>
          <w:rFonts w:ascii="仿宋_GB2312" w:eastAsia="仿宋_GB2312" w:hAnsi="仿宋_GB2312" w:cs="仿宋_GB2312" w:hint="eastAsia"/>
          <w:b/>
          <w:color w:val="000000" w:themeColor="text1"/>
          <w:sz w:val="32"/>
          <w:szCs w:val="32"/>
        </w:rPr>
        <w:t>旅游产业持续增强。一是</w:t>
      </w:r>
      <w:r>
        <w:rPr>
          <w:rFonts w:ascii="仿宋_GB2312" w:eastAsia="仿宋_GB2312" w:hAnsi="仿宋_GB2312" w:cs="仿宋_GB2312" w:hint="eastAsia"/>
          <w:color w:val="000000" w:themeColor="text1"/>
          <w:sz w:val="32"/>
          <w:szCs w:val="32"/>
        </w:rPr>
        <w:t>产业政策持续优化。拟定了《</w:t>
      </w:r>
      <w:r>
        <w:rPr>
          <w:rFonts w:ascii="仿宋_GB2312" w:eastAsia="仿宋_GB2312" w:hAnsi="仿宋_GB2312" w:cs="仿宋_GB2312" w:hint="eastAsia"/>
          <w:bCs/>
          <w:color w:val="000000" w:themeColor="text1"/>
          <w:sz w:val="32"/>
          <w:szCs w:val="32"/>
        </w:rPr>
        <w:t>芷江侗族自治县文化生态旅游产业发展三年行动方案（2019—2021年）</w:t>
      </w:r>
      <w:r>
        <w:rPr>
          <w:rFonts w:ascii="仿宋_GB2312" w:eastAsia="仿宋_GB2312" w:hAnsi="仿宋_GB2312" w:cs="仿宋_GB2312" w:hint="eastAsia"/>
          <w:color w:val="000000" w:themeColor="text1"/>
          <w:sz w:val="32"/>
          <w:szCs w:val="32"/>
        </w:rPr>
        <w:t>》，并由两办行文下发，</w:t>
      </w:r>
      <w:r>
        <w:rPr>
          <w:rFonts w:ascii="仿宋_GB2312" w:eastAsia="仿宋_GB2312" w:hAnsi="仿宋_GB2312" w:cs="仿宋_GB2312" w:hint="eastAsia"/>
          <w:bCs/>
          <w:color w:val="000000" w:themeColor="text1"/>
          <w:sz w:val="32"/>
          <w:szCs w:val="32"/>
        </w:rPr>
        <w:t>进一步明确推进生态文化旅游作为我县经济社会发展的重要抓手，整合资源、协调行动，形成推动全域旅游发展新合力和</w:t>
      </w:r>
      <w:r>
        <w:rPr>
          <w:rFonts w:ascii="仿宋_GB2312" w:eastAsia="仿宋_GB2312" w:hAnsi="仿宋_GB2312" w:cs="仿宋_GB2312" w:hint="eastAsia"/>
          <w:color w:val="000000" w:themeColor="text1"/>
          <w:sz w:val="32"/>
          <w:szCs w:val="32"/>
        </w:rPr>
        <w:t>为我县近三年文化旅游发展指明了方向。</w:t>
      </w:r>
      <w:r>
        <w:rPr>
          <w:rFonts w:ascii="仿宋_GB2312" w:eastAsia="仿宋_GB2312" w:hAnsi="仿宋_GB2312" w:cs="仿宋_GB2312" w:hint="eastAsia"/>
          <w:b/>
          <w:color w:val="000000" w:themeColor="text1"/>
          <w:sz w:val="32"/>
          <w:szCs w:val="32"/>
        </w:rPr>
        <w:t>二是</w:t>
      </w:r>
      <w:r>
        <w:rPr>
          <w:rFonts w:ascii="仿宋_GB2312" w:eastAsia="仿宋_GB2312" w:hAnsi="仿宋_GB2312" w:cs="仿宋_GB2312" w:hint="eastAsia"/>
          <w:color w:val="000000" w:themeColor="text1"/>
          <w:sz w:val="32"/>
          <w:szCs w:val="32"/>
        </w:rPr>
        <w:t>资产归集取得突破。完成飞虎队纪念馆、和平村、育婴堂、陶家大院、和平剧院、沈从文故居、文庙、湖南抗日战争纪念馆、五郎溪国有林场森林资源等十处国有资源资产的评估并归集到县文化旅游发展有限公司，评估市场价值为4.36亿元。全面完成龙津风雨桥上21个公有门面经营权归集，由县文化旅游发展有限公司与门店经营业主签订租赁合同15份，收取租金70200元。文旅产业融资力度进一步增强。</w:t>
      </w:r>
      <w:r>
        <w:rPr>
          <w:rFonts w:ascii="仿宋_GB2312" w:eastAsia="仿宋_GB2312" w:hAnsi="仿宋_GB2312" w:cs="仿宋_GB2312" w:hint="eastAsia"/>
          <w:b/>
          <w:color w:val="000000" w:themeColor="text1"/>
          <w:sz w:val="32"/>
          <w:szCs w:val="32"/>
        </w:rPr>
        <w:t>三是</w:t>
      </w:r>
      <w:r>
        <w:rPr>
          <w:rFonts w:ascii="仿宋_GB2312" w:eastAsia="仿宋_GB2312" w:hAnsi="仿宋_GB2312" w:cs="仿宋_GB2312" w:hint="eastAsia"/>
          <w:color w:val="000000" w:themeColor="text1"/>
          <w:sz w:val="32"/>
          <w:szCs w:val="32"/>
        </w:rPr>
        <w:t>配套服务逐步完善。全面启动高铁站游服中心建设，现已完成地基平整和地梁浇构。全面完成我县住宿单位床位普</w:t>
      </w:r>
      <w:r>
        <w:rPr>
          <w:rFonts w:ascii="仿宋_GB2312" w:eastAsia="仿宋_GB2312" w:hAnsi="仿宋_GB2312" w:cs="仿宋_GB2312" w:hint="eastAsia"/>
          <w:color w:val="000000" w:themeColor="text1"/>
          <w:sz w:val="32"/>
          <w:szCs w:val="32"/>
        </w:rPr>
        <w:lastRenderedPageBreak/>
        <w:t>查155家，</w:t>
      </w:r>
      <w:r>
        <w:rPr>
          <w:rFonts w:ascii="仿宋_GB2312" w:eastAsia="仿宋_GB2312" w:hAnsi="仿宋_GB2312" w:cs="仿宋_GB2312" w:hint="eastAsia"/>
          <w:bCs/>
          <w:color w:val="000000" w:themeColor="text1"/>
          <w:kern w:val="0"/>
          <w:sz w:val="32"/>
          <w:szCs w:val="32"/>
        </w:rPr>
        <w:t>统计客房数2890间，床位数4738个，准确把握我县旅游接待基础数据。</w:t>
      </w:r>
      <w:r>
        <w:rPr>
          <w:rFonts w:ascii="仿宋_GB2312" w:eastAsia="仿宋_GB2312" w:hAnsi="仿宋_GB2312" w:cs="仿宋_GB2312" w:hint="eastAsia"/>
          <w:b/>
          <w:color w:val="000000" w:themeColor="text1"/>
          <w:sz w:val="32"/>
          <w:szCs w:val="32"/>
        </w:rPr>
        <w:t>招商引资全面推进。一是</w:t>
      </w:r>
      <w:r>
        <w:rPr>
          <w:rFonts w:ascii="仿宋_GB2312" w:eastAsia="仿宋_GB2312" w:hAnsi="仿宋_GB2312" w:cs="仿宋_GB2312" w:hint="eastAsia"/>
          <w:color w:val="000000" w:themeColor="text1"/>
          <w:sz w:val="32"/>
          <w:szCs w:val="32"/>
        </w:rPr>
        <w:t>积极对接，先后引进北影控股集团、香港华耀集团、深圳市中旅联控股集团、江西乐体营地教育科技有限公司、中国长征火箭有限公司等客商来芷实地考察。</w:t>
      </w:r>
      <w:r>
        <w:rPr>
          <w:rFonts w:ascii="仿宋_GB2312" w:eastAsia="仿宋_GB2312" w:hAnsi="仿宋_GB2312" w:cs="仿宋_GB2312" w:hint="eastAsia"/>
          <w:b/>
          <w:color w:val="000000" w:themeColor="text1"/>
          <w:sz w:val="32"/>
          <w:szCs w:val="32"/>
        </w:rPr>
        <w:t>二是</w:t>
      </w:r>
      <w:r>
        <w:rPr>
          <w:rFonts w:ascii="仿宋_GB2312" w:eastAsia="仿宋_GB2312" w:hAnsi="仿宋_GB2312" w:cs="仿宋_GB2312" w:hint="eastAsia"/>
          <w:color w:val="000000" w:themeColor="text1"/>
          <w:sz w:val="32"/>
          <w:szCs w:val="32"/>
        </w:rPr>
        <w:t>积极对接湖南建工集团二公司、中国长征火箭有限公司进一步磋商航天欢乐大世界项目合作协议，由湖南建工集团二公司和我县文化旅游发展有限公司共同成立平台公司，前期注入资金1亿先期开发300亩航天研学教育基地，中国长征火箭有限公司负责做优项目策划和可研，在研学基地运营后入股参与运营开发，并以研学基地撬动其他产业开发。</w:t>
      </w:r>
      <w:r>
        <w:rPr>
          <w:rFonts w:ascii="仿宋_GB2312" w:eastAsia="仿宋_GB2312" w:hAnsi="仿宋_GB2312" w:cs="仿宋_GB2312" w:hint="eastAsia"/>
          <w:b/>
          <w:color w:val="000000" w:themeColor="text1"/>
          <w:sz w:val="32"/>
          <w:szCs w:val="32"/>
        </w:rPr>
        <w:t>三是</w:t>
      </w:r>
      <w:r>
        <w:rPr>
          <w:rFonts w:ascii="仿宋_GB2312" w:eastAsia="仿宋_GB2312" w:hAnsi="仿宋_GB2312" w:cs="仿宋_GB2312" w:hint="eastAsia"/>
          <w:color w:val="000000" w:themeColor="text1"/>
          <w:sz w:val="32"/>
          <w:szCs w:val="32"/>
        </w:rPr>
        <w:t>密切与浙江杭州正雅文旅集团保持联系，对方计划将于11月派专业团队再次来芷考察芷江水上夜游项目。持续与北影控股、北京轻工集团对接影视基地建设和沅洲古城等项目建设。</w:t>
      </w:r>
      <w:r>
        <w:rPr>
          <w:rFonts w:ascii="仿宋_GB2312" w:eastAsia="仿宋_GB2312" w:hAnsi="仿宋_GB2312" w:cs="仿宋_GB2312" w:hint="eastAsia"/>
          <w:b/>
          <w:color w:val="000000" w:themeColor="text1"/>
          <w:sz w:val="32"/>
          <w:szCs w:val="32"/>
        </w:rPr>
        <w:t>项目建设有序推进。一是产业项目稳步推进</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b/>
          <w:color w:val="000000" w:themeColor="text1"/>
          <w:sz w:val="32"/>
          <w:szCs w:val="32"/>
        </w:rPr>
        <w:t>一园三馆创5A景区项目</w:t>
      </w:r>
      <w:r>
        <w:rPr>
          <w:rFonts w:ascii="仿宋_GB2312" w:eastAsia="仿宋_GB2312" w:hAnsi="仿宋_GB2312" w:cs="仿宋_GB2312" w:hint="eastAsia"/>
          <w:color w:val="000000" w:themeColor="text1"/>
          <w:sz w:val="32"/>
          <w:szCs w:val="32"/>
        </w:rPr>
        <w:t>现已与北京江山多娇规划院签订创5A景区提升规划及策划服务合同，并按创建5A景区标准，与深圳多哚娱乐有限公司磋商筹建AR、VR高科技体验项目，丰富管内旅游业态。投资4亿元的</w:t>
      </w:r>
      <w:r>
        <w:rPr>
          <w:rFonts w:ascii="仿宋_GB2312" w:eastAsia="仿宋_GB2312" w:hAnsi="仿宋_GB2312" w:cs="仿宋_GB2312" w:hint="eastAsia"/>
          <w:b/>
          <w:color w:val="000000" w:themeColor="text1"/>
          <w:sz w:val="32"/>
          <w:szCs w:val="32"/>
        </w:rPr>
        <w:t>四方园生态旅游休闲观光园</w:t>
      </w:r>
      <w:r>
        <w:rPr>
          <w:rFonts w:ascii="仿宋_GB2312" w:eastAsia="仿宋_GB2312" w:hAnsi="仿宋_GB2312" w:cs="仿宋_GB2312" w:hint="eastAsia"/>
          <w:color w:val="000000" w:themeColor="text1"/>
          <w:sz w:val="32"/>
          <w:szCs w:val="32"/>
        </w:rPr>
        <w:t>已开工建设；</w:t>
      </w:r>
      <w:r>
        <w:rPr>
          <w:rFonts w:ascii="仿宋_GB2312" w:eastAsia="仿宋_GB2312" w:hAnsi="仿宋_GB2312" w:cs="仿宋_GB2312" w:hint="eastAsia"/>
          <w:b/>
          <w:color w:val="000000" w:themeColor="text1"/>
          <w:sz w:val="32"/>
          <w:szCs w:val="32"/>
        </w:rPr>
        <w:t>历史文化街区修缮保护建设工程</w:t>
      </w:r>
      <w:r>
        <w:rPr>
          <w:rFonts w:ascii="仿宋_GB2312" w:eastAsia="仿宋_GB2312" w:hAnsi="仿宋_GB2312" w:cs="仿宋_GB2312" w:hint="eastAsia"/>
          <w:color w:val="000000" w:themeColor="text1"/>
          <w:sz w:val="32"/>
          <w:szCs w:val="32"/>
        </w:rPr>
        <w:t>已完成项目可研；</w:t>
      </w:r>
      <w:r>
        <w:rPr>
          <w:rFonts w:ascii="仿宋_GB2312" w:eastAsia="仿宋_GB2312" w:hAnsi="仿宋_GB2312" w:cs="仿宋_GB2312" w:hint="eastAsia"/>
          <w:b/>
          <w:color w:val="000000" w:themeColor="text1"/>
          <w:sz w:val="32"/>
          <w:szCs w:val="32"/>
        </w:rPr>
        <w:t>三道坑景区及明山森林公园开发项目</w:t>
      </w:r>
      <w:r>
        <w:rPr>
          <w:rFonts w:ascii="仿宋_GB2312" w:eastAsia="仿宋_GB2312" w:hAnsi="仿宋_GB2312" w:cs="仿宋_GB2312" w:hint="eastAsia"/>
          <w:color w:val="000000" w:themeColor="text1"/>
          <w:sz w:val="32"/>
          <w:szCs w:val="32"/>
        </w:rPr>
        <w:t>已完成招投标，将全面启动开工建设；</w:t>
      </w:r>
      <w:r>
        <w:rPr>
          <w:rFonts w:ascii="仿宋_GB2312" w:eastAsia="仿宋_GB2312" w:hAnsi="仿宋_GB2312" w:cs="仿宋_GB2312" w:hint="eastAsia"/>
          <w:b/>
          <w:bCs/>
          <w:color w:val="000000" w:themeColor="text1"/>
          <w:sz w:val="32"/>
          <w:szCs w:val="32"/>
        </w:rPr>
        <w:t>《嗨游芷江》项目</w:t>
      </w:r>
      <w:r>
        <w:rPr>
          <w:rFonts w:ascii="仿宋_GB2312" w:eastAsia="仿宋_GB2312" w:hAnsi="仿宋_GB2312" w:cs="仿宋_GB2312" w:hint="eastAsia"/>
          <w:bCs/>
          <w:color w:val="000000" w:themeColor="text1"/>
          <w:sz w:val="32"/>
          <w:szCs w:val="32"/>
        </w:rPr>
        <w:t>已完成项目可研，下一步将进行招投标；</w:t>
      </w:r>
      <w:r>
        <w:rPr>
          <w:rFonts w:ascii="仿宋_GB2312" w:eastAsia="仿宋_GB2312" w:hAnsi="仿宋_GB2312" w:cs="仿宋_GB2312" w:hint="eastAsia"/>
          <w:color w:val="000000" w:themeColor="text1"/>
          <w:sz w:val="32"/>
          <w:szCs w:val="32"/>
        </w:rPr>
        <w:t>游客集散中心建设项目完成项目初步</w:t>
      </w:r>
      <w:r>
        <w:rPr>
          <w:rFonts w:ascii="仿宋_GB2312" w:eastAsia="仿宋_GB2312" w:hAnsi="仿宋_GB2312" w:cs="仿宋_GB2312" w:hint="eastAsia"/>
          <w:bCs/>
          <w:color w:val="000000" w:themeColor="text1"/>
          <w:sz w:val="32"/>
          <w:szCs w:val="32"/>
        </w:rPr>
        <w:t>选址</w:t>
      </w:r>
      <w:r>
        <w:rPr>
          <w:rFonts w:ascii="仿宋_GB2312" w:eastAsia="仿宋_GB2312" w:hAnsi="仿宋_GB2312" w:cs="仿宋_GB2312" w:hint="eastAsia"/>
          <w:b/>
          <w:bCs/>
          <w:color w:val="000000" w:themeColor="text1"/>
          <w:sz w:val="32"/>
          <w:szCs w:val="32"/>
        </w:rPr>
        <w:t>。</w:t>
      </w:r>
      <w:r>
        <w:rPr>
          <w:rFonts w:ascii="仿宋_GB2312" w:eastAsia="仿宋_GB2312" w:hAnsi="仿宋_GB2312" w:cs="仿宋_GB2312" w:hint="eastAsia"/>
          <w:b/>
          <w:color w:val="000000" w:themeColor="text1"/>
          <w:sz w:val="32"/>
          <w:szCs w:val="32"/>
        </w:rPr>
        <w:t>二是做实项目申报入</w:t>
      </w:r>
      <w:r>
        <w:rPr>
          <w:rFonts w:ascii="仿宋_GB2312" w:eastAsia="仿宋_GB2312" w:hAnsi="仿宋_GB2312" w:cs="仿宋_GB2312" w:hint="eastAsia"/>
          <w:b/>
          <w:color w:val="000000" w:themeColor="text1"/>
          <w:sz w:val="32"/>
          <w:szCs w:val="32"/>
        </w:rPr>
        <w:lastRenderedPageBreak/>
        <w:t>库</w:t>
      </w:r>
      <w:r>
        <w:rPr>
          <w:rFonts w:ascii="仿宋_GB2312" w:eastAsia="仿宋_GB2312" w:hAnsi="仿宋_GB2312" w:cs="仿宋_GB2312" w:hint="eastAsia"/>
          <w:color w:val="000000" w:themeColor="text1"/>
          <w:sz w:val="32"/>
          <w:szCs w:val="32"/>
        </w:rPr>
        <w:t>。完成向市文化旅游广电体育局申报十四五旅游规划项目3个。初步完成申报省发改化债项目3个（一园三馆创5A景区提升工程、国际和平城、南部侗寨）。</w:t>
      </w:r>
      <w:r>
        <w:rPr>
          <w:rFonts w:ascii="仿宋_GB2312" w:eastAsia="仿宋_GB2312" w:hAnsi="仿宋_GB2312" w:cs="仿宋_GB2312" w:hint="eastAsia"/>
          <w:b/>
          <w:color w:val="000000" w:themeColor="text1"/>
          <w:spacing w:val="-2"/>
          <w:sz w:val="32"/>
          <w:szCs w:val="32"/>
        </w:rPr>
        <w:t>产业营销不断创新。一是</w:t>
      </w:r>
      <w:r>
        <w:rPr>
          <w:rFonts w:ascii="仿宋_GB2312" w:eastAsia="仿宋_GB2312" w:hAnsi="仿宋_GB2312" w:cs="仿宋_GB2312" w:hint="eastAsia"/>
          <w:color w:val="000000" w:themeColor="text1"/>
          <w:sz w:val="32"/>
          <w:szCs w:val="32"/>
        </w:rPr>
        <w:t>创新宣传模式。广泛利用微信等新兴媒体宣传推介芷江旅游，仅“胜利芷江”微信公众号就成功推送全域旅游稿件1200余篇，日均发稿2条，关注度人数达2.2万余人。向湖南经视发稿6篇，怀化日报社发稿70余篇；进行文化旅游活动策划宣传共10次（如黄沙侗寨过侗年和油菜花节、大树坳葡萄节、禾梨坳柑橘节、三道坑丰收节——沅州貢米玉針香开镰仪式、油茶采摘节等），并取得了较大影响力。</w:t>
      </w:r>
      <w:r>
        <w:rPr>
          <w:rFonts w:ascii="仿宋_GB2312" w:eastAsia="仿宋_GB2312" w:hAnsi="仿宋_GB2312" w:cs="仿宋_GB2312" w:hint="eastAsia"/>
          <w:b/>
          <w:color w:val="000000" w:themeColor="text1"/>
          <w:kern w:val="0"/>
          <w:sz w:val="32"/>
          <w:szCs w:val="32"/>
        </w:rPr>
        <w:t>二是</w:t>
      </w:r>
      <w:r>
        <w:rPr>
          <w:rFonts w:ascii="仿宋_GB2312" w:eastAsia="仿宋_GB2312" w:hAnsi="仿宋_GB2312" w:cs="仿宋_GB2312" w:hint="eastAsia"/>
          <w:color w:val="000000" w:themeColor="text1"/>
          <w:kern w:val="0"/>
          <w:sz w:val="32"/>
          <w:szCs w:val="32"/>
        </w:rPr>
        <w:t>拓展节庆活动带动。成功策划举办黄沙侗寨过侗年、碧涌乡村旅游节、导游大赛、职工摄影大赛等节庆赛事活动，积极营造了浓厚的全域旅游氛围，同时积极邀请省内外新闻媒体、自媒体来芷江采风，宣传推介芷江旅游优势。</w:t>
      </w:r>
    </w:p>
    <w:p w:rsidR="00347A63" w:rsidRDefault="00EA146C" w:rsidP="00352FA3">
      <w:pPr>
        <w:adjustRightInd w:val="0"/>
        <w:snapToGrid w:val="0"/>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sz w:val="32"/>
          <w:szCs w:val="32"/>
        </w:rPr>
        <w:t>3.体育工作稳步推进。</w:t>
      </w:r>
      <w:r>
        <w:rPr>
          <w:rFonts w:ascii="仿宋_GB2312" w:eastAsia="仿宋_GB2312" w:hAnsi="仿宋_GB2312" w:cs="仿宋_GB2312" w:hint="eastAsia"/>
          <w:color w:val="000000" w:themeColor="text1"/>
          <w:kern w:val="0"/>
          <w:sz w:val="32"/>
          <w:szCs w:val="32"/>
        </w:rPr>
        <w:t>公共体育以及群众体育方面。一是优化公共体育设施配置。今年对全县的体育场地进行了全方位的定位检查，经查我县的体育场地面积达56.86万平方米，人均体育场地面积比往年有了很大的提高，实现了我县社区、村部体育设施的全覆盖。全年开展了广场舞、柔力球、乒乓球、象棋、围棋、气排球、篮球、足球、户外等，尤其是今年融合了体育+旅游，向市局推荐了两条旅游精品路线，在我市户外爱好者喜爱的路线排列靠前。竞技体育方面：今年3月份省举重</w:t>
      </w:r>
      <w:r>
        <w:rPr>
          <w:rFonts w:ascii="仿宋_GB2312" w:eastAsia="仿宋_GB2312" w:hAnsi="仿宋_GB2312" w:cs="仿宋_GB2312" w:hint="eastAsia"/>
          <w:color w:val="000000" w:themeColor="text1"/>
          <w:kern w:val="0"/>
          <w:sz w:val="32"/>
          <w:szCs w:val="32"/>
        </w:rPr>
        <w:lastRenderedPageBreak/>
        <w:t>中心到我县进行选才，向市体校输送了10余名举重运动员，6月初我县业余体校在全县范围内进行了一次大规模的选才，向上推荐输送了跆拳道、举重、柔道、摔跤10余名运动员，为我县体育后备人才加强了梯次输送，每个年龄段都有运动员，没有断层的现象发生，今年还组织了教练员外出培训，学习新知识、学会新技能，大大增强了我县教练员的业务能力，今年全国青少年体操蹦床比赛上，我县体操蹦床基地输送的李于毅、罗鑫、杨惟宇、杨程凯取得了4金4银的好成绩，我县运动员杨惟宇、杨程凯取得2金、2银在全国大赛上实现了奖牌0的突破，为我县竞技体育的发展奠定了良好的基础。体育产业方面：有篮球俱乐部、足球俱乐部、游泳池、健身房等60余家，体育彩票全年稳定上升，体彩方面，2019年，预计我县体育彩票各网点电彩销量551万元，即开销量34万元，合计585万元。</w:t>
      </w:r>
    </w:p>
    <w:p w:rsidR="00347A63" w:rsidRDefault="00EA146C">
      <w:pPr>
        <w:adjustRightInd w:val="0"/>
        <w:snapToGrid w:val="0"/>
        <w:spacing w:line="600" w:lineRule="exact"/>
        <w:ind w:firstLineChars="200" w:firstLine="640"/>
        <w:rPr>
          <w:rFonts w:ascii="黑体" w:eastAsia="黑体" w:hAnsi="黑体" w:cs="黑体"/>
          <w:bCs/>
          <w:color w:val="000000" w:themeColor="text1"/>
          <w:kern w:val="0"/>
          <w:sz w:val="32"/>
          <w:szCs w:val="32"/>
        </w:rPr>
      </w:pPr>
      <w:r>
        <w:rPr>
          <w:rFonts w:ascii="黑体" w:eastAsia="黑体" w:hAnsi="黑体" w:cs="黑体" w:hint="eastAsia"/>
          <w:bCs/>
          <w:color w:val="000000" w:themeColor="text1"/>
          <w:kern w:val="0"/>
          <w:sz w:val="32"/>
          <w:szCs w:val="32"/>
        </w:rPr>
        <w:t>二、整体支出情况</w:t>
      </w:r>
    </w:p>
    <w:p w:rsidR="00347A63" w:rsidRDefault="00EA146C">
      <w:pPr>
        <w:spacing w:line="600" w:lineRule="exact"/>
        <w:ind w:firstLine="640"/>
        <w:rPr>
          <w:rFonts w:ascii="仿宋_GB2312" w:eastAsia="仿宋_GB2312" w:hAnsi="仿宋_GB2312" w:cs="仿宋_GB2312"/>
          <w:b/>
          <w:color w:val="000000" w:themeColor="text1"/>
          <w:kern w:val="0"/>
          <w:sz w:val="32"/>
          <w:szCs w:val="32"/>
        </w:rPr>
      </w:pPr>
      <w:r>
        <w:rPr>
          <w:rFonts w:ascii="仿宋_GB2312" w:eastAsia="仿宋_GB2312" w:hAnsi="仿宋_GB2312" w:cs="仿宋_GB2312" w:hint="eastAsia"/>
          <w:color w:val="000000" w:themeColor="text1"/>
          <w:kern w:val="0"/>
          <w:sz w:val="32"/>
          <w:szCs w:val="32"/>
        </w:rPr>
        <w:t>收入情况：全年财政预算拨款收入2151.4万元。</w:t>
      </w:r>
    </w:p>
    <w:p w:rsidR="00347A63" w:rsidRDefault="00EA146C">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支出情况：全年支出1712.66万元，均为基本支出，其中：工资福利支出536.66万元，占基本支出比例的31.33%，商品和服务支出615.13万元，占基本支出比例的35.9%，对个人和家庭补助支出376.36万元，占基本支出比例的21.9%。</w:t>
      </w:r>
    </w:p>
    <w:p w:rsidR="00347A63" w:rsidRDefault="00EA146C">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“三公”经费支出情况：2019年部门预算安排“三公”经费45万元，实际支出25.45万元。其中公务接待费14.5万元，</w:t>
      </w:r>
      <w:r>
        <w:rPr>
          <w:rFonts w:ascii="仿宋_GB2312" w:eastAsia="仿宋_GB2312" w:hAnsi="仿宋_GB2312" w:cs="仿宋_GB2312" w:hint="eastAsia"/>
          <w:color w:val="000000" w:themeColor="text1"/>
          <w:kern w:val="0"/>
          <w:sz w:val="32"/>
          <w:szCs w:val="32"/>
        </w:rPr>
        <w:lastRenderedPageBreak/>
        <w:t>其他交通费用10.95万元。</w:t>
      </w:r>
    </w:p>
    <w:p w:rsidR="00347A63" w:rsidRDefault="00EA146C">
      <w:pPr>
        <w:spacing w:line="600" w:lineRule="exact"/>
        <w:ind w:firstLine="640"/>
        <w:rPr>
          <w:rFonts w:ascii="黑体" w:eastAsia="黑体" w:hAnsi="黑体" w:cs="黑体"/>
          <w:bCs/>
          <w:color w:val="000000" w:themeColor="text1"/>
          <w:kern w:val="0"/>
          <w:sz w:val="32"/>
          <w:szCs w:val="32"/>
        </w:rPr>
      </w:pPr>
      <w:r>
        <w:rPr>
          <w:rFonts w:ascii="黑体" w:eastAsia="黑体" w:hAnsi="黑体" w:cs="黑体" w:hint="eastAsia"/>
          <w:bCs/>
          <w:color w:val="000000" w:themeColor="text1"/>
          <w:kern w:val="0"/>
          <w:sz w:val="32"/>
          <w:szCs w:val="32"/>
        </w:rPr>
        <w:t>三、部门整体支出管理及使用情况</w:t>
      </w:r>
    </w:p>
    <w:p w:rsidR="00347A63" w:rsidRDefault="00EA146C">
      <w:pPr>
        <w:tabs>
          <w:tab w:val="center" w:pos="4742"/>
        </w:tabs>
        <w:spacing w:line="600" w:lineRule="exact"/>
        <w:ind w:firstLine="640"/>
        <w:rPr>
          <w:rFonts w:ascii="仿宋_GB2312" w:eastAsia="仿宋_GB2312" w:hAnsi="仿宋_GB2312" w:cs="仿宋_GB2312"/>
          <w:b/>
          <w:color w:val="000000" w:themeColor="text1"/>
          <w:kern w:val="0"/>
          <w:sz w:val="32"/>
          <w:szCs w:val="32"/>
        </w:rPr>
      </w:pPr>
      <w:r>
        <w:rPr>
          <w:rFonts w:ascii="楷体_GB2312" w:eastAsia="楷体_GB2312" w:hAnsi="楷体_GB2312" w:cs="楷体_GB2312" w:hint="eastAsia"/>
          <w:b/>
          <w:color w:val="000000" w:themeColor="text1"/>
          <w:spacing w:val="-2"/>
          <w:sz w:val="32"/>
          <w:szCs w:val="32"/>
        </w:rPr>
        <w:t>（一）基本支出</w:t>
      </w:r>
      <w:r>
        <w:rPr>
          <w:rFonts w:ascii="仿宋_GB2312" w:eastAsia="仿宋_GB2312" w:hAnsi="仿宋_GB2312" w:cs="仿宋_GB2312" w:hint="eastAsia"/>
          <w:b/>
          <w:color w:val="000000" w:themeColor="text1"/>
          <w:kern w:val="0"/>
          <w:sz w:val="32"/>
          <w:szCs w:val="32"/>
        </w:rPr>
        <w:tab/>
      </w:r>
    </w:p>
    <w:p w:rsidR="00347A63" w:rsidRDefault="00EA146C">
      <w:pPr>
        <w:spacing w:line="600" w:lineRule="exact"/>
        <w:ind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基本支出1193.71万元，主要是按照现行人员待遇政策支付的机关及属单位人员工资、社会保险等以及按照定额标准核定支付的日常公用经费。</w:t>
      </w:r>
    </w:p>
    <w:p w:rsidR="00347A63" w:rsidRDefault="00EA146C">
      <w:pPr>
        <w:spacing w:line="600" w:lineRule="exact"/>
        <w:ind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2019年县文化旅游广电体育局认真贯彻落实厉行节约、严控“三公”经费、降低一般运行经费、加强项目支出管理等方面取得了一定的成绩。先后出台了本单位公务接待、车辆集中管理、出国、会议、培训等管理办法，实行“三公”经费预算和公示制度，有效地控制了“三公”经费支出。实际支出没有超出预算规模、范围和标准，没有挤占、摊派、乱收费和转移“三公”经费支出的行为，所有“三公”经费支出合法、合规。</w:t>
      </w:r>
    </w:p>
    <w:p w:rsidR="00347A63" w:rsidRDefault="00EA146C">
      <w:pPr>
        <w:spacing w:line="600" w:lineRule="exact"/>
        <w:ind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1.严格控制公务接待。县文化旅游广电体育局公务接待工作按照简化礼仪、务实节俭、杜绝浪费的原则管理和规范公务接待工作，并明确招待用餐档次和限额。要求出具接待函、介绍信和参加人员等明细清单方可报销招待费。每个月由财务股将接待费用支出明细进行通报，实行动态管理。2019年招待费预算指标公开数指标为40万元，2019年实际支出数为14.5万元，比预算节约63.75%。</w:t>
      </w:r>
    </w:p>
    <w:p w:rsidR="00347A63" w:rsidRDefault="00EA146C">
      <w:pPr>
        <w:spacing w:line="600" w:lineRule="exact"/>
        <w:ind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2.严格规范业务用车。全局所有业务车辆管理保险和加油按照县采购办要求统一在定点单位购买。财务不得报销任何零</w:t>
      </w:r>
      <w:r>
        <w:rPr>
          <w:rFonts w:ascii="仿宋_GB2312" w:eastAsia="仿宋_GB2312" w:hAnsi="仿宋_GB2312" w:cs="仿宋_GB2312" w:hint="eastAsia"/>
          <w:color w:val="000000" w:themeColor="text1"/>
          <w:kern w:val="0"/>
          <w:sz w:val="32"/>
          <w:szCs w:val="32"/>
        </w:rPr>
        <w:lastRenderedPageBreak/>
        <w:t>星汽油费。建立健全了业务用车使用登记和统计报告制度，对业务油耗、维修保养实行单台汽车核算。2019年业务用车运行费用预算指标为11万元，2019年实际支出数为10.95万元，较预算节约0.45%。</w:t>
      </w:r>
    </w:p>
    <w:p w:rsidR="00347A63" w:rsidRDefault="00EA146C">
      <w:pPr>
        <w:spacing w:line="600" w:lineRule="exact"/>
        <w:ind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3.大幅减少出国经费。严格控制公务人员出国人数和次数，审批手续规范完整。2019年未产生出国费用。</w:t>
      </w:r>
    </w:p>
    <w:p w:rsidR="00347A63" w:rsidRDefault="00EA146C" w:rsidP="00352FA3">
      <w:pPr>
        <w:spacing w:line="600" w:lineRule="exact"/>
        <w:ind w:firstLineChars="200" w:firstLine="632"/>
        <w:rPr>
          <w:rFonts w:ascii="楷体_GB2312" w:eastAsia="楷体_GB2312" w:hAnsi="楷体_GB2312" w:cs="楷体_GB2312"/>
          <w:b/>
          <w:color w:val="000000" w:themeColor="text1"/>
          <w:spacing w:val="-2"/>
          <w:sz w:val="32"/>
          <w:szCs w:val="32"/>
        </w:rPr>
      </w:pPr>
      <w:r>
        <w:rPr>
          <w:rFonts w:ascii="楷体_GB2312" w:eastAsia="楷体_GB2312" w:hAnsi="楷体_GB2312" w:cs="楷体_GB2312" w:hint="eastAsia"/>
          <w:b/>
          <w:color w:val="000000" w:themeColor="text1"/>
          <w:spacing w:val="-2"/>
          <w:sz w:val="32"/>
          <w:szCs w:val="32"/>
        </w:rPr>
        <w:t>（二）专项支出</w:t>
      </w:r>
    </w:p>
    <w:p w:rsidR="00347A63" w:rsidRDefault="00EA146C">
      <w:pPr>
        <w:spacing w:line="600" w:lineRule="exact"/>
        <w:ind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1.项目支出318万元,民族宗教工作经费50万元，少数民族医疗减免20万元、侗学会研究会工作经费5万元、少数民族文化发展资金12万元、少数民族事业费36万元、民族艺术团人员经费35万元、图书馆、文化馆免费开放中央及省级补助资金34万元、农村文化服务体系建设补助资金126万元。</w:t>
      </w:r>
    </w:p>
    <w:p w:rsidR="00347A63" w:rsidRDefault="00EA146C">
      <w:pPr>
        <w:spacing w:line="600" w:lineRule="exact"/>
        <w:ind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为保证专项资金的规范管理，提高专项资金的使用效率，一是进一步加强制度建设，严格按照芷政发[2016]9号文件《芷江侗族自治县本级财政专项资金管理办法》，明确了各职能部门绩效管理职责分工，修订和完善一批绩效管理配套制度；二是探索绩效跟踪监控，要求加强资金使用过程监控，对已纳入县文化旅游广电体育局绩效目标管理范畴的项目支出，采取半年报方式采集试点项目的绩效运行信息。</w:t>
      </w:r>
    </w:p>
    <w:p w:rsidR="00347A63" w:rsidRDefault="00EA146C">
      <w:pPr>
        <w:spacing w:line="600" w:lineRule="exact"/>
        <w:ind w:firstLineChars="200" w:firstLine="632"/>
        <w:rPr>
          <w:rFonts w:ascii="黑体" w:eastAsia="黑体" w:hAnsi="黑体" w:cs="黑体"/>
          <w:bCs/>
          <w:color w:val="000000" w:themeColor="text1"/>
          <w:spacing w:val="-2"/>
          <w:sz w:val="32"/>
          <w:szCs w:val="32"/>
        </w:rPr>
      </w:pPr>
      <w:r>
        <w:rPr>
          <w:rFonts w:ascii="黑体" w:eastAsia="黑体" w:hAnsi="黑体" w:cs="黑体" w:hint="eastAsia"/>
          <w:bCs/>
          <w:color w:val="000000" w:themeColor="text1"/>
          <w:spacing w:val="-2"/>
          <w:sz w:val="32"/>
          <w:szCs w:val="32"/>
        </w:rPr>
        <w:t>三、部门专项组织实施情况</w:t>
      </w:r>
    </w:p>
    <w:p w:rsidR="00347A63" w:rsidRDefault="00EA146C">
      <w:pPr>
        <w:spacing w:line="600" w:lineRule="exact"/>
        <w:ind w:firstLine="640"/>
        <w:rPr>
          <w:rFonts w:ascii="仿宋_GB2312" w:eastAsia="仿宋_GB2312" w:hAnsi="仿宋_GB2312" w:cs="仿宋_GB2312"/>
          <w:color w:val="000000" w:themeColor="text1"/>
          <w:kern w:val="0"/>
          <w:sz w:val="32"/>
          <w:szCs w:val="32"/>
        </w:rPr>
      </w:pPr>
      <w:r>
        <w:rPr>
          <w:rFonts w:ascii="楷体_GB2312" w:eastAsia="楷体_GB2312" w:hAnsi="楷体_GB2312" w:cs="楷体_GB2312" w:hint="eastAsia"/>
          <w:b/>
          <w:color w:val="000000" w:themeColor="text1"/>
          <w:kern w:val="0"/>
          <w:sz w:val="32"/>
          <w:szCs w:val="32"/>
        </w:rPr>
        <w:t>（一）专项组织情况分析。</w:t>
      </w:r>
      <w:r>
        <w:rPr>
          <w:rFonts w:ascii="仿宋_GB2312" w:eastAsia="仿宋_GB2312" w:hAnsi="仿宋_GB2312" w:cs="仿宋_GB2312" w:hint="eastAsia"/>
          <w:color w:val="000000" w:themeColor="text1"/>
          <w:kern w:val="0"/>
          <w:sz w:val="32"/>
          <w:szCs w:val="32"/>
        </w:rPr>
        <w:t>1.体彩公益金，全民健身项目建设由文化旅游广电体育局和财政局共同监管实施，经文化旅</w:t>
      </w:r>
      <w:r>
        <w:rPr>
          <w:rFonts w:ascii="仿宋_GB2312" w:eastAsia="仿宋_GB2312" w:hAnsi="仿宋_GB2312" w:cs="仿宋_GB2312" w:hint="eastAsia"/>
          <w:color w:val="000000" w:themeColor="text1"/>
          <w:kern w:val="0"/>
          <w:sz w:val="32"/>
          <w:szCs w:val="32"/>
        </w:rPr>
        <w:lastRenderedPageBreak/>
        <w:t>游广电体育局和财政局对项目验收后由财政局拨付。2.图书馆、文化馆、乡镇文化站所免费开放及建设126万元，我局对乡镇文化站免费开放情况进行考核后，再进行资金拨付。</w:t>
      </w:r>
    </w:p>
    <w:p w:rsidR="00347A63" w:rsidRDefault="00EA146C">
      <w:pPr>
        <w:spacing w:line="600" w:lineRule="exact"/>
        <w:ind w:firstLine="640"/>
        <w:rPr>
          <w:rFonts w:ascii="仿宋_GB2312" w:eastAsia="仿宋_GB2312" w:hAnsi="仿宋_GB2312" w:cs="仿宋_GB2312"/>
          <w:color w:val="000000" w:themeColor="text1"/>
          <w:kern w:val="0"/>
          <w:sz w:val="32"/>
          <w:szCs w:val="32"/>
        </w:rPr>
      </w:pPr>
      <w:r>
        <w:rPr>
          <w:rFonts w:ascii="楷体_GB2312" w:eastAsia="楷体_GB2312" w:hAnsi="楷体_GB2312" w:cs="楷体_GB2312" w:hint="eastAsia"/>
          <w:b/>
          <w:color w:val="000000" w:themeColor="text1"/>
          <w:kern w:val="0"/>
          <w:sz w:val="32"/>
          <w:szCs w:val="32"/>
        </w:rPr>
        <w:t>（二）专项管理情况分析，</w:t>
      </w:r>
      <w:r>
        <w:rPr>
          <w:rFonts w:ascii="仿宋_GB2312" w:eastAsia="仿宋_GB2312" w:hAnsi="仿宋_GB2312" w:cs="仿宋_GB2312" w:hint="eastAsia"/>
          <w:color w:val="000000" w:themeColor="text1"/>
          <w:kern w:val="0"/>
          <w:sz w:val="32"/>
          <w:szCs w:val="32"/>
        </w:rPr>
        <w:t>我局和财政局共同成立专项资金管理小组，负责专项资金的绩效评价工作；完善了专项资金管理制度建设，专项资金资金及时拨付，项目管理制度健全，项目申报、评审、立项、监督管理、验收等各个阶段的组织实施规范。评价工作由专项资金管理小组及项目实施单位双方共同完成。</w:t>
      </w:r>
    </w:p>
    <w:p w:rsidR="00347A63" w:rsidRDefault="00EA146C">
      <w:pPr>
        <w:spacing w:line="600" w:lineRule="exact"/>
        <w:ind w:firstLineChars="200" w:firstLine="632"/>
        <w:rPr>
          <w:rFonts w:ascii="黑体" w:eastAsia="黑体" w:hAnsi="黑体" w:cs="黑体"/>
          <w:bCs/>
          <w:color w:val="000000" w:themeColor="text1"/>
          <w:spacing w:val="-2"/>
          <w:sz w:val="32"/>
          <w:szCs w:val="32"/>
        </w:rPr>
      </w:pPr>
      <w:r>
        <w:rPr>
          <w:rFonts w:ascii="黑体" w:eastAsia="黑体" w:hAnsi="黑体" w:cs="黑体" w:hint="eastAsia"/>
          <w:bCs/>
          <w:color w:val="000000" w:themeColor="text1"/>
          <w:spacing w:val="-2"/>
          <w:sz w:val="32"/>
          <w:szCs w:val="32"/>
        </w:rPr>
        <w:t>四、资产管理情况</w:t>
      </w:r>
    </w:p>
    <w:p w:rsidR="00347A63" w:rsidRDefault="00EA146C">
      <w:pPr>
        <w:spacing w:line="600" w:lineRule="exact"/>
        <w:ind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制定了财产管理规定，对单位公共财产物资实行统一管理、统一调配，并按使用人建立了资产实物管理台账，实行使用、保管签字登记制度。对单位固定资产统一采购、多人经办，每月月初根据各部门的需求制订采购计划，“货比三家”，并按政府采购程序和有关规定加强采购手续。年底对财产物资进行清查、盘点、核对、处理。对取得的资产实物及时进行会计核算，确保账账、账实相符。2019年本单位正常报废体操基地资产原值38630元，无偿调拨大众速腾小汽车一辆至县公车办，原值为183785元。</w:t>
      </w:r>
    </w:p>
    <w:p w:rsidR="00347A63" w:rsidRDefault="00EA146C">
      <w:pPr>
        <w:spacing w:line="600" w:lineRule="exact"/>
        <w:ind w:firstLineChars="200" w:firstLine="632"/>
        <w:rPr>
          <w:rFonts w:ascii="黑体" w:eastAsia="黑体" w:hAnsi="黑体" w:cs="黑体"/>
          <w:bCs/>
          <w:color w:val="000000" w:themeColor="text1"/>
          <w:spacing w:val="-2"/>
          <w:sz w:val="32"/>
          <w:szCs w:val="32"/>
        </w:rPr>
      </w:pPr>
      <w:r>
        <w:rPr>
          <w:rFonts w:ascii="黑体" w:eastAsia="黑体" w:hAnsi="黑体" w:cs="黑体" w:hint="eastAsia"/>
          <w:bCs/>
          <w:color w:val="000000" w:themeColor="text1"/>
          <w:spacing w:val="-2"/>
          <w:sz w:val="32"/>
          <w:szCs w:val="32"/>
        </w:rPr>
        <w:t>五、部门整体支出绩效情况</w:t>
      </w:r>
    </w:p>
    <w:p w:rsidR="00347A63" w:rsidRDefault="00EA146C">
      <w:pPr>
        <w:spacing w:line="600" w:lineRule="exact"/>
        <w:ind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我局根据2019年工作计划的要求，认真履行职责，较好地完成了年初确定的各项工作任务，为推进文化体育旅游广电</w:t>
      </w:r>
      <w:r>
        <w:rPr>
          <w:rFonts w:ascii="仿宋_GB2312" w:eastAsia="仿宋_GB2312" w:hAnsi="仿宋_GB2312" w:cs="仿宋_GB2312" w:hint="eastAsia"/>
          <w:color w:val="000000" w:themeColor="text1"/>
          <w:kern w:val="0"/>
          <w:sz w:val="32"/>
          <w:szCs w:val="32"/>
        </w:rPr>
        <w:lastRenderedPageBreak/>
        <w:t>事业各项工作进展，取得了新的成就，为经济社会发展作出了积极贡献。根据《部门整体支出绩效评价指标》评分，得分97.00分，财政支出绩效为“优”。部门整体支出绩效情况如下：</w:t>
      </w:r>
    </w:p>
    <w:p w:rsidR="00347A63" w:rsidRDefault="00EA146C">
      <w:pPr>
        <w:spacing w:line="600" w:lineRule="exact"/>
        <w:ind w:firstLine="640"/>
        <w:rPr>
          <w:rFonts w:ascii="仿宋_GB2312" w:eastAsia="仿宋_GB2312" w:hAnsi="仿宋_GB2312" w:cs="仿宋_GB2312"/>
          <w:color w:val="000000" w:themeColor="text1"/>
          <w:kern w:val="0"/>
          <w:sz w:val="32"/>
          <w:szCs w:val="32"/>
        </w:rPr>
      </w:pPr>
      <w:r>
        <w:rPr>
          <w:rFonts w:ascii="楷体_GB2312" w:eastAsia="楷体_GB2312" w:hAnsi="楷体_GB2312" w:cs="楷体_GB2312" w:hint="eastAsia"/>
          <w:b/>
          <w:color w:val="000000" w:themeColor="text1"/>
          <w:kern w:val="0"/>
          <w:sz w:val="32"/>
          <w:szCs w:val="32"/>
        </w:rPr>
        <w:t>1.预算配置控制较好。</w:t>
      </w:r>
      <w:r>
        <w:rPr>
          <w:rFonts w:ascii="仿宋_GB2312" w:eastAsia="仿宋_GB2312" w:hAnsi="仿宋_GB2312" w:cs="仿宋_GB2312" w:hint="eastAsia"/>
          <w:color w:val="000000" w:themeColor="text1"/>
          <w:kern w:val="0"/>
          <w:sz w:val="32"/>
          <w:szCs w:val="32"/>
        </w:rPr>
        <w:t>财政供养人员控制在预算编制以内，编制内在职人员控制率≦100%；“三公”经费预算总额较上年有所减少。</w:t>
      </w:r>
    </w:p>
    <w:p w:rsidR="00347A63" w:rsidRDefault="00EA146C">
      <w:pPr>
        <w:spacing w:line="600" w:lineRule="exact"/>
        <w:ind w:firstLine="640"/>
        <w:rPr>
          <w:rFonts w:ascii="仿宋_GB2312" w:eastAsia="仿宋_GB2312" w:hAnsi="仿宋_GB2312" w:cs="仿宋_GB2312"/>
          <w:color w:val="000000" w:themeColor="text1"/>
          <w:kern w:val="0"/>
          <w:sz w:val="32"/>
          <w:szCs w:val="32"/>
        </w:rPr>
      </w:pPr>
      <w:r>
        <w:rPr>
          <w:rFonts w:ascii="楷体_GB2312" w:eastAsia="楷体_GB2312" w:hAnsi="楷体_GB2312" w:cs="楷体_GB2312" w:hint="eastAsia"/>
          <w:b/>
          <w:color w:val="000000" w:themeColor="text1"/>
          <w:kern w:val="0"/>
          <w:sz w:val="32"/>
          <w:szCs w:val="32"/>
        </w:rPr>
        <w:t>2.预算执行比较到位。</w:t>
      </w:r>
      <w:r>
        <w:rPr>
          <w:rFonts w:ascii="仿宋_GB2312" w:eastAsia="仿宋_GB2312" w:hAnsi="仿宋_GB2312" w:cs="仿宋_GB2312" w:hint="eastAsia"/>
          <w:color w:val="000000" w:themeColor="text1"/>
          <w:kern w:val="0"/>
          <w:sz w:val="32"/>
          <w:szCs w:val="32"/>
        </w:rPr>
        <w:t>支出总额控制在预算总额以内，预算完成率达到100%，全年无截留或滞留专项资金情况；全年没有新建楼堂馆所。</w:t>
      </w:r>
    </w:p>
    <w:p w:rsidR="00347A63" w:rsidRDefault="00EA146C">
      <w:pPr>
        <w:spacing w:line="600" w:lineRule="exact"/>
        <w:ind w:firstLine="640"/>
        <w:rPr>
          <w:rFonts w:ascii="仿宋_GB2312" w:eastAsia="仿宋_GB2312" w:hAnsi="仿宋_GB2312" w:cs="仿宋_GB2312"/>
          <w:color w:val="000000" w:themeColor="text1"/>
          <w:kern w:val="0"/>
          <w:sz w:val="32"/>
          <w:szCs w:val="32"/>
        </w:rPr>
      </w:pPr>
      <w:r>
        <w:rPr>
          <w:rFonts w:ascii="楷体_GB2312" w:eastAsia="楷体_GB2312" w:hAnsi="楷体_GB2312" w:cs="楷体_GB2312" w:hint="eastAsia"/>
          <w:b/>
          <w:color w:val="000000" w:themeColor="text1"/>
          <w:kern w:val="0"/>
          <w:sz w:val="32"/>
          <w:szCs w:val="32"/>
        </w:rPr>
        <w:t>3.预算管理较为理想。</w:t>
      </w:r>
      <w:r>
        <w:rPr>
          <w:rFonts w:ascii="仿宋_GB2312" w:eastAsia="仿宋_GB2312" w:hAnsi="仿宋_GB2312" w:cs="仿宋_GB2312" w:hint="eastAsia"/>
          <w:color w:val="000000" w:themeColor="text1"/>
          <w:kern w:val="0"/>
          <w:sz w:val="32"/>
          <w:szCs w:val="32"/>
        </w:rPr>
        <w:t>制度执行总体较为有效，但仍需进一步强化。“三公”经费总体控制较好，“三公”经费有效压减，厉行节约成效显著，较预算节约60%。。</w:t>
      </w:r>
    </w:p>
    <w:p w:rsidR="00347A63" w:rsidRDefault="00EA146C">
      <w:pPr>
        <w:spacing w:line="600" w:lineRule="exact"/>
        <w:ind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（1）对于单位的政府采购项目，凡单位购买属于政府采购范围内的货物、工程和服务，严格遵守政府采购相关法律法规的规定办理相关审批手续，政府采购执行率达到100%。</w:t>
      </w:r>
    </w:p>
    <w:p w:rsidR="00347A63" w:rsidRDefault="00EA146C">
      <w:pPr>
        <w:spacing w:line="600" w:lineRule="exact"/>
        <w:ind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管理制度健全。我们严格预算管理，切实按照市委出台的五项管理制度要求，坚持执行财经和财务制度，修改完善了《机关财务管理规定》《财产管理规定》《公务接待管理规定》《差旅费、会议费、培训费管理规定》《公务车辆管理办法》《会计核算制度》《厉行节约规定》等工作制度，进一步明确了财政预算资金审批手续和拨付程序、机关行政经费审批手续和报销程序，加强了财务管理，规范了收支行为，保证了</w:t>
      </w:r>
      <w:r>
        <w:rPr>
          <w:rFonts w:ascii="仿宋_GB2312" w:eastAsia="仿宋_GB2312" w:hAnsi="仿宋_GB2312" w:cs="仿宋_GB2312" w:hint="eastAsia"/>
          <w:color w:val="000000" w:themeColor="text1"/>
          <w:kern w:val="0"/>
          <w:sz w:val="32"/>
          <w:szCs w:val="32"/>
        </w:rPr>
        <w:lastRenderedPageBreak/>
        <w:t>财务管理工作规范有序进行。</w:t>
      </w:r>
    </w:p>
    <w:p w:rsidR="00347A63" w:rsidRDefault="00EA146C">
      <w:pPr>
        <w:spacing w:line="600" w:lineRule="exact"/>
        <w:ind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3）资金使用管理逐步加强。单位支出严格按照国家财经法规和财务管理制度规定执行，费用开支有标准、有预算。所有支出均通过我单位财政直接支付方式办理，资金使用无截留、挤占、挪用、虚列支出等情况。通过加强预算收支管理，不断建立健全内部管理制度，梳理内部管理流程，部门整体支出管理水平得到提升。</w:t>
      </w:r>
    </w:p>
    <w:p w:rsidR="00347A63" w:rsidRDefault="00EA146C">
      <w:pPr>
        <w:spacing w:line="600" w:lineRule="exact"/>
        <w:ind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（4）部门预算收支严格按年初部门预算方案执行，部门预决算、“三公”经费预决算按要求及时进行了公开。</w:t>
      </w:r>
    </w:p>
    <w:p w:rsidR="00347A63" w:rsidRDefault="00EA146C">
      <w:pPr>
        <w:spacing w:line="600" w:lineRule="exact"/>
        <w:ind w:firstLineChars="200" w:firstLine="632"/>
        <w:rPr>
          <w:rFonts w:ascii="黑体" w:eastAsia="黑体" w:hAnsi="黑体" w:cs="黑体"/>
          <w:bCs/>
          <w:color w:val="000000" w:themeColor="text1"/>
          <w:spacing w:val="-2"/>
          <w:sz w:val="32"/>
          <w:szCs w:val="32"/>
        </w:rPr>
      </w:pPr>
      <w:r>
        <w:rPr>
          <w:rFonts w:ascii="黑体" w:eastAsia="黑体" w:hAnsi="黑体" w:cs="黑体" w:hint="eastAsia"/>
          <w:bCs/>
          <w:color w:val="000000" w:themeColor="text1"/>
          <w:spacing w:val="-2"/>
          <w:sz w:val="32"/>
          <w:szCs w:val="32"/>
        </w:rPr>
        <w:t>六、存在的主要问题</w:t>
      </w:r>
    </w:p>
    <w:p w:rsidR="00347A63" w:rsidRDefault="00EA146C">
      <w:pPr>
        <w:spacing w:line="600" w:lineRule="exact"/>
        <w:ind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color w:val="000000" w:themeColor="text1"/>
          <w:kern w:val="0"/>
          <w:sz w:val="32"/>
          <w:szCs w:val="32"/>
        </w:rPr>
        <w:t>（一）预算编制工作有待细化。</w:t>
      </w:r>
      <w:r>
        <w:rPr>
          <w:rFonts w:ascii="仿宋_GB2312" w:eastAsia="仿宋_GB2312" w:hAnsi="仿宋_GB2312" w:cs="仿宋_GB2312" w:hint="eastAsia"/>
          <w:color w:val="000000" w:themeColor="text1"/>
          <w:kern w:val="0"/>
          <w:sz w:val="32"/>
          <w:szCs w:val="32"/>
        </w:rPr>
        <w:t>预算编制不够明确和细化，预算编制的合理性需要提高。预算执行力度还要进一步加强。</w:t>
      </w:r>
    </w:p>
    <w:p w:rsidR="00347A63" w:rsidRDefault="00EA146C">
      <w:pPr>
        <w:spacing w:line="600" w:lineRule="exact"/>
        <w:ind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color w:val="000000" w:themeColor="text1"/>
          <w:kern w:val="0"/>
          <w:sz w:val="32"/>
          <w:szCs w:val="32"/>
        </w:rPr>
        <w:t>（二）财政工作水平有待提高。</w:t>
      </w:r>
      <w:r>
        <w:rPr>
          <w:rFonts w:ascii="仿宋_GB2312" w:eastAsia="仿宋_GB2312" w:hAnsi="仿宋_GB2312" w:cs="仿宋_GB2312" w:hint="eastAsia"/>
          <w:color w:val="000000" w:themeColor="text1"/>
          <w:kern w:val="0"/>
          <w:sz w:val="32"/>
          <w:szCs w:val="32"/>
        </w:rPr>
        <w:t>财政工作按部就班，缺乏创新，在精度和深度上欠缺，还需要进一步完善，尤其是在政府采购、固定资产管理方面还需要进一步严格。</w:t>
      </w:r>
    </w:p>
    <w:p w:rsidR="00347A63" w:rsidRDefault="00EA146C">
      <w:pPr>
        <w:spacing w:line="600" w:lineRule="exact"/>
        <w:ind w:firstLineChars="200" w:firstLine="632"/>
        <w:rPr>
          <w:rFonts w:ascii="黑体" w:eastAsia="黑体" w:hAnsi="黑体" w:cs="黑体"/>
          <w:bCs/>
          <w:color w:val="000000" w:themeColor="text1"/>
          <w:spacing w:val="-2"/>
          <w:sz w:val="32"/>
          <w:szCs w:val="32"/>
        </w:rPr>
      </w:pPr>
      <w:r>
        <w:rPr>
          <w:rFonts w:ascii="黑体" w:eastAsia="黑体" w:hAnsi="黑体" w:cs="黑体" w:hint="eastAsia"/>
          <w:bCs/>
          <w:color w:val="000000" w:themeColor="text1"/>
          <w:spacing w:val="-2"/>
          <w:sz w:val="32"/>
          <w:szCs w:val="32"/>
        </w:rPr>
        <w:t>七、改进措施和有关建议</w:t>
      </w:r>
    </w:p>
    <w:p w:rsidR="00347A63" w:rsidRDefault="00EA146C">
      <w:pPr>
        <w:spacing w:line="600" w:lineRule="exact"/>
        <w:ind w:firstLine="640"/>
        <w:rPr>
          <w:rFonts w:ascii="楷体_GB2312" w:eastAsia="楷体_GB2312" w:hAnsi="楷体_GB2312" w:cs="楷体_GB2312"/>
          <w:b/>
          <w:color w:val="000000" w:themeColor="text1"/>
          <w:kern w:val="0"/>
          <w:sz w:val="32"/>
          <w:szCs w:val="32"/>
        </w:rPr>
      </w:pPr>
      <w:r>
        <w:rPr>
          <w:rFonts w:ascii="楷体_GB2312" w:eastAsia="楷体_GB2312" w:hAnsi="楷体_GB2312" w:cs="楷体_GB2312" w:hint="eastAsia"/>
          <w:b/>
          <w:color w:val="000000" w:themeColor="text1"/>
          <w:kern w:val="0"/>
          <w:sz w:val="32"/>
          <w:szCs w:val="32"/>
        </w:rPr>
        <w:t>（一）科学合理编制预算，严格执行预算</w:t>
      </w:r>
    </w:p>
    <w:p w:rsidR="00347A63" w:rsidRDefault="00EA146C">
      <w:pPr>
        <w:spacing w:line="600" w:lineRule="exact"/>
        <w:ind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加强预算编制的前瞻性，按照新《预算法》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w:t>
      </w:r>
      <w:r>
        <w:rPr>
          <w:rFonts w:ascii="仿宋_GB2312" w:eastAsia="仿宋_GB2312" w:hAnsi="仿宋_GB2312" w:cs="仿宋_GB2312" w:hint="eastAsia"/>
          <w:color w:val="000000" w:themeColor="text1"/>
          <w:kern w:val="0"/>
          <w:sz w:val="32"/>
          <w:szCs w:val="32"/>
        </w:rPr>
        <w:lastRenderedPageBreak/>
        <w:t>规定程序报经批准。</w:t>
      </w:r>
    </w:p>
    <w:p w:rsidR="00347A63" w:rsidRDefault="00EA146C">
      <w:pPr>
        <w:spacing w:line="600" w:lineRule="exact"/>
        <w:ind w:firstLine="640"/>
        <w:rPr>
          <w:rFonts w:ascii="楷体_GB2312" w:eastAsia="楷体_GB2312" w:hAnsi="楷体_GB2312" w:cs="楷体_GB2312"/>
          <w:b/>
          <w:color w:val="000000" w:themeColor="text1"/>
          <w:kern w:val="0"/>
          <w:sz w:val="32"/>
          <w:szCs w:val="32"/>
        </w:rPr>
      </w:pPr>
      <w:r>
        <w:rPr>
          <w:rFonts w:ascii="楷体_GB2312" w:eastAsia="楷体_GB2312" w:hAnsi="楷体_GB2312" w:cs="楷体_GB2312" w:hint="eastAsia"/>
          <w:b/>
          <w:color w:val="000000" w:themeColor="text1"/>
          <w:kern w:val="0"/>
          <w:sz w:val="32"/>
          <w:szCs w:val="32"/>
        </w:rPr>
        <w:t>（二）完善管理制度，进一步加强资产管理</w:t>
      </w:r>
    </w:p>
    <w:p w:rsidR="00347A63" w:rsidRDefault="00EA146C">
      <w:pPr>
        <w:spacing w:line="600" w:lineRule="exact"/>
        <w:ind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进一步贯彻落实中央“八项规定”和湖南省委“九条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严格编制政府采购年初预算和计划，规范各类资产的购置审批制度、资产出租出借和收入管理制度、资产采购制度、使用管理制度、资产处置和报废审批制度、资产管理岗位职责制度等，加强单位内部的资产管理工作。</w:t>
      </w:r>
    </w:p>
    <w:p w:rsidR="00347A63" w:rsidRDefault="00EA146C">
      <w:pPr>
        <w:spacing w:line="600" w:lineRule="exact"/>
        <w:ind w:firstLine="640"/>
        <w:rPr>
          <w:rFonts w:ascii="仿宋_GB2312" w:eastAsia="仿宋_GB2312" w:hAnsi="仿宋_GB2312" w:cs="仿宋_GB2312"/>
          <w:color w:val="000000" w:themeColor="text1"/>
          <w:kern w:val="0"/>
          <w:sz w:val="32"/>
          <w:szCs w:val="32"/>
        </w:rPr>
      </w:pPr>
      <w:r>
        <w:rPr>
          <w:rFonts w:ascii="楷体_GB2312" w:eastAsia="楷体_GB2312" w:hAnsi="楷体_GB2312" w:cs="楷体_GB2312" w:hint="eastAsia"/>
          <w:b/>
          <w:color w:val="000000" w:themeColor="text1"/>
          <w:kern w:val="0"/>
          <w:sz w:val="32"/>
          <w:szCs w:val="32"/>
        </w:rPr>
        <w:t>（三）抓好“三公”经费控制。</w:t>
      </w:r>
      <w:r>
        <w:rPr>
          <w:rFonts w:ascii="仿宋_GB2312" w:eastAsia="仿宋_GB2312" w:hAnsi="仿宋_GB2312" w:cs="仿宋_GB2312" w:hint="eastAsia"/>
          <w:color w:val="000000" w:themeColor="text1"/>
          <w:kern w:val="0"/>
          <w:sz w:val="32"/>
          <w:szCs w:val="32"/>
        </w:rPr>
        <w:t>严格控制“三公”经费的规模和比例，把关“三公”经费支出的审核、审批，杜绝挪用和挤占其他预算资金行为；进一步细化“三公”经费的管理，合理压缩“三公”经费支出。</w:t>
      </w:r>
    </w:p>
    <w:p w:rsidR="00347A63" w:rsidRDefault="00347A63">
      <w:pPr>
        <w:widowControl/>
        <w:spacing w:line="600" w:lineRule="exact"/>
        <w:jc w:val="left"/>
        <w:rPr>
          <w:rFonts w:ascii="仿宋_GB2312" w:eastAsia="仿宋_GB2312" w:hAnsi="仿宋_GB2312" w:cs="仿宋_GB2312"/>
          <w:color w:val="000000" w:themeColor="text1"/>
          <w:kern w:val="0"/>
          <w:sz w:val="32"/>
          <w:szCs w:val="32"/>
        </w:rPr>
      </w:pPr>
    </w:p>
    <w:p w:rsidR="00347A63" w:rsidRDefault="00EA146C">
      <w:pPr>
        <w:widowControl/>
        <w:spacing w:line="60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附：</w:t>
      </w:r>
    </w:p>
    <w:p w:rsidR="00347A63" w:rsidRDefault="00EA146C">
      <w:pPr>
        <w:widowControl/>
        <w:spacing w:line="60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1、部门整体支出绩效评价指标表</w:t>
      </w:r>
    </w:p>
    <w:p w:rsidR="00347A63" w:rsidRDefault="00EA146C">
      <w:pPr>
        <w:widowControl/>
        <w:spacing w:line="60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2、部门整体支出绩效评价基础数据表</w:t>
      </w:r>
    </w:p>
    <w:p w:rsidR="00347A63" w:rsidRDefault="00347A63">
      <w:pPr>
        <w:widowControl/>
        <w:spacing w:line="600" w:lineRule="exact"/>
        <w:jc w:val="left"/>
        <w:rPr>
          <w:rFonts w:ascii="仿宋_GB2312" w:eastAsia="仿宋_GB2312" w:hAnsi="仿宋_GB2312" w:cs="仿宋_GB2312"/>
          <w:color w:val="000000" w:themeColor="text1"/>
          <w:kern w:val="0"/>
          <w:sz w:val="32"/>
          <w:szCs w:val="32"/>
        </w:rPr>
      </w:pPr>
    </w:p>
    <w:p w:rsidR="00347A63" w:rsidRDefault="00EA146C" w:rsidP="00352FA3">
      <w:pPr>
        <w:widowControl/>
        <w:spacing w:line="600" w:lineRule="exact"/>
        <w:ind w:firstLineChars="1443" w:firstLine="4618"/>
        <w:jc w:val="left"/>
        <w:rPr>
          <w:rFonts w:ascii="仿宋_GB2312" w:eastAsia="仿宋_GB2312" w:hAnsi="宋体" w:cs="Arial"/>
          <w:bCs/>
          <w:color w:val="000000" w:themeColor="text1"/>
          <w:kern w:val="0"/>
          <w:sz w:val="32"/>
          <w:szCs w:val="32"/>
        </w:rPr>
      </w:pPr>
      <w:r>
        <w:rPr>
          <w:rFonts w:ascii="仿宋_GB2312" w:eastAsia="仿宋_GB2312" w:hAnsi="仿宋_GB2312" w:cs="仿宋_GB2312" w:hint="eastAsia"/>
          <w:color w:val="000000" w:themeColor="text1"/>
          <w:kern w:val="0"/>
          <w:sz w:val="32"/>
          <w:szCs w:val="32"/>
        </w:rPr>
        <w:t>2020年7月20日</w:t>
      </w:r>
    </w:p>
    <w:p w:rsidR="00347A63" w:rsidRDefault="00347A63">
      <w:pPr>
        <w:rPr>
          <w:rFonts w:ascii="仿宋_GB2312" w:eastAsia="仿宋_GB2312" w:hAnsi="宋体" w:cs="Arial"/>
          <w:bCs/>
          <w:color w:val="000000" w:themeColor="text1"/>
          <w:kern w:val="0"/>
          <w:sz w:val="32"/>
          <w:szCs w:val="32"/>
        </w:rPr>
      </w:pPr>
    </w:p>
    <w:p w:rsidR="00347A63" w:rsidRDefault="00EA146C">
      <w:pPr>
        <w:rPr>
          <w:rFonts w:ascii="仿宋_GB2312" w:eastAsia="仿宋_GB2312" w:hAnsi="宋体" w:cs="Arial"/>
          <w:bCs/>
          <w:color w:val="000000" w:themeColor="text1"/>
          <w:kern w:val="0"/>
          <w:sz w:val="32"/>
          <w:szCs w:val="32"/>
        </w:rPr>
      </w:pPr>
      <w:r>
        <w:rPr>
          <w:rFonts w:ascii="仿宋_GB2312" w:eastAsia="仿宋_GB2312" w:hAnsi="宋体" w:cs="Arial" w:hint="eastAsia"/>
          <w:bCs/>
          <w:color w:val="000000" w:themeColor="text1"/>
          <w:kern w:val="0"/>
          <w:sz w:val="32"/>
          <w:szCs w:val="32"/>
        </w:rPr>
        <w:t>附1：</w:t>
      </w:r>
    </w:p>
    <w:p w:rsidR="00347A63" w:rsidRDefault="00EA146C">
      <w:pPr>
        <w:jc w:val="center"/>
        <w:rPr>
          <w:rFonts w:ascii="仿宋_GB2312" w:eastAsia="仿宋_GB2312" w:hAnsi="宋体" w:cs="Arial"/>
          <w:bCs/>
          <w:color w:val="000000" w:themeColor="text1"/>
          <w:kern w:val="0"/>
          <w:sz w:val="32"/>
          <w:szCs w:val="32"/>
        </w:rPr>
      </w:pPr>
      <w:r>
        <w:rPr>
          <w:rFonts w:ascii="方正小标宋简体" w:eastAsia="方正小标宋简体" w:hAnsi="方正小标宋简体" w:cs="方正小标宋简体" w:hint="eastAsia"/>
          <w:bCs/>
          <w:color w:val="000000" w:themeColor="text1"/>
          <w:kern w:val="0"/>
          <w:sz w:val="44"/>
          <w:szCs w:val="44"/>
        </w:rPr>
        <w:t>部门整体支出绩效评价指标表</w:t>
      </w:r>
    </w:p>
    <w:tbl>
      <w:tblPr>
        <w:tblW w:w="9509" w:type="dxa"/>
        <w:jc w:val="center"/>
        <w:tblLayout w:type="fixed"/>
        <w:tblCellMar>
          <w:top w:w="15" w:type="dxa"/>
          <w:left w:w="15" w:type="dxa"/>
          <w:bottom w:w="15" w:type="dxa"/>
          <w:right w:w="15" w:type="dxa"/>
        </w:tblCellMar>
        <w:tblLook w:val="04A0"/>
      </w:tblPr>
      <w:tblGrid>
        <w:gridCol w:w="585"/>
        <w:gridCol w:w="465"/>
        <w:gridCol w:w="599"/>
        <w:gridCol w:w="675"/>
        <w:gridCol w:w="825"/>
        <w:gridCol w:w="413"/>
        <w:gridCol w:w="3115"/>
        <w:gridCol w:w="2425"/>
        <w:gridCol w:w="407"/>
      </w:tblGrid>
      <w:tr w:rsidR="00347A63">
        <w:trPr>
          <w:trHeight w:val="90"/>
          <w:tblHeader/>
          <w:jc w:val="center"/>
        </w:trPr>
        <w:tc>
          <w:tcPr>
            <w:tcW w:w="58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kern w:val="0"/>
                <w:szCs w:val="21"/>
              </w:rPr>
              <w:t>一级指标</w:t>
            </w:r>
          </w:p>
        </w:tc>
        <w:tc>
          <w:tcPr>
            <w:tcW w:w="46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kern w:val="0"/>
                <w:szCs w:val="21"/>
              </w:rPr>
              <w:t>分值</w:t>
            </w:r>
          </w:p>
        </w:tc>
        <w:tc>
          <w:tcPr>
            <w:tcW w:w="59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kern w:val="0"/>
                <w:szCs w:val="21"/>
              </w:rPr>
              <w:t>二级指标</w:t>
            </w:r>
          </w:p>
        </w:tc>
        <w:tc>
          <w:tcPr>
            <w:tcW w:w="67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kern w:val="0"/>
                <w:szCs w:val="21"/>
              </w:rPr>
              <w:t>分值</w:t>
            </w:r>
          </w:p>
        </w:tc>
        <w:tc>
          <w:tcPr>
            <w:tcW w:w="8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kern w:val="0"/>
                <w:szCs w:val="21"/>
              </w:rPr>
              <w:t>三级</w:t>
            </w:r>
          </w:p>
        </w:tc>
        <w:tc>
          <w:tcPr>
            <w:tcW w:w="41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kern w:val="0"/>
                <w:szCs w:val="21"/>
              </w:rPr>
              <w:t>分值</w:t>
            </w:r>
          </w:p>
        </w:tc>
        <w:tc>
          <w:tcPr>
            <w:tcW w:w="311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kern w:val="0"/>
                <w:szCs w:val="21"/>
              </w:rPr>
              <w:t>评价标准</w:t>
            </w:r>
          </w:p>
        </w:tc>
        <w:tc>
          <w:tcPr>
            <w:tcW w:w="24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kern w:val="0"/>
                <w:szCs w:val="21"/>
              </w:rPr>
              <w:t>指标说明</w:t>
            </w:r>
          </w:p>
        </w:tc>
        <w:tc>
          <w:tcPr>
            <w:tcW w:w="40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kern w:val="0"/>
                <w:szCs w:val="21"/>
              </w:rPr>
              <w:t>得分</w:t>
            </w:r>
          </w:p>
        </w:tc>
      </w:tr>
      <w:tr w:rsidR="00347A63">
        <w:trPr>
          <w:trHeight w:val="285"/>
          <w:tblHeader/>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46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9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7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8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b/>
                <w:bCs/>
                <w:color w:val="000000" w:themeColor="text1"/>
                <w:kern w:val="0"/>
                <w:szCs w:val="21"/>
              </w:rPr>
              <w:t>指标</w:t>
            </w:r>
          </w:p>
        </w:tc>
        <w:tc>
          <w:tcPr>
            <w:tcW w:w="41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311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24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40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r>
      <w:tr w:rsidR="00347A63">
        <w:trPr>
          <w:trHeight w:val="930"/>
          <w:jc w:val="center"/>
        </w:trPr>
        <w:tc>
          <w:tcPr>
            <w:tcW w:w="58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投</w:t>
            </w:r>
          </w:p>
          <w:p w:rsidR="00347A63" w:rsidRDefault="00347A63">
            <w:pPr>
              <w:widowControl/>
              <w:jc w:val="center"/>
              <w:textAlignment w:val="center"/>
              <w:rPr>
                <w:rFonts w:asciiTheme="minorEastAsia" w:eastAsiaTheme="minorEastAsia" w:hAnsiTheme="minorEastAsia" w:cstheme="minorEastAsia"/>
                <w:color w:val="000000" w:themeColor="text1"/>
                <w:kern w:val="0"/>
                <w:szCs w:val="21"/>
              </w:rPr>
            </w:pPr>
          </w:p>
          <w:p w:rsidR="00347A63" w:rsidRDefault="00347A63">
            <w:pPr>
              <w:widowControl/>
              <w:jc w:val="center"/>
              <w:textAlignment w:val="center"/>
              <w:rPr>
                <w:rFonts w:asciiTheme="minorEastAsia" w:eastAsiaTheme="minorEastAsia" w:hAnsiTheme="minorEastAsia" w:cstheme="minorEastAsia"/>
                <w:color w:val="000000" w:themeColor="text1"/>
                <w:kern w:val="0"/>
                <w:szCs w:val="21"/>
              </w:rPr>
            </w:pPr>
          </w:p>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入</w:t>
            </w:r>
          </w:p>
        </w:tc>
        <w:tc>
          <w:tcPr>
            <w:tcW w:w="46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13</w:t>
            </w:r>
          </w:p>
        </w:tc>
        <w:tc>
          <w:tcPr>
            <w:tcW w:w="59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预算配置</w:t>
            </w:r>
          </w:p>
        </w:tc>
        <w:tc>
          <w:tcPr>
            <w:tcW w:w="67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13</w:t>
            </w:r>
          </w:p>
        </w:tc>
        <w:tc>
          <w:tcPr>
            <w:tcW w:w="8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在职人员控制率</w:t>
            </w:r>
          </w:p>
        </w:tc>
        <w:tc>
          <w:tcPr>
            <w:tcW w:w="41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c>
          <w:tcPr>
            <w:tcW w:w="3115" w:type="dxa"/>
            <w:vMerge w:val="restart"/>
            <w:tcBorders>
              <w:top w:val="single" w:sz="4" w:space="0" w:color="000000"/>
              <w:left w:val="single" w:sz="4" w:space="0" w:color="000000"/>
              <w:bottom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以100%为标准。在职人员控制率</w:t>
            </w:r>
            <w:r>
              <w:rPr>
                <w:rStyle w:val="font01"/>
                <w:rFonts w:asciiTheme="minorEastAsia" w:eastAsiaTheme="minorEastAsia" w:hAnsiTheme="minorEastAsia" w:cstheme="minorEastAsia" w:hint="default"/>
                <w:color w:val="000000" w:themeColor="text1"/>
                <w:sz w:val="21"/>
                <w:szCs w:val="21"/>
              </w:rPr>
              <w:t>≦</w:t>
            </w:r>
            <w:r>
              <w:rPr>
                <w:rStyle w:val="font21"/>
                <w:rFonts w:asciiTheme="minorEastAsia" w:eastAsiaTheme="minorEastAsia" w:hAnsiTheme="minorEastAsia" w:cstheme="minorEastAsia" w:hint="eastAsia"/>
                <w:color w:val="000000" w:themeColor="text1"/>
                <w:sz w:val="21"/>
                <w:szCs w:val="21"/>
              </w:rPr>
              <w:t>100%，计5分；每超过一个百分点扣0.5分，扣完为止。</w:t>
            </w:r>
          </w:p>
        </w:tc>
        <w:tc>
          <w:tcPr>
            <w:tcW w:w="2425" w:type="dxa"/>
            <w:tcBorders>
              <w:top w:val="single" w:sz="4" w:space="0" w:color="000000"/>
              <w:left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在职人员控制率=（在职人员数/编制数）×100%，在职人员数：部门（单位）实际在职人数，以财政厅确定的部门决算编制口径为准。</w:t>
            </w:r>
          </w:p>
        </w:tc>
        <w:tc>
          <w:tcPr>
            <w:tcW w:w="407" w:type="dxa"/>
            <w:vMerge w:val="restart"/>
            <w:tcBorders>
              <w:top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r>
      <w:tr w:rsidR="00347A63">
        <w:trPr>
          <w:trHeight w:val="450"/>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46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9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7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8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c>
          <w:tcPr>
            <w:tcW w:w="41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3115" w:type="dxa"/>
            <w:vMerge/>
            <w:tcBorders>
              <w:top w:val="single" w:sz="4" w:space="0" w:color="000000"/>
              <w:left w:val="single" w:sz="4" w:space="0" w:color="000000"/>
              <w:bottom w:val="single" w:sz="4" w:space="0" w:color="000000"/>
            </w:tcBorders>
            <w:tcMar>
              <w:top w:w="0" w:type="dxa"/>
              <w:left w:w="57" w:type="dxa"/>
              <w:bottom w:w="0" w:type="dxa"/>
              <w:right w:w="57" w:type="dxa"/>
            </w:tcMar>
            <w:vAlign w:val="center"/>
          </w:tcPr>
          <w:p w:rsidR="00347A63" w:rsidRDefault="00347A63">
            <w:pPr>
              <w:jc w:val="left"/>
              <w:rPr>
                <w:rFonts w:asciiTheme="minorEastAsia" w:eastAsiaTheme="minorEastAsia" w:hAnsiTheme="minorEastAsia" w:cstheme="minorEastAsia"/>
                <w:color w:val="000000" w:themeColor="text1"/>
                <w:szCs w:val="21"/>
              </w:rPr>
            </w:pPr>
          </w:p>
        </w:tc>
        <w:tc>
          <w:tcPr>
            <w:tcW w:w="2425" w:type="dxa"/>
            <w:tcBorders>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编制数：机构编制部门核定批复的部门（单位）的人员编制数。</w:t>
            </w:r>
          </w:p>
        </w:tc>
        <w:tc>
          <w:tcPr>
            <w:tcW w:w="407" w:type="dxa"/>
            <w:vMerge/>
            <w:tcBorders>
              <w:top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r>
      <w:tr w:rsidR="00347A63">
        <w:trPr>
          <w:trHeight w:val="1110"/>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46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9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7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8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“三公经费”变动率</w:t>
            </w:r>
          </w:p>
        </w:tc>
        <w:tc>
          <w:tcPr>
            <w:tcW w:w="41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8</w:t>
            </w:r>
          </w:p>
        </w:tc>
        <w:tc>
          <w:tcPr>
            <w:tcW w:w="31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“三公经费”变动率</w:t>
            </w:r>
            <w:r>
              <w:rPr>
                <w:rStyle w:val="font01"/>
                <w:rFonts w:asciiTheme="minorEastAsia" w:eastAsiaTheme="minorEastAsia" w:hAnsiTheme="minorEastAsia" w:cstheme="minorEastAsia" w:hint="default"/>
                <w:color w:val="000000" w:themeColor="text1"/>
                <w:sz w:val="21"/>
                <w:szCs w:val="21"/>
              </w:rPr>
              <w:t>≦</w:t>
            </w:r>
            <w:r>
              <w:rPr>
                <w:rStyle w:val="font21"/>
                <w:rFonts w:asciiTheme="minorEastAsia" w:eastAsiaTheme="minorEastAsia" w:hAnsiTheme="minorEastAsia" w:cstheme="minorEastAsia" w:hint="eastAsia"/>
                <w:color w:val="000000" w:themeColor="text1"/>
                <w:sz w:val="21"/>
                <w:szCs w:val="21"/>
              </w:rPr>
              <w:t>0,计8分；“三公经费”＞0，每超过一个百分点扣0.8分，扣完为止。</w:t>
            </w:r>
          </w:p>
        </w:tc>
        <w:tc>
          <w:tcPr>
            <w:tcW w:w="2425" w:type="dxa"/>
            <w:tcBorders>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“三公经费”变动率=[（本年度“三公经费”预算数-上年度“三公经费”预算数）/上年度“三公经费”预算数]×100%</w:t>
            </w:r>
          </w:p>
        </w:tc>
        <w:tc>
          <w:tcPr>
            <w:tcW w:w="4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8</w:t>
            </w:r>
          </w:p>
        </w:tc>
      </w:tr>
      <w:tr w:rsidR="00347A63">
        <w:trPr>
          <w:trHeight w:val="705"/>
          <w:jc w:val="center"/>
        </w:trPr>
        <w:tc>
          <w:tcPr>
            <w:tcW w:w="58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过</w:t>
            </w:r>
          </w:p>
          <w:p w:rsidR="00347A63" w:rsidRDefault="00347A63">
            <w:pPr>
              <w:widowControl/>
              <w:jc w:val="center"/>
              <w:textAlignment w:val="center"/>
              <w:rPr>
                <w:rFonts w:asciiTheme="minorEastAsia" w:eastAsiaTheme="minorEastAsia" w:hAnsiTheme="minorEastAsia" w:cstheme="minorEastAsia"/>
                <w:color w:val="000000" w:themeColor="text1"/>
                <w:kern w:val="0"/>
                <w:szCs w:val="21"/>
              </w:rPr>
            </w:pPr>
          </w:p>
          <w:p w:rsidR="00347A63" w:rsidRDefault="00347A63">
            <w:pPr>
              <w:widowControl/>
              <w:jc w:val="center"/>
              <w:textAlignment w:val="center"/>
              <w:rPr>
                <w:rFonts w:asciiTheme="minorEastAsia" w:eastAsiaTheme="minorEastAsia" w:hAnsiTheme="minorEastAsia" w:cstheme="minorEastAsia"/>
                <w:color w:val="000000" w:themeColor="text1"/>
                <w:kern w:val="0"/>
                <w:szCs w:val="21"/>
              </w:rPr>
            </w:pPr>
          </w:p>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程</w:t>
            </w:r>
          </w:p>
        </w:tc>
        <w:tc>
          <w:tcPr>
            <w:tcW w:w="46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61</w:t>
            </w:r>
          </w:p>
        </w:tc>
        <w:tc>
          <w:tcPr>
            <w:tcW w:w="59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预算执行</w:t>
            </w:r>
          </w:p>
        </w:tc>
        <w:tc>
          <w:tcPr>
            <w:tcW w:w="67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20</w:t>
            </w:r>
          </w:p>
        </w:tc>
        <w:tc>
          <w:tcPr>
            <w:tcW w:w="8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预算完成率</w:t>
            </w:r>
          </w:p>
        </w:tc>
        <w:tc>
          <w:tcPr>
            <w:tcW w:w="41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c>
          <w:tcPr>
            <w:tcW w:w="31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100%计满分，每低于5%扣2分，扣完为止。</w:t>
            </w:r>
          </w:p>
        </w:tc>
        <w:tc>
          <w:tcPr>
            <w:tcW w:w="24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预算完成率=（上年结转+年初预算+本年追加预算-年末结余）/（上年结转+年初预算+本年追加预算）×100%。</w:t>
            </w:r>
          </w:p>
        </w:tc>
        <w:tc>
          <w:tcPr>
            <w:tcW w:w="4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r>
      <w:tr w:rsidR="00347A63">
        <w:trPr>
          <w:trHeight w:val="1065"/>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46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9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7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8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预算控制率</w:t>
            </w:r>
          </w:p>
        </w:tc>
        <w:tc>
          <w:tcPr>
            <w:tcW w:w="41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c>
          <w:tcPr>
            <w:tcW w:w="31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预算控制率=0，计5分；0-10%（含），计4分；10-20%（含），计3分；20-30%（含），计2分；大于30%不得分。</w:t>
            </w:r>
          </w:p>
        </w:tc>
        <w:tc>
          <w:tcPr>
            <w:tcW w:w="24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预算控制率=（本年追加预算/年初预算）×100%。</w:t>
            </w:r>
          </w:p>
        </w:tc>
        <w:tc>
          <w:tcPr>
            <w:tcW w:w="4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r>
      <w:tr w:rsidR="00347A63">
        <w:trPr>
          <w:trHeight w:val="645"/>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46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9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7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8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新建楼堂馆所面积控制率</w:t>
            </w:r>
          </w:p>
        </w:tc>
        <w:tc>
          <w:tcPr>
            <w:tcW w:w="41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c>
          <w:tcPr>
            <w:tcW w:w="311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100%以下（含）计满分，每超出5%扣2分，扣完为止。没有楼堂馆所项目的部门按满分计算。</w:t>
            </w:r>
          </w:p>
        </w:tc>
        <w:tc>
          <w:tcPr>
            <w:tcW w:w="24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楼堂馆所面积控制率=实际建设面积/批准建设面积×100% 。</w:t>
            </w:r>
          </w:p>
        </w:tc>
        <w:tc>
          <w:tcPr>
            <w:tcW w:w="40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r>
      <w:tr w:rsidR="00347A63">
        <w:trPr>
          <w:trHeight w:val="495"/>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46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9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7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8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c>
          <w:tcPr>
            <w:tcW w:w="41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311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left"/>
              <w:rPr>
                <w:rFonts w:asciiTheme="minorEastAsia" w:eastAsiaTheme="minorEastAsia" w:hAnsiTheme="minorEastAsia" w:cstheme="minorEastAsia"/>
                <w:color w:val="000000" w:themeColor="text1"/>
                <w:szCs w:val="21"/>
              </w:rPr>
            </w:pPr>
          </w:p>
        </w:tc>
        <w:tc>
          <w:tcPr>
            <w:tcW w:w="2425" w:type="dxa"/>
            <w:tcBorders>
              <w:top w:val="single" w:sz="4" w:space="0" w:color="000000"/>
              <w:left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该指标以2015年完工的新建楼堂馆所为评价内容。</w:t>
            </w:r>
          </w:p>
        </w:tc>
        <w:tc>
          <w:tcPr>
            <w:tcW w:w="40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r>
      <w:tr w:rsidR="00347A63">
        <w:trPr>
          <w:trHeight w:val="465"/>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46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9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7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8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新建楼堂馆所投资概算控制</w:t>
            </w:r>
            <w:r>
              <w:rPr>
                <w:rFonts w:asciiTheme="minorEastAsia" w:eastAsiaTheme="minorEastAsia" w:hAnsiTheme="minorEastAsia" w:cstheme="minorEastAsia" w:hint="eastAsia"/>
                <w:color w:val="000000" w:themeColor="text1"/>
                <w:kern w:val="0"/>
                <w:szCs w:val="21"/>
              </w:rPr>
              <w:lastRenderedPageBreak/>
              <w:t>率</w:t>
            </w:r>
          </w:p>
        </w:tc>
        <w:tc>
          <w:tcPr>
            <w:tcW w:w="41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lastRenderedPageBreak/>
              <w:t>5</w:t>
            </w:r>
          </w:p>
        </w:tc>
        <w:tc>
          <w:tcPr>
            <w:tcW w:w="3115" w:type="dxa"/>
            <w:vMerge w:val="restart"/>
            <w:tcBorders>
              <w:top w:val="single" w:sz="4" w:space="0" w:color="000000"/>
              <w:left w:val="single" w:sz="4" w:space="0" w:color="000000"/>
              <w:bottom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100%以下（含）计满分，每超出5%扣2分，扣完为止。</w:t>
            </w:r>
          </w:p>
        </w:tc>
        <w:tc>
          <w:tcPr>
            <w:tcW w:w="2425" w:type="dxa"/>
            <w:tcBorders>
              <w:top w:val="single" w:sz="4" w:space="0" w:color="000000"/>
              <w:left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楼堂馆所投资预算控制率=实际投资金额/批准投资金额×100% 。</w:t>
            </w:r>
          </w:p>
        </w:tc>
        <w:tc>
          <w:tcPr>
            <w:tcW w:w="407" w:type="dxa"/>
            <w:vMerge w:val="restart"/>
            <w:tcBorders>
              <w:top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r>
      <w:tr w:rsidR="00347A63">
        <w:trPr>
          <w:trHeight w:val="420"/>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46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9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7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8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c>
          <w:tcPr>
            <w:tcW w:w="41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3115" w:type="dxa"/>
            <w:vMerge/>
            <w:tcBorders>
              <w:top w:val="single" w:sz="4" w:space="0" w:color="000000"/>
              <w:left w:val="single" w:sz="4" w:space="0" w:color="000000"/>
              <w:bottom w:val="single" w:sz="4" w:space="0" w:color="000000"/>
            </w:tcBorders>
            <w:tcMar>
              <w:top w:w="0" w:type="dxa"/>
              <w:left w:w="57" w:type="dxa"/>
              <w:bottom w:w="0" w:type="dxa"/>
              <w:right w:w="57" w:type="dxa"/>
            </w:tcMar>
            <w:vAlign w:val="center"/>
          </w:tcPr>
          <w:p w:rsidR="00347A63" w:rsidRDefault="00347A63">
            <w:pPr>
              <w:jc w:val="left"/>
              <w:rPr>
                <w:rFonts w:asciiTheme="minorEastAsia" w:eastAsiaTheme="minorEastAsia" w:hAnsiTheme="minorEastAsia" w:cstheme="minorEastAsia"/>
                <w:color w:val="000000" w:themeColor="text1"/>
                <w:szCs w:val="21"/>
              </w:rPr>
            </w:pPr>
          </w:p>
        </w:tc>
        <w:tc>
          <w:tcPr>
            <w:tcW w:w="2425" w:type="dxa"/>
            <w:tcBorders>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该指标以2015年完工的</w:t>
            </w:r>
            <w:r>
              <w:rPr>
                <w:rFonts w:asciiTheme="minorEastAsia" w:eastAsiaTheme="minorEastAsia" w:hAnsiTheme="minorEastAsia" w:cstheme="minorEastAsia" w:hint="eastAsia"/>
                <w:color w:val="000000" w:themeColor="text1"/>
                <w:kern w:val="0"/>
                <w:szCs w:val="21"/>
              </w:rPr>
              <w:lastRenderedPageBreak/>
              <w:t>新建楼堂馆所为评价内容。</w:t>
            </w:r>
          </w:p>
        </w:tc>
        <w:tc>
          <w:tcPr>
            <w:tcW w:w="407" w:type="dxa"/>
            <w:vMerge/>
            <w:tcBorders>
              <w:top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r>
      <w:tr w:rsidR="00347A63">
        <w:trPr>
          <w:trHeight w:val="720"/>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46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9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预算管理</w:t>
            </w:r>
          </w:p>
        </w:tc>
        <w:tc>
          <w:tcPr>
            <w:tcW w:w="67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41</w:t>
            </w:r>
          </w:p>
        </w:tc>
        <w:tc>
          <w:tcPr>
            <w:tcW w:w="8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公用经费控制率</w:t>
            </w:r>
          </w:p>
        </w:tc>
        <w:tc>
          <w:tcPr>
            <w:tcW w:w="41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8</w:t>
            </w:r>
          </w:p>
        </w:tc>
        <w:tc>
          <w:tcPr>
            <w:tcW w:w="31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100%以下（含）计满分，每超出1%扣1分，扣完为止。</w:t>
            </w:r>
          </w:p>
        </w:tc>
        <w:tc>
          <w:tcPr>
            <w:tcW w:w="2425" w:type="dxa"/>
            <w:tcBorders>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公用经费控制率=（实际支出公用经费总额/预算安排公用经费总额）×100%。</w:t>
            </w:r>
          </w:p>
        </w:tc>
        <w:tc>
          <w:tcPr>
            <w:tcW w:w="4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8</w:t>
            </w:r>
          </w:p>
        </w:tc>
      </w:tr>
      <w:tr w:rsidR="00347A63">
        <w:trPr>
          <w:trHeight w:val="720"/>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46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9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7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8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“三公经费”控制率</w:t>
            </w:r>
          </w:p>
        </w:tc>
        <w:tc>
          <w:tcPr>
            <w:tcW w:w="41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8</w:t>
            </w:r>
          </w:p>
        </w:tc>
        <w:tc>
          <w:tcPr>
            <w:tcW w:w="31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100%以下（含）计满分，每超出1%扣1分，扣完为止。</w:t>
            </w:r>
          </w:p>
        </w:tc>
        <w:tc>
          <w:tcPr>
            <w:tcW w:w="24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“三公经费”控制率-（“三公经费”实际支出数/“三公经费”预算安排数）×100%。</w:t>
            </w:r>
          </w:p>
        </w:tc>
        <w:tc>
          <w:tcPr>
            <w:tcW w:w="4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8</w:t>
            </w:r>
          </w:p>
        </w:tc>
      </w:tr>
      <w:tr w:rsidR="00347A63">
        <w:trPr>
          <w:trHeight w:val="1246"/>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46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9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7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8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政府采购执行率</w:t>
            </w:r>
          </w:p>
        </w:tc>
        <w:tc>
          <w:tcPr>
            <w:tcW w:w="41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6</w:t>
            </w:r>
          </w:p>
        </w:tc>
        <w:tc>
          <w:tcPr>
            <w:tcW w:w="31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100%计满分，每超过（降低）5%扣2分。扣完为止。</w:t>
            </w:r>
          </w:p>
        </w:tc>
        <w:tc>
          <w:tcPr>
            <w:tcW w:w="24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政府采购执行率=（实际政府采购金额/政府采购预算数）×100%</w:t>
            </w:r>
          </w:p>
        </w:tc>
        <w:tc>
          <w:tcPr>
            <w:tcW w:w="4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6</w:t>
            </w:r>
          </w:p>
        </w:tc>
      </w:tr>
      <w:tr w:rsidR="00347A63">
        <w:trPr>
          <w:trHeight w:val="780"/>
          <w:jc w:val="center"/>
        </w:trPr>
        <w:tc>
          <w:tcPr>
            <w:tcW w:w="58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过</w:t>
            </w:r>
          </w:p>
          <w:p w:rsidR="00347A63" w:rsidRDefault="00347A63">
            <w:pPr>
              <w:widowControl/>
              <w:jc w:val="center"/>
              <w:textAlignment w:val="center"/>
              <w:rPr>
                <w:rFonts w:asciiTheme="minorEastAsia" w:eastAsiaTheme="minorEastAsia" w:hAnsiTheme="minorEastAsia" w:cstheme="minorEastAsia"/>
                <w:color w:val="000000" w:themeColor="text1"/>
                <w:kern w:val="0"/>
                <w:szCs w:val="21"/>
              </w:rPr>
            </w:pPr>
          </w:p>
          <w:p w:rsidR="00347A63" w:rsidRDefault="00347A63">
            <w:pPr>
              <w:widowControl/>
              <w:jc w:val="center"/>
              <w:textAlignment w:val="center"/>
              <w:rPr>
                <w:rFonts w:asciiTheme="minorEastAsia" w:eastAsiaTheme="minorEastAsia" w:hAnsiTheme="minorEastAsia" w:cstheme="minorEastAsia"/>
                <w:color w:val="000000" w:themeColor="text1"/>
                <w:kern w:val="0"/>
                <w:szCs w:val="21"/>
              </w:rPr>
            </w:pPr>
          </w:p>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程</w:t>
            </w:r>
          </w:p>
        </w:tc>
        <w:tc>
          <w:tcPr>
            <w:tcW w:w="46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61</w:t>
            </w:r>
          </w:p>
        </w:tc>
        <w:tc>
          <w:tcPr>
            <w:tcW w:w="59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预算管理</w:t>
            </w:r>
          </w:p>
        </w:tc>
        <w:tc>
          <w:tcPr>
            <w:tcW w:w="67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8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管理制度健全性</w:t>
            </w:r>
          </w:p>
        </w:tc>
        <w:tc>
          <w:tcPr>
            <w:tcW w:w="413" w:type="dxa"/>
            <w:vMerge w:val="restart"/>
            <w:tcBorders>
              <w:top w:val="single" w:sz="4" w:space="0" w:color="000000"/>
              <w:left w:val="single" w:sz="4" w:space="0" w:color="000000"/>
              <w:bottom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8</w:t>
            </w:r>
          </w:p>
        </w:tc>
        <w:tc>
          <w:tcPr>
            <w:tcW w:w="3115" w:type="dxa"/>
            <w:tcBorders>
              <w:top w:val="single" w:sz="4" w:space="0" w:color="000000"/>
              <w:left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①有内部财务管理制度、会计核算制度等管理制度，2分；</w:t>
            </w:r>
          </w:p>
        </w:tc>
        <w:tc>
          <w:tcPr>
            <w:tcW w:w="2425" w:type="dxa"/>
            <w:vMerge w:val="restart"/>
            <w:tcBorders>
              <w:top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left"/>
              <w:rPr>
                <w:rFonts w:asciiTheme="minorEastAsia" w:eastAsiaTheme="minorEastAsia" w:hAnsiTheme="minorEastAsia" w:cstheme="minorEastAsia"/>
                <w:color w:val="000000" w:themeColor="text1"/>
                <w:szCs w:val="21"/>
              </w:rPr>
            </w:pPr>
          </w:p>
        </w:tc>
        <w:tc>
          <w:tcPr>
            <w:tcW w:w="40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7</w:t>
            </w:r>
          </w:p>
        </w:tc>
      </w:tr>
      <w:tr w:rsidR="00347A63">
        <w:trPr>
          <w:trHeight w:val="285"/>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46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left"/>
              <w:rPr>
                <w:rFonts w:asciiTheme="minorEastAsia" w:eastAsiaTheme="minorEastAsia" w:hAnsiTheme="minorEastAsia" w:cstheme="minorEastAsia"/>
                <w:color w:val="000000" w:themeColor="text1"/>
                <w:szCs w:val="21"/>
              </w:rPr>
            </w:pPr>
          </w:p>
        </w:tc>
        <w:tc>
          <w:tcPr>
            <w:tcW w:w="59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left"/>
              <w:rPr>
                <w:rFonts w:asciiTheme="minorEastAsia" w:eastAsiaTheme="minorEastAsia" w:hAnsiTheme="minorEastAsia" w:cstheme="minorEastAsia"/>
                <w:color w:val="000000" w:themeColor="text1"/>
                <w:szCs w:val="21"/>
              </w:rPr>
            </w:pPr>
          </w:p>
        </w:tc>
        <w:tc>
          <w:tcPr>
            <w:tcW w:w="67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8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c>
          <w:tcPr>
            <w:tcW w:w="413" w:type="dxa"/>
            <w:vMerge/>
            <w:tcBorders>
              <w:top w:val="single" w:sz="4" w:space="0" w:color="000000"/>
              <w:left w:val="single" w:sz="4" w:space="0" w:color="000000"/>
              <w:bottom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3115" w:type="dxa"/>
            <w:tcBorders>
              <w:left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②有本部门厉行节约制度,2分；</w:t>
            </w:r>
          </w:p>
        </w:tc>
        <w:tc>
          <w:tcPr>
            <w:tcW w:w="2425" w:type="dxa"/>
            <w:vMerge/>
            <w:tcBorders>
              <w:top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left"/>
              <w:rPr>
                <w:rFonts w:asciiTheme="minorEastAsia" w:eastAsiaTheme="minorEastAsia" w:hAnsiTheme="minorEastAsia" w:cstheme="minorEastAsia"/>
                <w:color w:val="000000" w:themeColor="text1"/>
                <w:szCs w:val="21"/>
              </w:rPr>
            </w:pPr>
          </w:p>
        </w:tc>
        <w:tc>
          <w:tcPr>
            <w:tcW w:w="40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r>
      <w:tr w:rsidR="00347A63">
        <w:trPr>
          <w:trHeight w:val="1530"/>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46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left"/>
              <w:rPr>
                <w:rFonts w:asciiTheme="minorEastAsia" w:eastAsiaTheme="minorEastAsia" w:hAnsiTheme="minorEastAsia" w:cstheme="minorEastAsia"/>
                <w:color w:val="000000" w:themeColor="text1"/>
                <w:szCs w:val="21"/>
              </w:rPr>
            </w:pPr>
          </w:p>
        </w:tc>
        <w:tc>
          <w:tcPr>
            <w:tcW w:w="59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left"/>
              <w:rPr>
                <w:rFonts w:asciiTheme="minorEastAsia" w:eastAsiaTheme="minorEastAsia" w:hAnsiTheme="minorEastAsia" w:cstheme="minorEastAsia"/>
                <w:color w:val="000000" w:themeColor="text1"/>
                <w:szCs w:val="21"/>
              </w:rPr>
            </w:pPr>
          </w:p>
        </w:tc>
        <w:tc>
          <w:tcPr>
            <w:tcW w:w="67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8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c>
          <w:tcPr>
            <w:tcW w:w="413" w:type="dxa"/>
            <w:vMerge/>
            <w:tcBorders>
              <w:top w:val="single" w:sz="4" w:space="0" w:color="000000"/>
              <w:left w:val="single" w:sz="4" w:space="0" w:color="000000"/>
              <w:bottom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3115" w:type="dxa"/>
            <w:tcBorders>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③相关管理制度合法、合规、完整，2分；④相关管理制度得到有效执行，2分。</w:t>
            </w:r>
          </w:p>
        </w:tc>
        <w:tc>
          <w:tcPr>
            <w:tcW w:w="2425" w:type="dxa"/>
            <w:vMerge/>
            <w:tcBorders>
              <w:top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left"/>
              <w:rPr>
                <w:rFonts w:asciiTheme="minorEastAsia" w:eastAsiaTheme="minorEastAsia" w:hAnsiTheme="minorEastAsia" w:cstheme="minorEastAsia"/>
                <w:color w:val="000000" w:themeColor="text1"/>
                <w:szCs w:val="21"/>
              </w:rPr>
            </w:pPr>
          </w:p>
        </w:tc>
        <w:tc>
          <w:tcPr>
            <w:tcW w:w="40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r>
      <w:tr w:rsidR="00347A63">
        <w:trPr>
          <w:trHeight w:val="2805"/>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46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left"/>
              <w:rPr>
                <w:rFonts w:asciiTheme="minorEastAsia" w:eastAsiaTheme="minorEastAsia" w:hAnsiTheme="minorEastAsia" w:cstheme="minorEastAsia"/>
                <w:color w:val="000000" w:themeColor="text1"/>
                <w:szCs w:val="21"/>
              </w:rPr>
            </w:pPr>
          </w:p>
        </w:tc>
        <w:tc>
          <w:tcPr>
            <w:tcW w:w="59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left"/>
              <w:rPr>
                <w:rFonts w:asciiTheme="minorEastAsia" w:eastAsiaTheme="minorEastAsia" w:hAnsiTheme="minorEastAsia" w:cstheme="minorEastAsia"/>
                <w:color w:val="000000" w:themeColor="text1"/>
                <w:szCs w:val="21"/>
              </w:rPr>
            </w:pPr>
          </w:p>
        </w:tc>
        <w:tc>
          <w:tcPr>
            <w:tcW w:w="67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8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资金使用合规性</w:t>
            </w:r>
          </w:p>
        </w:tc>
        <w:tc>
          <w:tcPr>
            <w:tcW w:w="41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6</w:t>
            </w:r>
          </w:p>
        </w:tc>
        <w:tc>
          <w:tcPr>
            <w:tcW w:w="3115" w:type="dxa"/>
            <w:tcBorders>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tc>
        <w:tc>
          <w:tcPr>
            <w:tcW w:w="24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left"/>
              <w:rPr>
                <w:rFonts w:asciiTheme="minorEastAsia" w:eastAsiaTheme="minorEastAsia" w:hAnsiTheme="minorEastAsia" w:cstheme="minorEastAsia"/>
                <w:color w:val="000000" w:themeColor="text1"/>
                <w:szCs w:val="21"/>
              </w:rPr>
            </w:pPr>
          </w:p>
        </w:tc>
        <w:tc>
          <w:tcPr>
            <w:tcW w:w="40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r>
      <w:tr w:rsidR="00347A63">
        <w:trPr>
          <w:trHeight w:val="1100"/>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46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left"/>
              <w:rPr>
                <w:rFonts w:asciiTheme="minorEastAsia" w:eastAsiaTheme="minorEastAsia" w:hAnsiTheme="minorEastAsia" w:cstheme="minorEastAsia"/>
                <w:color w:val="000000" w:themeColor="text1"/>
                <w:szCs w:val="21"/>
              </w:rPr>
            </w:pPr>
          </w:p>
        </w:tc>
        <w:tc>
          <w:tcPr>
            <w:tcW w:w="59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left"/>
              <w:rPr>
                <w:rFonts w:asciiTheme="minorEastAsia" w:eastAsiaTheme="minorEastAsia" w:hAnsiTheme="minorEastAsia" w:cstheme="minorEastAsia"/>
                <w:color w:val="000000" w:themeColor="text1"/>
                <w:szCs w:val="21"/>
              </w:rPr>
            </w:pPr>
          </w:p>
        </w:tc>
        <w:tc>
          <w:tcPr>
            <w:tcW w:w="67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8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c>
          <w:tcPr>
            <w:tcW w:w="41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31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以上情况每出现一例不符合要求的扣1分，扣完为止。</w:t>
            </w:r>
          </w:p>
        </w:tc>
        <w:tc>
          <w:tcPr>
            <w:tcW w:w="24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left"/>
              <w:rPr>
                <w:rFonts w:asciiTheme="minorEastAsia" w:eastAsiaTheme="minorEastAsia" w:hAnsiTheme="minorEastAsia" w:cstheme="minorEastAsia"/>
                <w:color w:val="000000" w:themeColor="text1"/>
                <w:szCs w:val="21"/>
              </w:rPr>
            </w:pPr>
          </w:p>
        </w:tc>
        <w:tc>
          <w:tcPr>
            <w:tcW w:w="40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r>
      <w:tr w:rsidR="00347A63">
        <w:trPr>
          <w:trHeight w:val="2535"/>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46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left"/>
              <w:rPr>
                <w:rFonts w:asciiTheme="minorEastAsia" w:eastAsiaTheme="minorEastAsia" w:hAnsiTheme="minorEastAsia" w:cstheme="minorEastAsia"/>
                <w:color w:val="000000" w:themeColor="text1"/>
                <w:szCs w:val="21"/>
              </w:rPr>
            </w:pPr>
          </w:p>
        </w:tc>
        <w:tc>
          <w:tcPr>
            <w:tcW w:w="59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left"/>
              <w:rPr>
                <w:rFonts w:asciiTheme="minorEastAsia" w:eastAsiaTheme="minorEastAsia" w:hAnsiTheme="minorEastAsia" w:cstheme="minorEastAsia"/>
                <w:color w:val="000000" w:themeColor="text1"/>
                <w:szCs w:val="21"/>
              </w:rPr>
            </w:pPr>
          </w:p>
        </w:tc>
        <w:tc>
          <w:tcPr>
            <w:tcW w:w="67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8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预决算信息公开性</w:t>
            </w:r>
          </w:p>
        </w:tc>
        <w:tc>
          <w:tcPr>
            <w:tcW w:w="41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c>
          <w:tcPr>
            <w:tcW w:w="3115"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 xml:space="preserve">①按规定内容公开预决算信息，1分；②按规定时限公开预决算信息，1分；③基础数据信息和会计信息资料真实，1分；④基础数据信息和会计信息资料完整，1分；⑤基础数据信息和汇集信息资料准确，1分。  </w:t>
            </w:r>
          </w:p>
        </w:tc>
        <w:tc>
          <w:tcPr>
            <w:tcW w:w="24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预决算信息是指与部门预算、执行、决算、监督、绩效等管理相关的信息。</w:t>
            </w:r>
          </w:p>
        </w:tc>
        <w:tc>
          <w:tcPr>
            <w:tcW w:w="4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r>
      <w:tr w:rsidR="00347A63">
        <w:trPr>
          <w:trHeight w:val="2130"/>
          <w:jc w:val="center"/>
        </w:trPr>
        <w:tc>
          <w:tcPr>
            <w:tcW w:w="58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产</w:t>
            </w:r>
          </w:p>
          <w:p w:rsidR="00347A63" w:rsidRDefault="00EA146C">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出</w:t>
            </w:r>
          </w:p>
          <w:p w:rsidR="00347A63" w:rsidRDefault="00EA146C">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及</w:t>
            </w:r>
          </w:p>
          <w:p w:rsidR="00347A63" w:rsidRDefault="00EA146C">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效</w:t>
            </w:r>
          </w:p>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率</w:t>
            </w:r>
          </w:p>
        </w:tc>
        <w:tc>
          <w:tcPr>
            <w:tcW w:w="46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26</w:t>
            </w:r>
          </w:p>
        </w:tc>
        <w:tc>
          <w:tcPr>
            <w:tcW w:w="59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职责履行</w:t>
            </w:r>
          </w:p>
        </w:tc>
        <w:tc>
          <w:tcPr>
            <w:tcW w:w="67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8</w:t>
            </w:r>
          </w:p>
        </w:tc>
        <w:tc>
          <w:tcPr>
            <w:tcW w:w="8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重点工作实际完成率</w:t>
            </w:r>
          </w:p>
        </w:tc>
        <w:tc>
          <w:tcPr>
            <w:tcW w:w="413" w:type="dxa"/>
            <w:vMerge w:val="restart"/>
            <w:tcBorders>
              <w:top w:val="single" w:sz="4" w:space="0" w:color="000000"/>
              <w:left w:val="single" w:sz="4" w:space="0" w:color="000000"/>
              <w:bottom w:val="single" w:sz="4" w:space="0" w:color="000000"/>
              <w:right w:val="single" w:sz="4" w:space="0" w:color="auto"/>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8</w:t>
            </w:r>
          </w:p>
        </w:tc>
        <w:tc>
          <w:tcPr>
            <w:tcW w:w="311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根据绩效办2015年对各部门为民办实事和部门重点工程与重点工作考核分数折算。</w:t>
            </w:r>
          </w:p>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该项得分=（绩效办对应部分考核得分/200）*8</w:t>
            </w:r>
          </w:p>
        </w:tc>
        <w:tc>
          <w:tcPr>
            <w:tcW w:w="2425"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vAlign w:val="center"/>
          </w:tcPr>
          <w:p w:rsidR="00347A63" w:rsidRDefault="00347A63">
            <w:pPr>
              <w:jc w:val="left"/>
              <w:rPr>
                <w:rFonts w:asciiTheme="minorEastAsia" w:eastAsiaTheme="minorEastAsia" w:hAnsiTheme="minorEastAsia" w:cstheme="minorEastAsia"/>
                <w:color w:val="000000" w:themeColor="text1"/>
                <w:szCs w:val="21"/>
              </w:rPr>
            </w:pPr>
          </w:p>
        </w:tc>
        <w:tc>
          <w:tcPr>
            <w:tcW w:w="4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8</w:t>
            </w:r>
          </w:p>
        </w:tc>
      </w:tr>
      <w:tr w:rsidR="00347A63">
        <w:trPr>
          <w:trHeight w:val="930"/>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46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9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履职 效益</w:t>
            </w:r>
          </w:p>
        </w:tc>
        <w:tc>
          <w:tcPr>
            <w:tcW w:w="67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6</w:t>
            </w:r>
          </w:p>
        </w:tc>
        <w:tc>
          <w:tcPr>
            <w:tcW w:w="8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经济</w:t>
            </w:r>
          </w:p>
          <w:p w:rsidR="00347A63" w:rsidRDefault="00EA146C">
            <w:pPr>
              <w:widowControl/>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效益</w:t>
            </w:r>
          </w:p>
        </w:tc>
        <w:tc>
          <w:tcPr>
            <w:tcW w:w="41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6</w:t>
            </w:r>
          </w:p>
        </w:tc>
        <w:tc>
          <w:tcPr>
            <w:tcW w:w="3115" w:type="dxa"/>
            <w:vMerge w:val="restart"/>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此两项指标为设置部门整体支出绩效评价指标时必须考虑的共性要素，可根据部门实际情况有选择的进行设置，并将其细化为相应的个性化指标。</w:t>
            </w:r>
          </w:p>
        </w:tc>
        <w:tc>
          <w:tcPr>
            <w:tcW w:w="24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c>
          <w:tcPr>
            <w:tcW w:w="4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2.5</w:t>
            </w:r>
          </w:p>
        </w:tc>
      </w:tr>
      <w:tr w:rsidR="00347A63">
        <w:trPr>
          <w:trHeight w:val="1095"/>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46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9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7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8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社会</w:t>
            </w:r>
          </w:p>
          <w:p w:rsidR="00347A63" w:rsidRDefault="00EA146C">
            <w:pPr>
              <w:widowControl/>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效益</w:t>
            </w:r>
          </w:p>
        </w:tc>
        <w:tc>
          <w:tcPr>
            <w:tcW w:w="41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3115" w:type="dxa"/>
            <w:vMerge/>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vAlign w:val="center"/>
          </w:tcPr>
          <w:p w:rsidR="00347A63" w:rsidRDefault="00347A63">
            <w:pPr>
              <w:jc w:val="left"/>
              <w:rPr>
                <w:rFonts w:asciiTheme="minorEastAsia" w:eastAsiaTheme="minorEastAsia" w:hAnsiTheme="minorEastAsia" w:cstheme="minorEastAsia"/>
                <w:color w:val="000000" w:themeColor="text1"/>
                <w:szCs w:val="21"/>
              </w:rPr>
            </w:pPr>
          </w:p>
        </w:tc>
        <w:tc>
          <w:tcPr>
            <w:tcW w:w="24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c>
          <w:tcPr>
            <w:tcW w:w="4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2.5</w:t>
            </w:r>
          </w:p>
        </w:tc>
      </w:tr>
      <w:tr w:rsidR="00347A63">
        <w:trPr>
          <w:trHeight w:val="2280"/>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46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9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7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12</w:t>
            </w:r>
          </w:p>
        </w:tc>
        <w:tc>
          <w:tcPr>
            <w:tcW w:w="8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行政</w:t>
            </w:r>
          </w:p>
          <w:p w:rsidR="00347A63" w:rsidRDefault="00EA146C">
            <w:pPr>
              <w:widowControl/>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效能</w:t>
            </w:r>
          </w:p>
        </w:tc>
        <w:tc>
          <w:tcPr>
            <w:tcW w:w="41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6</w:t>
            </w:r>
          </w:p>
        </w:tc>
        <w:tc>
          <w:tcPr>
            <w:tcW w:w="3115" w:type="dxa"/>
            <w:tcBorders>
              <w:top w:val="single" w:sz="4" w:space="0" w:color="auto"/>
              <w:left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促进部门改进文风会风，加强经费及资产管理，推动网上办事，提高行政效率，降低行政成本效果较好的计6分；一般3分；无效果或者效果不明显0分。</w:t>
            </w:r>
          </w:p>
        </w:tc>
        <w:tc>
          <w:tcPr>
            <w:tcW w:w="24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根据部门自评材料评定。</w:t>
            </w:r>
          </w:p>
        </w:tc>
        <w:tc>
          <w:tcPr>
            <w:tcW w:w="4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6</w:t>
            </w:r>
          </w:p>
        </w:tc>
      </w:tr>
      <w:tr w:rsidR="00347A63">
        <w:trPr>
          <w:trHeight w:val="2082"/>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46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9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7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8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社会公众或服务对象满意度</w:t>
            </w:r>
          </w:p>
        </w:tc>
        <w:tc>
          <w:tcPr>
            <w:tcW w:w="413" w:type="dxa"/>
            <w:tcBorders>
              <w:top w:val="single" w:sz="4" w:space="0" w:color="000000"/>
              <w:left w:val="single" w:sz="4" w:space="0" w:color="000000"/>
              <w:bottom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6</w:t>
            </w:r>
          </w:p>
        </w:tc>
        <w:tc>
          <w:tcPr>
            <w:tcW w:w="31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90%（含）以上计6分；</w:t>
            </w:r>
          </w:p>
          <w:p w:rsidR="00347A63" w:rsidRDefault="00EA146C">
            <w:pPr>
              <w:widowControl/>
              <w:jc w:val="left"/>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80%（含）-90%，计4分；</w:t>
            </w:r>
          </w:p>
          <w:p w:rsidR="00347A63" w:rsidRDefault="00EA146C">
            <w:pPr>
              <w:widowControl/>
              <w:jc w:val="left"/>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70%（含）-80%，计2分；</w:t>
            </w:r>
          </w:p>
          <w:p w:rsidR="00347A63" w:rsidRDefault="00EA146C">
            <w:pPr>
              <w:widowControl/>
              <w:jc w:val="left"/>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低于70%计0分。</w:t>
            </w:r>
          </w:p>
        </w:tc>
        <w:tc>
          <w:tcPr>
            <w:tcW w:w="2425" w:type="dxa"/>
            <w:tcBorders>
              <w:top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社会公众或服务对象是指部门（单位）履行职责而影响到的部门、群体或个人，一般采取社会调查的方式。</w:t>
            </w:r>
          </w:p>
        </w:tc>
        <w:tc>
          <w:tcPr>
            <w:tcW w:w="4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6</w:t>
            </w:r>
          </w:p>
        </w:tc>
      </w:tr>
      <w:tr w:rsidR="00347A63">
        <w:trPr>
          <w:trHeight w:val="780"/>
          <w:jc w:val="center"/>
        </w:trPr>
        <w:tc>
          <w:tcPr>
            <w:tcW w:w="5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46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c>
          <w:tcPr>
            <w:tcW w:w="59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c>
          <w:tcPr>
            <w:tcW w:w="6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c>
          <w:tcPr>
            <w:tcW w:w="8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合计</w:t>
            </w:r>
          </w:p>
        </w:tc>
        <w:tc>
          <w:tcPr>
            <w:tcW w:w="41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c>
          <w:tcPr>
            <w:tcW w:w="31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c>
          <w:tcPr>
            <w:tcW w:w="24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c>
          <w:tcPr>
            <w:tcW w:w="4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97</w:t>
            </w:r>
          </w:p>
        </w:tc>
      </w:tr>
    </w:tbl>
    <w:p w:rsidR="00347A63" w:rsidRDefault="00347A63">
      <w:pPr>
        <w:rPr>
          <w:rFonts w:ascii="仿宋_GB2312" w:eastAsia="仿宋_GB2312" w:hAnsi="宋体" w:cs="Arial"/>
          <w:bCs/>
          <w:color w:val="000000" w:themeColor="text1"/>
          <w:kern w:val="0"/>
          <w:sz w:val="32"/>
          <w:szCs w:val="32"/>
        </w:rPr>
      </w:pPr>
    </w:p>
    <w:p w:rsidR="00347A63" w:rsidRDefault="00EA146C">
      <w:pPr>
        <w:rPr>
          <w:rFonts w:ascii="仿宋_GB2312" w:eastAsia="仿宋_GB2312" w:hAnsi="宋体" w:cs="Arial"/>
          <w:bCs/>
          <w:color w:val="000000" w:themeColor="text1"/>
          <w:kern w:val="0"/>
          <w:sz w:val="32"/>
          <w:szCs w:val="32"/>
        </w:rPr>
      </w:pPr>
      <w:r>
        <w:rPr>
          <w:rFonts w:ascii="仿宋_GB2312" w:eastAsia="仿宋_GB2312" w:hAnsi="宋体" w:cs="Arial" w:hint="eastAsia"/>
          <w:bCs/>
          <w:color w:val="000000" w:themeColor="text1"/>
          <w:kern w:val="0"/>
          <w:sz w:val="32"/>
          <w:szCs w:val="32"/>
        </w:rPr>
        <w:lastRenderedPageBreak/>
        <w:t>附2:</w:t>
      </w:r>
    </w:p>
    <w:p w:rsidR="00347A63" w:rsidRDefault="00EA146C">
      <w:pPr>
        <w:jc w:val="center"/>
        <w:rPr>
          <w:rFonts w:ascii="方正小标宋简体" w:eastAsia="方正小标宋简体" w:hAnsi="方正小标宋简体" w:cs="方正小标宋简体"/>
          <w:color w:val="000000" w:themeColor="text1"/>
          <w:kern w:val="0"/>
          <w:sz w:val="44"/>
          <w:szCs w:val="44"/>
        </w:rPr>
      </w:pPr>
      <w:r>
        <w:rPr>
          <w:rFonts w:ascii="方正小标宋简体" w:eastAsia="方正小标宋简体" w:hAnsi="方正小标宋简体" w:cs="方正小标宋简体" w:hint="eastAsia"/>
          <w:color w:val="000000" w:themeColor="text1"/>
          <w:kern w:val="0"/>
          <w:sz w:val="44"/>
          <w:szCs w:val="44"/>
        </w:rPr>
        <w:t>部门整体支出绩效评价基础数据表</w:t>
      </w:r>
    </w:p>
    <w:p w:rsidR="00347A63" w:rsidRDefault="00EA146C" w:rsidP="00952FD6">
      <w:pPr>
        <w:spacing w:afterLines="30" w:line="360" w:lineRule="exact"/>
        <w:rPr>
          <w:rFonts w:asciiTheme="minorEastAsia" w:eastAsiaTheme="minorEastAsia" w:hAnsiTheme="minorEastAsia" w:cstheme="minorEastAsia"/>
          <w:bCs/>
          <w:color w:val="000000" w:themeColor="text1"/>
          <w:kern w:val="0"/>
          <w:sz w:val="28"/>
          <w:szCs w:val="28"/>
        </w:rPr>
      </w:pPr>
      <w:r>
        <w:rPr>
          <w:rFonts w:asciiTheme="minorEastAsia" w:eastAsiaTheme="minorEastAsia" w:hAnsiTheme="minorEastAsia" w:cstheme="minorEastAsia" w:hint="eastAsia"/>
          <w:color w:val="000000" w:themeColor="text1"/>
          <w:kern w:val="0"/>
          <w:sz w:val="28"/>
          <w:szCs w:val="28"/>
        </w:rPr>
        <w:t>填报单位：芷江侗族自治县文化旅游广电体育局</w:t>
      </w:r>
    </w:p>
    <w:tbl>
      <w:tblPr>
        <w:tblW w:w="9580" w:type="dxa"/>
        <w:jc w:val="center"/>
        <w:tblLayout w:type="fixed"/>
        <w:tblLook w:val="04A0"/>
      </w:tblPr>
      <w:tblGrid>
        <w:gridCol w:w="3160"/>
        <w:gridCol w:w="1080"/>
        <w:gridCol w:w="1160"/>
        <w:gridCol w:w="1080"/>
        <w:gridCol w:w="940"/>
        <w:gridCol w:w="1080"/>
        <w:gridCol w:w="1080"/>
      </w:tblGrid>
      <w:tr w:rsidR="00347A63">
        <w:trPr>
          <w:trHeight w:val="585"/>
          <w:jc w:val="center"/>
        </w:trPr>
        <w:tc>
          <w:tcPr>
            <w:tcW w:w="3160" w:type="dxa"/>
            <w:vMerge w:val="restart"/>
            <w:tcBorders>
              <w:top w:val="single" w:sz="4" w:space="0" w:color="auto"/>
              <w:left w:val="single" w:sz="4" w:space="0" w:color="auto"/>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财政供养人员情况</w:t>
            </w:r>
          </w:p>
        </w:tc>
        <w:tc>
          <w:tcPr>
            <w:tcW w:w="224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编制数</w:t>
            </w:r>
          </w:p>
        </w:tc>
        <w:tc>
          <w:tcPr>
            <w:tcW w:w="202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2019年实际在职人数</w:t>
            </w:r>
          </w:p>
        </w:tc>
        <w:tc>
          <w:tcPr>
            <w:tcW w:w="216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控制率</w:t>
            </w:r>
          </w:p>
        </w:tc>
      </w:tr>
      <w:tr w:rsidR="00347A63">
        <w:trPr>
          <w:trHeight w:val="465"/>
          <w:jc w:val="center"/>
        </w:trPr>
        <w:tc>
          <w:tcPr>
            <w:tcW w:w="3160" w:type="dxa"/>
            <w:vMerge/>
            <w:tcBorders>
              <w:top w:val="single" w:sz="4" w:space="0" w:color="auto"/>
              <w:left w:val="single" w:sz="4" w:space="0" w:color="auto"/>
              <w:bottom w:val="single" w:sz="4" w:space="0" w:color="auto"/>
              <w:right w:val="single" w:sz="4" w:space="0" w:color="auto"/>
            </w:tcBorders>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224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83</w:t>
            </w:r>
          </w:p>
        </w:tc>
        <w:tc>
          <w:tcPr>
            <w:tcW w:w="202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77</w:t>
            </w:r>
          </w:p>
        </w:tc>
        <w:tc>
          <w:tcPr>
            <w:tcW w:w="216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r>
      <w:tr w:rsidR="00347A63">
        <w:trPr>
          <w:trHeight w:val="465"/>
          <w:jc w:val="center"/>
        </w:trPr>
        <w:tc>
          <w:tcPr>
            <w:tcW w:w="3160" w:type="dxa"/>
            <w:tcBorders>
              <w:top w:val="nil"/>
              <w:left w:val="single" w:sz="4" w:space="0" w:color="auto"/>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经费控制情况</w:t>
            </w:r>
          </w:p>
        </w:tc>
        <w:tc>
          <w:tcPr>
            <w:tcW w:w="224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2018年决算数</w:t>
            </w:r>
          </w:p>
        </w:tc>
        <w:tc>
          <w:tcPr>
            <w:tcW w:w="202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2019年预算数</w:t>
            </w:r>
          </w:p>
        </w:tc>
        <w:tc>
          <w:tcPr>
            <w:tcW w:w="216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2019年决算数</w:t>
            </w:r>
          </w:p>
        </w:tc>
      </w:tr>
      <w:tr w:rsidR="00347A63">
        <w:trPr>
          <w:trHeight w:val="465"/>
          <w:jc w:val="center"/>
        </w:trPr>
        <w:tc>
          <w:tcPr>
            <w:tcW w:w="3160" w:type="dxa"/>
            <w:tcBorders>
              <w:top w:val="nil"/>
              <w:left w:val="single" w:sz="4" w:space="0" w:color="auto"/>
              <w:bottom w:val="single" w:sz="4" w:space="0" w:color="auto"/>
              <w:right w:val="single" w:sz="4" w:space="0" w:color="auto"/>
            </w:tcBorders>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三公经费</w:t>
            </w:r>
          </w:p>
        </w:tc>
        <w:tc>
          <w:tcPr>
            <w:tcW w:w="224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13.95</w:t>
            </w:r>
          </w:p>
        </w:tc>
        <w:tc>
          <w:tcPr>
            <w:tcW w:w="202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45</w:t>
            </w:r>
          </w:p>
        </w:tc>
        <w:tc>
          <w:tcPr>
            <w:tcW w:w="216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17.67</w:t>
            </w:r>
          </w:p>
        </w:tc>
      </w:tr>
      <w:tr w:rsidR="00347A63">
        <w:trPr>
          <w:trHeight w:val="615"/>
          <w:jc w:val="center"/>
        </w:trPr>
        <w:tc>
          <w:tcPr>
            <w:tcW w:w="3160" w:type="dxa"/>
            <w:tcBorders>
              <w:top w:val="nil"/>
              <w:left w:val="single" w:sz="4" w:space="0" w:color="auto"/>
              <w:bottom w:val="single" w:sz="4" w:space="0" w:color="auto"/>
              <w:right w:val="single" w:sz="4" w:space="0" w:color="auto"/>
            </w:tcBorders>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1、公务用车购置和维护经费</w:t>
            </w:r>
          </w:p>
        </w:tc>
        <w:tc>
          <w:tcPr>
            <w:tcW w:w="2240" w:type="dxa"/>
            <w:gridSpan w:val="2"/>
            <w:tcBorders>
              <w:top w:val="single" w:sz="4" w:space="0" w:color="auto"/>
              <w:left w:val="nil"/>
              <w:bottom w:val="single" w:sz="4" w:space="0" w:color="auto"/>
              <w:right w:val="single" w:sz="4" w:space="0" w:color="auto"/>
            </w:tcBorders>
            <w:vAlign w:val="center"/>
          </w:tcPr>
          <w:p w:rsidR="00347A63" w:rsidRDefault="00347A63">
            <w:pPr>
              <w:widowControl/>
              <w:jc w:val="center"/>
              <w:rPr>
                <w:rFonts w:asciiTheme="minorEastAsia" w:eastAsiaTheme="minorEastAsia" w:hAnsiTheme="minorEastAsia" w:cstheme="minorEastAsia"/>
                <w:color w:val="000000" w:themeColor="text1"/>
                <w:kern w:val="0"/>
                <w:szCs w:val="21"/>
              </w:rPr>
            </w:pPr>
          </w:p>
        </w:tc>
        <w:tc>
          <w:tcPr>
            <w:tcW w:w="2020" w:type="dxa"/>
            <w:gridSpan w:val="2"/>
            <w:tcBorders>
              <w:top w:val="single" w:sz="4" w:space="0" w:color="auto"/>
              <w:left w:val="nil"/>
              <w:bottom w:val="single" w:sz="4" w:space="0" w:color="auto"/>
              <w:right w:val="single" w:sz="4" w:space="0" w:color="auto"/>
            </w:tcBorders>
            <w:vAlign w:val="center"/>
          </w:tcPr>
          <w:p w:rsidR="00347A63" w:rsidRDefault="00347A63">
            <w:pPr>
              <w:widowControl/>
              <w:jc w:val="center"/>
              <w:rPr>
                <w:rFonts w:asciiTheme="minorEastAsia" w:eastAsiaTheme="minorEastAsia" w:hAnsiTheme="minorEastAsia" w:cstheme="minorEastAsia"/>
                <w:color w:val="000000" w:themeColor="text1"/>
                <w:kern w:val="0"/>
                <w:szCs w:val="21"/>
              </w:rPr>
            </w:pPr>
          </w:p>
        </w:tc>
        <w:tc>
          <w:tcPr>
            <w:tcW w:w="2160" w:type="dxa"/>
            <w:gridSpan w:val="2"/>
            <w:tcBorders>
              <w:top w:val="single" w:sz="4" w:space="0" w:color="auto"/>
              <w:left w:val="nil"/>
              <w:bottom w:val="single" w:sz="4" w:space="0" w:color="auto"/>
              <w:right w:val="single" w:sz="4" w:space="0" w:color="auto"/>
            </w:tcBorders>
            <w:vAlign w:val="center"/>
          </w:tcPr>
          <w:p w:rsidR="00347A63" w:rsidRDefault="00347A63">
            <w:pPr>
              <w:widowControl/>
              <w:jc w:val="center"/>
              <w:rPr>
                <w:rFonts w:asciiTheme="minorEastAsia" w:eastAsiaTheme="minorEastAsia" w:hAnsiTheme="minorEastAsia" w:cstheme="minorEastAsia"/>
                <w:color w:val="000000" w:themeColor="text1"/>
                <w:kern w:val="0"/>
                <w:szCs w:val="21"/>
              </w:rPr>
            </w:pPr>
          </w:p>
        </w:tc>
      </w:tr>
      <w:tr w:rsidR="00347A63">
        <w:trPr>
          <w:trHeight w:val="285"/>
          <w:jc w:val="center"/>
        </w:trPr>
        <w:tc>
          <w:tcPr>
            <w:tcW w:w="3160" w:type="dxa"/>
            <w:tcBorders>
              <w:top w:val="nil"/>
              <w:left w:val="single" w:sz="4" w:space="0" w:color="auto"/>
              <w:bottom w:val="single" w:sz="4" w:space="0" w:color="auto"/>
              <w:right w:val="single" w:sz="4" w:space="0" w:color="auto"/>
            </w:tcBorders>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其中：公车购置</w:t>
            </w:r>
          </w:p>
        </w:tc>
        <w:tc>
          <w:tcPr>
            <w:tcW w:w="224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202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216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270"/>
          <w:jc w:val="center"/>
        </w:trPr>
        <w:tc>
          <w:tcPr>
            <w:tcW w:w="3160" w:type="dxa"/>
            <w:tcBorders>
              <w:top w:val="nil"/>
              <w:left w:val="single" w:sz="4" w:space="0" w:color="auto"/>
              <w:bottom w:val="single" w:sz="4" w:space="0" w:color="auto"/>
              <w:right w:val="single" w:sz="4" w:space="0" w:color="auto"/>
            </w:tcBorders>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公车运行维护</w:t>
            </w:r>
          </w:p>
        </w:tc>
        <w:tc>
          <w:tcPr>
            <w:tcW w:w="224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b/>
                <w:color w:val="000000" w:themeColor="text1"/>
                <w:kern w:val="0"/>
                <w:szCs w:val="21"/>
              </w:rPr>
            </w:pPr>
            <w:r>
              <w:rPr>
                <w:rFonts w:asciiTheme="minorEastAsia" w:eastAsiaTheme="minorEastAsia" w:hAnsiTheme="minorEastAsia" w:cstheme="minorEastAsia" w:hint="eastAsia"/>
                <w:b/>
                <w:color w:val="000000" w:themeColor="text1"/>
                <w:kern w:val="0"/>
                <w:szCs w:val="21"/>
              </w:rPr>
              <w:t>0.56</w:t>
            </w:r>
          </w:p>
        </w:tc>
        <w:tc>
          <w:tcPr>
            <w:tcW w:w="202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w:t>
            </w:r>
          </w:p>
        </w:tc>
        <w:tc>
          <w:tcPr>
            <w:tcW w:w="216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4.27</w:t>
            </w:r>
          </w:p>
        </w:tc>
      </w:tr>
      <w:tr w:rsidR="00347A63">
        <w:trPr>
          <w:trHeight w:val="300"/>
          <w:jc w:val="center"/>
        </w:trPr>
        <w:tc>
          <w:tcPr>
            <w:tcW w:w="3160" w:type="dxa"/>
            <w:tcBorders>
              <w:top w:val="nil"/>
              <w:left w:val="single" w:sz="4" w:space="0" w:color="auto"/>
              <w:bottom w:val="single" w:sz="4" w:space="0" w:color="auto"/>
              <w:right w:val="single" w:sz="4" w:space="0" w:color="auto"/>
            </w:tcBorders>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2、出国经费</w:t>
            </w:r>
          </w:p>
        </w:tc>
        <w:tc>
          <w:tcPr>
            <w:tcW w:w="224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202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216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300"/>
          <w:jc w:val="center"/>
        </w:trPr>
        <w:tc>
          <w:tcPr>
            <w:tcW w:w="3160" w:type="dxa"/>
            <w:tcBorders>
              <w:top w:val="nil"/>
              <w:left w:val="single" w:sz="4" w:space="0" w:color="auto"/>
              <w:bottom w:val="single" w:sz="4" w:space="0" w:color="auto"/>
              <w:right w:val="single" w:sz="4" w:space="0" w:color="auto"/>
            </w:tcBorders>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3、公务接待</w:t>
            </w:r>
          </w:p>
        </w:tc>
        <w:tc>
          <w:tcPr>
            <w:tcW w:w="224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13.39</w:t>
            </w:r>
          </w:p>
        </w:tc>
        <w:tc>
          <w:tcPr>
            <w:tcW w:w="202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40</w:t>
            </w:r>
          </w:p>
        </w:tc>
        <w:tc>
          <w:tcPr>
            <w:tcW w:w="216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14.52</w:t>
            </w:r>
          </w:p>
        </w:tc>
      </w:tr>
      <w:tr w:rsidR="00347A63">
        <w:trPr>
          <w:trHeight w:val="345"/>
          <w:jc w:val="center"/>
        </w:trPr>
        <w:tc>
          <w:tcPr>
            <w:tcW w:w="3160" w:type="dxa"/>
            <w:tcBorders>
              <w:top w:val="nil"/>
              <w:left w:val="single" w:sz="4" w:space="0" w:color="auto"/>
              <w:bottom w:val="single" w:sz="4" w:space="0" w:color="auto"/>
              <w:right w:val="single" w:sz="4" w:space="0" w:color="auto"/>
            </w:tcBorders>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项目支出：</w:t>
            </w:r>
          </w:p>
        </w:tc>
        <w:tc>
          <w:tcPr>
            <w:tcW w:w="224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39.15</w:t>
            </w:r>
          </w:p>
        </w:tc>
        <w:tc>
          <w:tcPr>
            <w:tcW w:w="202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345.84　</w:t>
            </w:r>
          </w:p>
        </w:tc>
        <w:tc>
          <w:tcPr>
            <w:tcW w:w="216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518.94</w:t>
            </w:r>
          </w:p>
        </w:tc>
      </w:tr>
      <w:tr w:rsidR="00347A63">
        <w:trPr>
          <w:trHeight w:val="270"/>
          <w:jc w:val="center"/>
        </w:trPr>
        <w:tc>
          <w:tcPr>
            <w:tcW w:w="3160" w:type="dxa"/>
            <w:tcBorders>
              <w:top w:val="nil"/>
              <w:left w:val="single" w:sz="4" w:space="0" w:color="auto"/>
              <w:bottom w:val="single" w:sz="4" w:space="0" w:color="auto"/>
              <w:right w:val="single" w:sz="4" w:space="0" w:color="auto"/>
            </w:tcBorders>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1、</w:t>
            </w:r>
          </w:p>
        </w:tc>
        <w:tc>
          <w:tcPr>
            <w:tcW w:w="224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202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216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330"/>
          <w:jc w:val="center"/>
        </w:trPr>
        <w:tc>
          <w:tcPr>
            <w:tcW w:w="3160" w:type="dxa"/>
            <w:tcBorders>
              <w:top w:val="nil"/>
              <w:left w:val="single" w:sz="4" w:space="0" w:color="auto"/>
              <w:bottom w:val="single" w:sz="4" w:space="0" w:color="auto"/>
              <w:right w:val="single" w:sz="4" w:space="0" w:color="auto"/>
            </w:tcBorders>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2、</w:t>
            </w:r>
          </w:p>
        </w:tc>
        <w:tc>
          <w:tcPr>
            <w:tcW w:w="224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202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216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300"/>
          <w:jc w:val="center"/>
        </w:trPr>
        <w:tc>
          <w:tcPr>
            <w:tcW w:w="3160" w:type="dxa"/>
            <w:tcBorders>
              <w:top w:val="nil"/>
              <w:left w:val="single" w:sz="4" w:space="0" w:color="auto"/>
              <w:bottom w:val="single" w:sz="4" w:space="0" w:color="auto"/>
              <w:right w:val="single" w:sz="4" w:space="0" w:color="auto"/>
            </w:tcBorders>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224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202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216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465"/>
          <w:jc w:val="center"/>
        </w:trPr>
        <w:tc>
          <w:tcPr>
            <w:tcW w:w="3160" w:type="dxa"/>
            <w:tcBorders>
              <w:top w:val="nil"/>
              <w:left w:val="single" w:sz="4" w:space="0" w:color="auto"/>
              <w:bottom w:val="single" w:sz="4" w:space="0" w:color="auto"/>
              <w:right w:val="single" w:sz="4" w:space="0" w:color="auto"/>
            </w:tcBorders>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公用经费</w:t>
            </w:r>
          </w:p>
        </w:tc>
        <w:tc>
          <w:tcPr>
            <w:tcW w:w="224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111.3</w:t>
            </w:r>
          </w:p>
        </w:tc>
        <w:tc>
          <w:tcPr>
            <w:tcW w:w="202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154</w:t>
            </w:r>
          </w:p>
        </w:tc>
        <w:tc>
          <w:tcPr>
            <w:tcW w:w="216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102.34</w:t>
            </w:r>
          </w:p>
        </w:tc>
      </w:tr>
      <w:tr w:rsidR="00347A63">
        <w:trPr>
          <w:trHeight w:val="465"/>
          <w:jc w:val="center"/>
        </w:trPr>
        <w:tc>
          <w:tcPr>
            <w:tcW w:w="3160" w:type="dxa"/>
            <w:tcBorders>
              <w:top w:val="nil"/>
              <w:left w:val="single" w:sz="4" w:space="0" w:color="auto"/>
              <w:bottom w:val="single" w:sz="4" w:space="0" w:color="auto"/>
              <w:right w:val="single" w:sz="4" w:space="0" w:color="auto"/>
            </w:tcBorders>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其中：办公经费</w:t>
            </w:r>
          </w:p>
        </w:tc>
        <w:tc>
          <w:tcPr>
            <w:tcW w:w="224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32.6</w:t>
            </w:r>
          </w:p>
        </w:tc>
        <w:tc>
          <w:tcPr>
            <w:tcW w:w="202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70</w:t>
            </w:r>
          </w:p>
        </w:tc>
        <w:tc>
          <w:tcPr>
            <w:tcW w:w="216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35.78</w:t>
            </w:r>
          </w:p>
        </w:tc>
      </w:tr>
      <w:tr w:rsidR="00347A63">
        <w:trPr>
          <w:trHeight w:val="465"/>
          <w:jc w:val="center"/>
        </w:trPr>
        <w:tc>
          <w:tcPr>
            <w:tcW w:w="3160" w:type="dxa"/>
            <w:tcBorders>
              <w:top w:val="nil"/>
              <w:left w:val="single" w:sz="4" w:space="0" w:color="auto"/>
              <w:bottom w:val="single" w:sz="4" w:space="0" w:color="auto"/>
              <w:right w:val="single" w:sz="4" w:space="0" w:color="auto"/>
            </w:tcBorders>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水费、电费、差旅费</w:t>
            </w:r>
          </w:p>
        </w:tc>
        <w:tc>
          <w:tcPr>
            <w:tcW w:w="224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78.5</w:t>
            </w:r>
          </w:p>
        </w:tc>
        <w:tc>
          <w:tcPr>
            <w:tcW w:w="202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80</w:t>
            </w:r>
          </w:p>
        </w:tc>
        <w:tc>
          <w:tcPr>
            <w:tcW w:w="216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65.67</w:t>
            </w:r>
          </w:p>
        </w:tc>
      </w:tr>
      <w:tr w:rsidR="00347A63">
        <w:trPr>
          <w:trHeight w:val="465"/>
          <w:jc w:val="center"/>
        </w:trPr>
        <w:tc>
          <w:tcPr>
            <w:tcW w:w="3160" w:type="dxa"/>
            <w:tcBorders>
              <w:top w:val="nil"/>
              <w:left w:val="single" w:sz="4" w:space="0" w:color="auto"/>
              <w:bottom w:val="single" w:sz="4" w:space="0" w:color="auto"/>
              <w:right w:val="single" w:sz="4" w:space="0" w:color="auto"/>
            </w:tcBorders>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会议费、培训费</w:t>
            </w:r>
          </w:p>
        </w:tc>
        <w:tc>
          <w:tcPr>
            <w:tcW w:w="224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0.2</w:t>
            </w:r>
          </w:p>
        </w:tc>
        <w:tc>
          <w:tcPr>
            <w:tcW w:w="202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w:t>
            </w:r>
          </w:p>
        </w:tc>
        <w:tc>
          <w:tcPr>
            <w:tcW w:w="216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0.89</w:t>
            </w:r>
          </w:p>
        </w:tc>
      </w:tr>
      <w:tr w:rsidR="00347A63">
        <w:trPr>
          <w:trHeight w:val="315"/>
          <w:jc w:val="center"/>
        </w:trPr>
        <w:tc>
          <w:tcPr>
            <w:tcW w:w="3160" w:type="dxa"/>
            <w:tcBorders>
              <w:top w:val="nil"/>
              <w:left w:val="single" w:sz="4" w:space="0" w:color="auto"/>
              <w:bottom w:val="single" w:sz="4" w:space="0" w:color="auto"/>
              <w:right w:val="single" w:sz="4" w:space="0" w:color="auto"/>
            </w:tcBorders>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政府采购金额</w:t>
            </w:r>
          </w:p>
        </w:tc>
        <w:tc>
          <w:tcPr>
            <w:tcW w:w="224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202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216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465"/>
          <w:jc w:val="center"/>
        </w:trPr>
        <w:tc>
          <w:tcPr>
            <w:tcW w:w="3160" w:type="dxa"/>
            <w:tcBorders>
              <w:top w:val="nil"/>
              <w:left w:val="single" w:sz="4" w:space="0" w:color="auto"/>
              <w:bottom w:val="single" w:sz="4" w:space="0" w:color="auto"/>
              <w:right w:val="single" w:sz="4" w:space="0" w:color="auto"/>
            </w:tcBorders>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部门整体支出预算调整 </w:t>
            </w:r>
          </w:p>
        </w:tc>
        <w:tc>
          <w:tcPr>
            <w:tcW w:w="224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2412.73</w:t>
            </w:r>
          </w:p>
        </w:tc>
        <w:tc>
          <w:tcPr>
            <w:tcW w:w="202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2151.43</w:t>
            </w:r>
          </w:p>
        </w:tc>
        <w:tc>
          <w:tcPr>
            <w:tcW w:w="2160" w:type="dxa"/>
            <w:gridSpan w:val="2"/>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1712.66</w:t>
            </w:r>
          </w:p>
        </w:tc>
      </w:tr>
      <w:tr w:rsidR="00347A63">
        <w:trPr>
          <w:trHeight w:val="735"/>
          <w:jc w:val="center"/>
        </w:trPr>
        <w:tc>
          <w:tcPr>
            <w:tcW w:w="3160" w:type="dxa"/>
            <w:vMerge w:val="restart"/>
            <w:tcBorders>
              <w:top w:val="nil"/>
              <w:left w:val="single" w:sz="4" w:space="0" w:color="auto"/>
              <w:bottom w:val="single" w:sz="4" w:space="0" w:color="000000"/>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楼堂馆所控制情况</w:t>
            </w:r>
          </w:p>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（2019年完工项目）</w:t>
            </w:r>
          </w:p>
        </w:tc>
        <w:tc>
          <w:tcPr>
            <w:tcW w:w="1080" w:type="dxa"/>
            <w:vMerge w:val="restart"/>
            <w:tcBorders>
              <w:top w:val="nil"/>
              <w:left w:val="single" w:sz="4" w:space="0" w:color="auto"/>
              <w:bottom w:val="single" w:sz="4" w:space="0" w:color="000000"/>
              <w:right w:val="single" w:sz="4" w:space="0" w:color="auto"/>
            </w:tcBorders>
            <w:vAlign w:val="center"/>
          </w:tcPr>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批复规模（㎡）</w:t>
            </w:r>
          </w:p>
        </w:tc>
        <w:tc>
          <w:tcPr>
            <w:tcW w:w="1160" w:type="dxa"/>
            <w:vMerge w:val="restart"/>
            <w:tcBorders>
              <w:top w:val="nil"/>
              <w:left w:val="single" w:sz="4" w:space="0" w:color="auto"/>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实际规模（㎡）</w:t>
            </w:r>
          </w:p>
        </w:tc>
        <w:tc>
          <w:tcPr>
            <w:tcW w:w="1080" w:type="dxa"/>
            <w:vMerge w:val="restart"/>
            <w:tcBorders>
              <w:top w:val="nil"/>
              <w:left w:val="single" w:sz="4" w:space="0" w:color="auto"/>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规模控</w:t>
            </w:r>
          </w:p>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制率</w:t>
            </w:r>
          </w:p>
        </w:tc>
        <w:tc>
          <w:tcPr>
            <w:tcW w:w="940" w:type="dxa"/>
            <w:vMerge w:val="restart"/>
            <w:tcBorders>
              <w:top w:val="nil"/>
              <w:left w:val="single" w:sz="4" w:space="0" w:color="auto"/>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预算</w:t>
            </w:r>
          </w:p>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投资</w:t>
            </w:r>
          </w:p>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(万元)</w:t>
            </w:r>
          </w:p>
        </w:tc>
        <w:tc>
          <w:tcPr>
            <w:tcW w:w="1080" w:type="dxa"/>
            <w:vMerge w:val="restart"/>
            <w:tcBorders>
              <w:top w:val="nil"/>
              <w:left w:val="single" w:sz="4" w:space="0" w:color="auto"/>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实际投资(万元)</w:t>
            </w:r>
          </w:p>
        </w:tc>
        <w:tc>
          <w:tcPr>
            <w:tcW w:w="1080" w:type="dxa"/>
            <w:vMerge w:val="restart"/>
            <w:tcBorders>
              <w:top w:val="nil"/>
              <w:left w:val="single" w:sz="4" w:space="0" w:color="auto"/>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投资概算控制率</w:t>
            </w:r>
          </w:p>
        </w:tc>
      </w:tr>
      <w:tr w:rsidR="00347A63">
        <w:trPr>
          <w:trHeight w:val="624"/>
          <w:jc w:val="center"/>
        </w:trPr>
        <w:tc>
          <w:tcPr>
            <w:tcW w:w="3160" w:type="dxa"/>
            <w:vMerge/>
            <w:tcBorders>
              <w:top w:val="nil"/>
              <w:left w:val="single" w:sz="4" w:space="0" w:color="auto"/>
              <w:bottom w:val="single" w:sz="4" w:space="0" w:color="000000"/>
              <w:right w:val="single" w:sz="4" w:space="0" w:color="auto"/>
            </w:tcBorders>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1080" w:type="dxa"/>
            <w:vMerge/>
            <w:tcBorders>
              <w:top w:val="nil"/>
              <w:left w:val="single" w:sz="4" w:space="0" w:color="auto"/>
              <w:bottom w:val="single" w:sz="4" w:space="0" w:color="000000"/>
              <w:right w:val="single" w:sz="4" w:space="0" w:color="auto"/>
            </w:tcBorders>
            <w:vAlign w:val="center"/>
          </w:tcPr>
          <w:p w:rsidR="00347A63" w:rsidRDefault="00347A63">
            <w:pPr>
              <w:widowControl/>
              <w:jc w:val="left"/>
              <w:rPr>
                <w:rFonts w:asciiTheme="minorEastAsia" w:eastAsiaTheme="minorEastAsia" w:hAnsiTheme="minorEastAsia" w:cstheme="minorEastAsia"/>
                <w:b/>
                <w:bCs/>
                <w:color w:val="000000" w:themeColor="text1"/>
                <w:kern w:val="0"/>
                <w:szCs w:val="21"/>
              </w:rPr>
            </w:pPr>
          </w:p>
        </w:tc>
        <w:tc>
          <w:tcPr>
            <w:tcW w:w="1160" w:type="dxa"/>
            <w:vMerge/>
            <w:tcBorders>
              <w:top w:val="nil"/>
              <w:left w:val="single" w:sz="4" w:space="0" w:color="auto"/>
              <w:bottom w:val="single" w:sz="4" w:space="0" w:color="auto"/>
              <w:right w:val="single" w:sz="4" w:space="0" w:color="auto"/>
            </w:tcBorders>
            <w:vAlign w:val="center"/>
          </w:tcPr>
          <w:p w:rsidR="00347A63" w:rsidRDefault="00347A63">
            <w:pPr>
              <w:widowControl/>
              <w:jc w:val="left"/>
              <w:rPr>
                <w:rFonts w:asciiTheme="minorEastAsia" w:eastAsiaTheme="minorEastAsia" w:hAnsiTheme="minorEastAsia" w:cstheme="minorEastAsia"/>
                <w:b/>
                <w:bCs/>
                <w:color w:val="000000" w:themeColor="text1"/>
                <w:kern w:val="0"/>
                <w:szCs w:val="21"/>
              </w:rPr>
            </w:pPr>
          </w:p>
        </w:tc>
        <w:tc>
          <w:tcPr>
            <w:tcW w:w="1080" w:type="dxa"/>
            <w:vMerge/>
            <w:tcBorders>
              <w:top w:val="nil"/>
              <w:left w:val="single" w:sz="4" w:space="0" w:color="auto"/>
              <w:bottom w:val="single" w:sz="4" w:space="0" w:color="auto"/>
              <w:right w:val="single" w:sz="4" w:space="0" w:color="auto"/>
            </w:tcBorders>
            <w:vAlign w:val="center"/>
          </w:tcPr>
          <w:p w:rsidR="00347A63" w:rsidRDefault="00347A63">
            <w:pPr>
              <w:widowControl/>
              <w:jc w:val="left"/>
              <w:rPr>
                <w:rFonts w:asciiTheme="minorEastAsia" w:eastAsiaTheme="minorEastAsia" w:hAnsiTheme="minorEastAsia" w:cstheme="minorEastAsia"/>
                <w:b/>
                <w:bCs/>
                <w:color w:val="000000" w:themeColor="text1"/>
                <w:kern w:val="0"/>
                <w:szCs w:val="21"/>
              </w:rPr>
            </w:pPr>
          </w:p>
        </w:tc>
        <w:tc>
          <w:tcPr>
            <w:tcW w:w="940" w:type="dxa"/>
            <w:vMerge/>
            <w:tcBorders>
              <w:top w:val="nil"/>
              <w:left w:val="single" w:sz="4" w:space="0" w:color="auto"/>
              <w:bottom w:val="single" w:sz="4" w:space="0" w:color="auto"/>
              <w:right w:val="single" w:sz="4" w:space="0" w:color="auto"/>
            </w:tcBorders>
            <w:vAlign w:val="center"/>
          </w:tcPr>
          <w:p w:rsidR="00347A63" w:rsidRDefault="00347A63">
            <w:pPr>
              <w:widowControl/>
              <w:jc w:val="left"/>
              <w:rPr>
                <w:rFonts w:asciiTheme="minorEastAsia" w:eastAsiaTheme="minorEastAsia" w:hAnsiTheme="minorEastAsia" w:cstheme="minorEastAsia"/>
                <w:b/>
                <w:bCs/>
                <w:color w:val="000000" w:themeColor="text1"/>
                <w:kern w:val="0"/>
                <w:szCs w:val="21"/>
              </w:rPr>
            </w:pPr>
          </w:p>
        </w:tc>
        <w:tc>
          <w:tcPr>
            <w:tcW w:w="1080" w:type="dxa"/>
            <w:vMerge/>
            <w:tcBorders>
              <w:top w:val="nil"/>
              <w:left w:val="single" w:sz="4" w:space="0" w:color="auto"/>
              <w:bottom w:val="single" w:sz="4" w:space="0" w:color="auto"/>
              <w:right w:val="single" w:sz="4" w:space="0" w:color="auto"/>
            </w:tcBorders>
            <w:vAlign w:val="center"/>
          </w:tcPr>
          <w:p w:rsidR="00347A63" w:rsidRDefault="00347A63">
            <w:pPr>
              <w:widowControl/>
              <w:jc w:val="left"/>
              <w:rPr>
                <w:rFonts w:asciiTheme="minorEastAsia" w:eastAsiaTheme="minorEastAsia" w:hAnsiTheme="minorEastAsia" w:cstheme="minorEastAsia"/>
                <w:b/>
                <w:bCs/>
                <w:color w:val="000000" w:themeColor="text1"/>
                <w:kern w:val="0"/>
                <w:szCs w:val="21"/>
              </w:rPr>
            </w:pPr>
          </w:p>
        </w:tc>
        <w:tc>
          <w:tcPr>
            <w:tcW w:w="1080" w:type="dxa"/>
            <w:vMerge/>
            <w:tcBorders>
              <w:top w:val="nil"/>
              <w:left w:val="single" w:sz="4" w:space="0" w:color="auto"/>
              <w:bottom w:val="single" w:sz="4" w:space="0" w:color="auto"/>
              <w:right w:val="single" w:sz="4" w:space="0" w:color="auto"/>
            </w:tcBorders>
            <w:vAlign w:val="center"/>
          </w:tcPr>
          <w:p w:rsidR="00347A63" w:rsidRDefault="00347A63">
            <w:pPr>
              <w:widowControl/>
              <w:jc w:val="left"/>
              <w:rPr>
                <w:rFonts w:asciiTheme="minorEastAsia" w:eastAsiaTheme="minorEastAsia" w:hAnsiTheme="minorEastAsia" w:cstheme="minorEastAsia"/>
                <w:b/>
                <w:bCs/>
                <w:color w:val="000000" w:themeColor="text1"/>
                <w:kern w:val="0"/>
                <w:szCs w:val="21"/>
              </w:rPr>
            </w:pPr>
          </w:p>
        </w:tc>
      </w:tr>
      <w:tr w:rsidR="00347A63">
        <w:trPr>
          <w:trHeight w:val="450"/>
          <w:jc w:val="center"/>
        </w:trPr>
        <w:tc>
          <w:tcPr>
            <w:tcW w:w="3160" w:type="dxa"/>
            <w:vMerge/>
            <w:tcBorders>
              <w:top w:val="nil"/>
              <w:left w:val="single" w:sz="4" w:space="0" w:color="auto"/>
              <w:bottom w:val="single" w:sz="4" w:space="0" w:color="000000"/>
              <w:right w:val="single" w:sz="4" w:space="0" w:color="auto"/>
            </w:tcBorders>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1080" w:type="dxa"/>
            <w:tcBorders>
              <w:top w:val="nil"/>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1160" w:type="dxa"/>
            <w:tcBorders>
              <w:top w:val="nil"/>
              <w:left w:val="nil"/>
              <w:bottom w:val="single" w:sz="4" w:space="0" w:color="auto"/>
              <w:right w:val="single" w:sz="4" w:space="0" w:color="auto"/>
            </w:tcBorders>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1080" w:type="dxa"/>
            <w:tcBorders>
              <w:top w:val="nil"/>
              <w:left w:val="nil"/>
              <w:bottom w:val="single" w:sz="4" w:space="0" w:color="auto"/>
              <w:right w:val="single" w:sz="4" w:space="0" w:color="auto"/>
            </w:tcBorders>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940" w:type="dxa"/>
            <w:tcBorders>
              <w:top w:val="nil"/>
              <w:left w:val="nil"/>
              <w:bottom w:val="single" w:sz="4" w:space="0" w:color="auto"/>
              <w:right w:val="single" w:sz="4" w:space="0" w:color="auto"/>
            </w:tcBorders>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1080" w:type="dxa"/>
            <w:tcBorders>
              <w:top w:val="nil"/>
              <w:left w:val="nil"/>
              <w:bottom w:val="single" w:sz="4" w:space="0" w:color="auto"/>
              <w:right w:val="single" w:sz="4" w:space="0" w:color="auto"/>
            </w:tcBorders>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1080" w:type="dxa"/>
            <w:tcBorders>
              <w:top w:val="nil"/>
              <w:left w:val="nil"/>
              <w:bottom w:val="single" w:sz="4" w:space="0" w:color="auto"/>
              <w:right w:val="single" w:sz="4" w:space="0" w:color="auto"/>
            </w:tcBorders>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375"/>
          <w:jc w:val="center"/>
        </w:trPr>
        <w:tc>
          <w:tcPr>
            <w:tcW w:w="3160" w:type="dxa"/>
            <w:tcBorders>
              <w:top w:val="nil"/>
              <w:left w:val="single" w:sz="4" w:space="0" w:color="auto"/>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厉行节约保障措施</w:t>
            </w:r>
          </w:p>
        </w:tc>
        <w:tc>
          <w:tcPr>
            <w:tcW w:w="6420" w:type="dxa"/>
            <w:gridSpan w:val="6"/>
            <w:tcBorders>
              <w:top w:val="single" w:sz="4" w:space="0" w:color="auto"/>
              <w:left w:val="nil"/>
              <w:bottom w:val="single" w:sz="4" w:space="0" w:color="auto"/>
              <w:right w:val="single" w:sz="4" w:space="0" w:color="auto"/>
            </w:tcBorders>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720"/>
          <w:jc w:val="center"/>
        </w:trPr>
        <w:tc>
          <w:tcPr>
            <w:tcW w:w="9580" w:type="dxa"/>
            <w:gridSpan w:val="7"/>
            <w:tcBorders>
              <w:top w:val="single" w:sz="4" w:space="0" w:color="auto"/>
              <w:left w:val="nil"/>
              <w:bottom w:val="nil"/>
              <w:right w:val="nil"/>
            </w:tcBorders>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说明：“项目支出”需要填报除基本支出以外的所有项目情况，包括业务工作项目、运行维护项目等；“公用经费”填报基本支出中的一般商品和服务支出。</w:t>
            </w:r>
          </w:p>
        </w:tc>
      </w:tr>
    </w:tbl>
    <w:p w:rsidR="00347A63" w:rsidRDefault="00347A63">
      <w:pPr>
        <w:rPr>
          <w:rFonts w:ascii="宋体" w:hAnsi="宋体" w:cs="Arial"/>
          <w:color w:val="000000" w:themeColor="text1"/>
          <w:kern w:val="0"/>
          <w:sz w:val="36"/>
          <w:szCs w:val="36"/>
        </w:rPr>
      </w:pPr>
    </w:p>
    <w:p w:rsidR="00347A63" w:rsidRDefault="00EA146C">
      <w:pPr>
        <w:pStyle w:val="2"/>
        <w:spacing w:before="0" w:beforeAutospacing="0" w:after="0" w:afterAutospacing="0" w:line="600" w:lineRule="exact"/>
        <w:rPr>
          <w:rFonts w:ascii="仿宋_GB2312" w:eastAsia="仿宋_GB2312" w:hAnsi="仿宋_GB2312" w:cs="仿宋_GB2312"/>
          <w:b w:val="0"/>
          <w:bCs w:val="0"/>
          <w:color w:val="000000" w:themeColor="text1"/>
          <w:sz w:val="32"/>
          <w:szCs w:val="32"/>
        </w:rPr>
      </w:pPr>
      <w:r>
        <w:rPr>
          <w:rFonts w:ascii="仿宋_GB2312" w:eastAsia="仿宋_GB2312" w:hAnsi="仿宋_GB2312" w:cs="仿宋_GB2312" w:hint="eastAsia"/>
          <w:b w:val="0"/>
          <w:bCs w:val="0"/>
          <w:color w:val="000000" w:themeColor="text1"/>
          <w:sz w:val="32"/>
          <w:szCs w:val="32"/>
        </w:rPr>
        <w:t>附件2：</w:t>
      </w:r>
    </w:p>
    <w:p w:rsidR="00347A63" w:rsidRDefault="00EA146C">
      <w:pPr>
        <w:pStyle w:val="2"/>
        <w:spacing w:before="0" w:beforeAutospacing="0" w:after="0" w:afterAutospacing="0" w:line="600" w:lineRule="exact"/>
        <w:jc w:val="center"/>
        <w:rPr>
          <w:rFonts w:ascii="方正小标宋简体" w:eastAsia="方正小标宋简体" w:hAnsi="方正小标宋简体" w:cs="方正小标宋简体"/>
          <w:b w:val="0"/>
          <w:bCs w:val="0"/>
          <w:color w:val="000000" w:themeColor="text1"/>
          <w:sz w:val="44"/>
          <w:szCs w:val="44"/>
        </w:rPr>
      </w:pPr>
      <w:r>
        <w:rPr>
          <w:rFonts w:ascii="方正小标宋简体" w:eastAsia="方正小标宋简体" w:hAnsi="方正小标宋简体" w:cs="方正小标宋简体" w:hint="eastAsia"/>
          <w:b w:val="0"/>
          <w:bCs w:val="0"/>
          <w:color w:val="000000" w:themeColor="text1"/>
          <w:sz w:val="44"/>
          <w:szCs w:val="44"/>
        </w:rPr>
        <w:t>芷江侗族自治县文化旅游广电体育局</w:t>
      </w:r>
    </w:p>
    <w:p w:rsidR="00347A63" w:rsidRDefault="00EA146C">
      <w:pPr>
        <w:spacing w:line="600" w:lineRule="exact"/>
        <w:jc w:val="center"/>
        <w:rPr>
          <w:rFonts w:ascii="方正小标宋简体" w:eastAsia="方正小标宋简体" w:hAnsi="方正小标宋简体" w:cs="方正小标宋简体"/>
          <w:color w:val="000000" w:themeColor="text1"/>
          <w:kern w:val="0"/>
          <w:sz w:val="44"/>
          <w:szCs w:val="44"/>
        </w:rPr>
      </w:pPr>
      <w:r>
        <w:rPr>
          <w:rFonts w:ascii="方正小标宋简体" w:eastAsia="方正小标宋简体" w:hAnsi="方正小标宋简体" w:cs="方正小标宋简体" w:hint="eastAsia"/>
          <w:color w:val="000000" w:themeColor="text1"/>
          <w:kern w:val="0"/>
          <w:sz w:val="44"/>
          <w:szCs w:val="44"/>
        </w:rPr>
        <w:t>民族艺术团人员经费专项资金绩效评价报告</w:t>
      </w:r>
    </w:p>
    <w:p w:rsidR="00347A63" w:rsidRDefault="00347A63">
      <w:pPr>
        <w:spacing w:line="560" w:lineRule="exact"/>
        <w:jc w:val="center"/>
        <w:rPr>
          <w:rFonts w:ascii="黑体" w:eastAsia="黑体" w:hAnsi="黑体" w:cs="Arial"/>
          <w:b/>
          <w:bCs/>
          <w:color w:val="000000" w:themeColor="text1"/>
          <w:kern w:val="0"/>
          <w:sz w:val="36"/>
          <w:szCs w:val="36"/>
        </w:rPr>
      </w:pPr>
    </w:p>
    <w:p w:rsidR="00347A63" w:rsidRDefault="00EA146C">
      <w:pPr>
        <w:spacing w:line="600" w:lineRule="exact"/>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pacing w:val="-2"/>
          <w:sz w:val="32"/>
          <w:szCs w:val="32"/>
        </w:rPr>
        <w:t>根据《预算法》有关“各级政府、各部门、各单位应当对预算支出情况开展绩效评价”的规定及县财政局《关于开展2019年度财政资金绩效评价工作的通知》（芷财绩[2020]1号）文件精神，我单位对部门专项支出进行了绩效评价,现将有关情况报告如下：</w:t>
      </w:r>
    </w:p>
    <w:p w:rsidR="00347A63" w:rsidRDefault="00EA146C">
      <w:pPr>
        <w:autoSpaceDN w:val="0"/>
        <w:spacing w:line="600" w:lineRule="exact"/>
        <w:ind w:firstLineChars="200" w:firstLine="64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一、工作简述</w:t>
      </w:r>
    </w:p>
    <w:p w:rsidR="00347A63" w:rsidRDefault="00EA146C" w:rsidP="00352FA3">
      <w:pPr>
        <w:autoSpaceDN w:val="0"/>
        <w:spacing w:line="600" w:lineRule="exact"/>
        <w:ind w:firstLineChars="200" w:firstLine="640"/>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1.评价工作简述</w:t>
      </w:r>
    </w:p>
    <w:p w:rsidR="00347A63" w:rsidRDefault="00EA146C">
      <w:pPr>
        <w:spacing w:line="600" w:lineRule="exact"/>
        <w:ind w:firstLineChars="200" w:firstLine="632"/>
        <w:rPr>
          <w:rFonts w:ascii="仿宋_GB2312" w:eastAsia="仿宋_GB2312" w:hAnsi="仿宋_GB2312" w:cs="仿宋_GB2312"/>
          <w:color w:val="000000" w:themeColor="text1"/>
          <w:spacing w:val="-2"/>
          <w:sz w:val="32"/>
          <w:szCs w:val="32"/>
        </w:rPr>
      </w:pPr>
      <w:r>
        <w:rPr>
          <w:rFonts w:ascii="仿宋_GB2312" w:eastAsia="仿宋_GB2312" w:hAnsi="仿宋_GB2312" w:cs="仿宋_GB2312" w:hint="eastAsia"/>
          <w:color w:val="000000" w:themeColor="text1"/>
          <w:spacing w:val="-2"/>
          <w:sz w:val="32"/>
          <w:szCs w:val="32"/>
        </w:rPr>
        <w:t>组织文化活动，繁荣文化事业。传播社会主义精神文明、组织大型文化活动、创作文化精品，</w:t>
      </w:r>
      <w:r>
        <w:rPr>
          <w:rFonts w:ascii="仿宋_GB2312" w:eastAsia="仿宋_GB2312" w:hAnsi="仿宋_GB2312" w:cs="仿宋_GB2312" w:hint="eastAsia"/>
          <w:color w:val="000000" w:themeColor="text1"/>
          <w:sz w:val="32"/>
          <w:szCs w:val="32"/>
        </w:rPr>
        <w:t>组织开展群众文化进农村、进社区、进学校活动及三下乡活动，</w:t>
      </w:r>
      <w:r>
        <w:rPr>
          <w:rFonts w:ascii="仿宋_GB2312" w:eastAsia="仿宋_GB2312" w:hAnsi="仿宋_GB2312" w:cs="仿宋_GB2312" w:hint="eastAsia"/>
          <w:color w:val="000000" w:themeColor="text1"/>
          <w:spacing w:val="-2"/>
          <w:sz w:val="32"/>
          <w:szCs w:val="32"/>
        </w:rPr>
        <w:t>辅导培训各门类艺术人才。</w:t>
      </w:r>
      <w:r>
        <w:rPr>
          <w:rFonts w:ascii="仿宋_GB2312" w:eastAsia="仿宋_GB2312" w:hAnsi="仿宋_GB2312" w:cs="仿宋_GB2312" w:hint="eastAsia"/>
          <w:color w:val="000000" w:themeColor="text1"/>
          <w:sz w:val="32"/>
          <w:szCs w:val="32"/>
        </w:rPr>
        <w:t>面向全城开展免费开放活动，免费培训。</w:t>
      </w:r>
    </w:p>
    <w:p w:rsidR="00347A63" w:rsidRDefault="00EA146C" w:rsidP="00352FA3">
      <w:pPr>
        <w:autoSpaceDN w:val="0"/>
        <w:spacing w:line="600" w:lineRule="exact"/>
        <w:ind w:firstLineChars="200" w:firstLine="640"/>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2.评价对象概况</w:t>
      </w:r>
    </w:p>
    <w:p w:rsidR="00347A63" w:rsidRDefault="00EA146C">
      <w:pPr>
        <w:autoSpaceDN w:val="0"/>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根据文件要求，绩效评价对象为2018年民族艺术团人员经费专项资金35万元，实际支出35万元。</w:t>
      </w:r>
    </w:p>
    <w:p w:rsidR="00347A63" w:rsidRDefault="00EA146C">
      <w:pPr>
        <w:autoSpaceDN w:val="0"/>
        <w:spacing w:line="600" w:lineRule="exact"/>
        <w:ind w:firstLineChars="200" w:firstLine="64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二、绩效目标及其实现程度</w:t>
      </w:r>
    </w:p>
    <w:p w:rsidR="00347A63" w:rsidRDefault="00EA146C">
      <w:pPr>
        <w:autoSpaceDN w:val="0"/>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2018年民族艺术团人员经费专项</w:t>
      </w:r>
    </w:p>
    <w:p w:rsidR="00347A63" w:rsidRDefault="00EA146C" w:rsidP="00352FA3">
      <w:pPr>
        <w:autoSpaceDN w:val="0"/>
        <w:spacing w:line="600" w:lineRule="exact"/>
        <w:ind w:firstLineChars="200" w:firstLine="640"/>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（一）绩效目标情况</w:t>
      </w:r>
    </w:p>
    <w:p w:rsidR="00347A63" w:rsidRDefault="00EA146C">
      <w:pPr>
        <w:autoSpaceDN w:val="0"/>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bCs/>
          <w:color w:val="000000" w:themeColor="text1"/>
          <w:sz w:val="32"/>
          <w:szCs w:val="32"/>
        </w:rPr>
        <w:lastRenderedPageBreak/>
        <w:t>绩效目标：保护和传承民族文化，丰富少数民族业余文化生活。按月足额发放艺术团人员工资。发展我县民族文化事业,特困山区送戏下乡演出126场。保护和传成民族文化，</w:t>
      </w:r>
      <w:r>
        <w:rPr>
          <w:rFonts w:ascii="仿宋_GB2312" w:eastAsia="仿宋_GB2312" w:hAnsi="仿宋_GB2312" w:cs="仿宋_GB2312" w:hint="eastAsia"/>
          <w:color w:val="000000" w:themeColor="text1"/>
          <w:sz w:val="32"/>
          <w:szCs w:val="32"/>
        </w:rPr>
        <w:t>丰富少数民族业余文化生活。</w:t>
      </w:r>
      <w:r>
        <w:rPr>
          <w:rFonts w:ascii="仿宋_GB2312" w:eastAsia="仿宋_GB2312" w:hAnsi="仿宋_GB2312" w:cs="仿宋_GB2312" w:hint="eastAsia"/>
          <w:bCs/>
          <w:color w:val="000000" w:themeColor="text1"/>
          <w:sz w:val="32"/>
          <w:szCs w:val="32"/>
        </w:rPr>
        <w:t>让</w:t>
      </w:r>
      <w:r>
        <w:rPr>
          <w:rFonts w:ascii="仿宋_GB2312" w:eastAsia="仿宋_GB2312" w:hAnsi="仿宋_GB2312" w:cs="仿宋_GB2312" w:hint="eastAsia"/>
          <w:color w:val="000000" w:themeColor="text1"/>
          <w:sz w:val="32"/>
          <w:szCs w:val="32"/>
        </w:rPr>
        <w:t>芷江文化工作上新台阶。</w:t>
      </w:r>
    </w:p>
    <w:p w:rsidR="00347A63" w:rsidRDefault="00EA146C" w:rsidP="00352FA3">
      <w:pPr>
        <w:autoSpaceDN w:val="0"/>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目标调整及使用情况：</w:t>
      </w:r>
      <w:r>
        <w:rPr>
          <w:rFonts w:ascii="仿宋_GB2312" w:eastAsia="仿宋_GB2312" w:hAnsi="仿宋_GB2312" w:cs="仿宋_GB2312" w:hint="eastAsia"/>
          <w:color w:val="000000" w:themeColor="text1"/>
          <w:sz w:val="32"/>
          <w:szCs w:val="32"/>
        </w:rPr>
        <w:t>2019年年初预算民族艺术团工作经费35万元。全年实际支出35万元。完成目标任务的100%。</w:t>
      </w:r>
    </w:p>
    <w:p w:rsidR="00347A63" w:rsidRDefault="00EA146C" w:rsidP="00352FA3">
      <w:pPr>
        <w:autoSpaceDN w:val="0"/>
        <w:spacing w:line="600" w:lineRule="exact"/>
        <w:ind w:firstLineChars="200" w:firstLine="640"/>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（二）为实现绩效目标所采取的主要措施</w:t>
      </w:r>
    </w:p>
    <w:p w:rsidR="00347A63" w:rsidRDefault="00EA146C">
      <w:pPr>
        <w:autoSpaceDN w:val="0"/>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年初制订责任措施，责任到人，制订实施方案，派专人到乡镇挖掘民族文化。积极组织各乡文艺骨干参加非遗普查与传承的免费培训活动、城乡文艺骨干免费培训，努力</w:t>
      </w:r>
      <w:r>
        <w:rPr>
          <w:rFonts w:ascii="仿宋_GB2312" w:eastAsia="仿宋_GB2312" w:hAnsi="仿宋_GB2312" w:cs="仿宋_GB2312" w:hint="eastAsia"/>
          <w:bCs/>
          <w:color w:val="000000" w:themeColor="text1"/>
          <w:sz w:val="32"/>
          <w:szCs w:val="32"/>
        </w:rPr>
        <w:t>做好</w:t>
      </w:r>
      <w:r>
        <w:rPr>
          <w:rFonts w:ascii="仿宋_GB2312" w:eastAsia="仿宋_GB2312" w:hAnsi="仿宋_GB2312" w:cs="仿宋_GB2312" w:hint="eastAsia"/>
          <w:color w:val="000000" w:themeColor="text1"/>
          <w:sz w:val="32"/>
          <w:szCs w:val="32"/>
        </w:rPr>
        <w:t>少数民族文化进行保护和传成。</w:t>
      </w:r>
    </w:p>
    <w:p w:rsidR="00347A63" w:rsidRDefault="00EA146C" w:rsidP="00352FA3">
      <w:pPr>
        <w:autoSpaceDN w:val="0"/>
        <w:spacing w:line="600" w:lineRule="exact"/>
        <w:ind w:firstLineChars="200" w:firstLine="640"/>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（三）绩效目标的实现程度</w:t>
      </w:r>
    </w:p>
    <w:p w:rsidR="00347A63" w:rsidRDefault="00EA146C">
      <w:pPr>
        <w:pStyle w:val="p0"/>
        <w:widowControl w:val="0"/>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元月—2月的春节系列文化活动，活动包括特困地区送戏下乡、芷江群众文化活动、广场文艺演出等内容。其中春节送文化下乡活动是分别在公坪等十余个乡镇展开演出，整场下乡由来自于县民族艺术团、城区各业余剧团及各乡农民艺术团以歌曲联唱、舞蹈、方言小品等形式展现我县过去一年各方面取得的辉煌成绩，给市民送上祝福，赢得观众的阵阵掌声。</w:t>
      </w:r>
    </w:p>
    <w:p w:rsidR="00347A63" w:rsidRDefault="00EA146C">
      <w:pPr>
        <w:pStyle w:val="a7"/>
        <w:spacing w:before="0" w:beforeAutospacing="0" w:after="0" w:afterAutospacing="0" w:line="60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pacing w:val="-6"/>
          <w:sz w:val="32"/>
          <w:szCs w:val="32"/>
        </w:rPr>
        <w:t>围绕新中国成立70周年，组织开展庆祝“建国七十周年”系列文艺汇演，如“甜甜的怀化·美丽的家乡”原创广场舞大赛、“欢乐潇湘·胜利芷江”文艺汇演、“我和我的祖国·湖南百万职工同声唱”、庆祝建国70周年芷江万人快闪“我和我的祖国”。</w:t>
      </w:r>
      <w:r>
        <w:rPr>
          <w:rFonts w:ascii="仿宋_GB2312" w:eastAsia="仿宋_GB2312" w:hAnsi="仿宋_GB2312" w:cs="仿宋_GB2312" w:hint="eastAsia"/>
          <w:color w:val="000000" w:themeColor="text1"/>
          <w:sz w:val="32"/>
          <w:szCs w:val="32"/>
        </w:rPr>
        <w:t xml:space="preserve"> </w:t>
      </w:r>
    </w:p>
    <w:p w:rsidR="00347A63" w:rsidRDefault="00EA146C">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lastRenderedPageBreak/>
        <w:t>3.为认真贯彻落实湖南省文化厅文件，关于开展特困地区送戏下乡工作的通知精神。我馆按照落实文化精准扶贫的要求，组织相关部门认真开展此次演出活动，整合县民族艺术团、县域各戏剧团体排练，以芷江地方戏曲为主、民族歌舞为辅的精品文艺节目，在县民族广场及公坪镇等18个重点乡镇开展巡回演出活动。</w:t>
      </w:r>
    </w:p>
    <w:p w:rsidR="00347A63" w:rsidRDefault="00EA146C">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4.7月，组织策划建党系列文艺演出。8月，组织策划八一建军节文艺晚会。我馆全年完成我县“月月乐”、“周周乐”特色品牌文艺演出，其中特困地区送戏下乡全年演出126场。</w:t>
      </w:r>
    </w:p>
    <w:p w:rsidR="00347A63" w:rsidRDefault="00EA146C">
      <w:pPr>
        <w:autoSpaceDN w:val="0"/>
        <w:spacing w:line="600" w:lineRule="exact"/>
        <w:ind w:firstLineChars="200" w:firstLine="64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三、评价结论</w:t>
      </w:r>
    </w:p>
    <w:p w:rsidR="00347A63" w:rsidRDefault="00EA146C">
      <w:pPr>
        <w:spacing w:line="600" w:lineRule="exact"/>
        <w:ind w:firstLineChars="200" w:firstLine="640"/>
        <w:rPr>
          <w:rFonts w:ascii="仿宋_GB2312" w:eastAsia="仿宋_GB2312" w:hAnsi="仿宋_GB2312" w:cs="仿宋_GB2312"/>
          <w:b/>
          <w:color w:val="000000" w:themeColor="text1"/>
          <w:sz w:val="32"/>
          <w:szCs w:val="32"/>
        </w:rPr>
      </w:pPr>
      <w:r>
        <w:rPr>
          <w:rFonts w:ascii="仿宋_GB2312" w:eastAsia="仿宋_GB2312" w:hAnsi="仿宋_GB2312" w:cs="仿宋_GB2312" w:hint="eastAsia"/>
          <w:color w:val="000000" w:themeColor="text1"/>
          <w:sz w:val="32"/>
          <w:szCs w:val="32"/>
        </w:rPr>
        <w:t>评价结论：综合2019年度县文化旅游广电体育局财政支出项目绩效评价情况，经评价，县文化旅游广电体育局财政支出项目绩效得分98分，评价结果为优秀。</w:t>
      </w:r>
    </w:p>
    <w:p w:rsidR="00347A63" w:rsidRDefault="00EA146C">
      <w:pPr>
        <w:autoSpaceDN w:val="0"/>
        <w:spacing w:line="600" w:lineRule="exact"/>
        <w:ind w:firstLineChars="200" w:firstLine="64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四、存在问题、原因分析及建议</w:t>
      </w:r>
    </w:p>
    <w:p w:rsidR="00347A63" w:rsidRDefault="00EA146C" w:rsidP="00352FA3">
      <w:pPr>
        <w:autoSpaceDN w:val="0"/>
        <w:spacing w:line="600" w:lineRule="exact"/>
        <w:ind w:firstLineChars="200" w:firstLine="640"/>
        <w:rPr>
          <w:rFonts w:ascii="仿宋_GB2312" w:eastAsia="仿宋_GB2312" w:hAnsi="仿宋_GB2312" w:cs="仿宋_GB2312"/>
          <w:b/>
          <w:color w:val="000000" w:themeColor="text1"/>
          <w:sz w:val="32"/>
          <w:szCs w:val="32"/>
        </w:rPr>
      </w:pPr>
      <w:r>
        <w:rPr>
          <w:rFonts w:ascii="楷体_GB2312" w:eastAsia="楷体_GB2312" w:hAnsi="楷体_GB2312" w:cs="楷体_GB2312" w:hint="eastAsia"/>
          <w:b/>
          <w:bCs/>
          <w:color w:val="000000" w:themeColor="text1"/>
          <w:sz w:val="32"/>
          <w:szCs w:val="32"/>
        </w:rPr>
        <w:t>1.存在问题：</w:t>
      </w:r>
      <w:r>
        <w:rPr>
          <w:rFonts w:ascii="仿宋_GB2312" w:eastAsia="仿宋_GB2312" w:hAnsi="仿宋_GB2312" w:cs="仿宋_GB2312" w:hint="eastAsia"/>
          <w:color w:val="000000" w:themeColor="text1"/>
          <w:sz w:val="32"/>
          <w:szCs w:val="32"/>
        </w:rPr>
        <w:t>民族文化工作责任大，任务重。管理状态，运转机制不太顺畅，倒致民族文化工作压力大。</w:t>
      </w:r>
    </w:p>
    <w:p w:rsidR="00347A63" w:rsidRDefault="00EA146C" w:rsidP="00352FA3">
      <w:pPr>
        <w:autoSpaceDN w:val="0"/>
        <w:spacing w:line="60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楷体_GB2312" w:cs="楷体_GB2312" w:hint="eastAsia"/>
          <w:b/>
          <w:bCs/>
          <w:color w:val="000000" w:themeColor="text1"/>
          <w:sz w:val="32"/>
          <w:szCs w:val="32"/>
        </w:rPr>
        <w:t>2.原因分析：</w:t>
      </w:r>
      <w:r>
        <w:rPr>
          <w:rFonts w:ascii="仿宋_GB2312" w:eastAsia="仿宋_GB2312" w:hAnsi="仿宋_GB2312" w:cs="仿宋_GB2312" w:hint="eastAsia"/>
          <w:color w:val="000000" w:themeColor="text1"/>
          <w:sz w:val="32"/>
          <w:szCs w:val="32"/>
        </w:rPr>
        <w:t>民族文化保护、传承、挖掘力度不够，少数民族文化保护、传承工作需理顺。</w:t>
      </w:r>
    </w:p>
    <w:p w:rsidR="00347A63" w:rsidRDefault="00EA146C" w:rsidP="00352FA3">
      <w:pPr>
        <w:autoSpaceDN w:val="0"/>
        <w:spacing w:line="60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楷体_GB2312" w:cs="楷体_GB2312" w:hint="eastAsia"/>
          <w:b/>
          <w:bCs/>
          <w:color w:val="000000" w:themeColor="text1"/>
          <w:sz w:val="32"/>
          <w:szCs w:val="32"/>
        </w:rPr>
        <w:t>3.建议：</w:t>
      </w:r>
      <w:r>
        <w:rPr>
          <w:rFonts w:ascii="仿宋_GB2312" w:eastAsia="仿宋_GB2312" w:hAnsi="仿宋_GB2312" w:cs="仿宋_GB2312" w:hint="eastAsia"/>
          <w:color w:val="000000" w:themeColor="text1"/>
          <w:sz w:val="32"/>
          <w:szCs w:val="32"/>
        </w:rPr>
        <w:t>制订年度项目资金预算方案前，认真做好每个项目的市场预测和绩效目标分析，每月向局领导班子通报资金使用情况，以便及时作出调整，实现项目资金利用效率最大化。</w:t>
      </w:r>
    </w:p>
    <w:p w:rsidR="00347A63" w:rsidRDefault="00EA146C">
      <w:pPr>
        <w:rPr>
          <w:rFonts w:asciiTheme="minorEastAsia" w:eastAsiaTheme="minorEastAsia" w:hAnsiTheme="minorEastAsia" w:cs="宋体"/>
          <w:b/>
          <w:color w:val="000000" w:themeColor="text1"/>
          <w:kern w:val="0"/>
          <w:sz w:val="32"/>
          <w:szCs w:val="32"/>
        </w:rPr>
      </w:pPr>
      <w:r>
        <w:rPr>
          <w:rFonts w:asciiTheme="minorEastAsia" w:eastAsiaTheme="minorEastAsia" w:hAnsiTheme="minorEastAsia" w:cs="宋体" w:hint="eastAsia"/>
          <w:b/>
          <w:color w:val="000000" w:themeColor="text1"/>
          <w:kern w:val="0"/>
          <w:sz w:val="32"/>
          <w:szCs w:val="32"/>
        </w:rPr>
        <w:br w:type="page"/>
      </w:r>
    </w:p>
    <w:p w:rsidR="00347A63" w:rsidRDefault="00EA146C">
      <w:pPr>
        <w:spacing w:line="600" w:lineRule="exact"/>
        <w:jc w:val="center"/>
        <w:rPr>
          <w:rFonts w:ascii="方正小标宋简体" w:eastAsia="方正小标宋简体" w:hAnsi="方正小标宋简体" w:cs="方正小标宋简体"/>
          <w:color w:val="000000" w:themeColor="text1"/>
          <w:kern w:val="0"/>
          <w:sz w:val="44"/>
          <w:szCs w:val="44"/>
        </w:rPr>
      </w:pPr>
      <w:r>
        <w:rPr>
          <w:rFonts w:ascii="方正小标宋简体" w:eastAsia="方正小标宋简体" w:hAnsi="方正小标宋简体" w:cs="方正小标宋简体" w:hint="eastAsia"/>
          <w:color w:val="000000" w:themeColor="text1"/>
          <w:kern w:val="0"/>
          <w:sz w:val="44"/>
          <w:szCs w:val="44"/>
        </w:rPr>
        <w:lastRenderedPageBreak/>
        <w:t>芷江侗族自治县民族艺术团人员经费绩效</w:t>
      </w:r>
    </w:p>
    <w:p w:rsidR="00347A63" w:rsidRDefault="00EA146C">
      <w:pPr>
        <w:spacing w:line="600" w:lineRule="exact"/>
        <w:jc w:val="center"/>
        <w:rPr>
          <w:rFonts w:ascii="方正小标宋简体" w:eastAsia="方正小标宋简体" w:hAnsi="方正小标宋简体" w:cs="方正小标宋简体"/>
          <w:color w:val="000000" w:themeColor="text1"/>
          <w:kern w:val="0"/>
          <w:sz w:val="44"/>
          <w:szCs w:val="44"/>
        </w:rPr>
      </w:pPr>
      <w:r>
        <w:rPr>
          <w:rFonts w:ascii="方正小标宋简体" w:eastAsia="方正小标宋简体" w:hAnsi="方正小标宋简体" w:cs="方正小标宋简体" w:hint="eastAsia"/>
          <w:color w:val="000000" w:themeColor="text1"/>
          <w:kern w:val="0"/>
          <w:sz w:val="44"/>
          <w:szCs w:val="44"/>
        </w:rPr>
        <w:t>评 价 指 标</w:t>
      </w:r>
    </w:p>
    <w:p w:rsidR="00347A63" w:rsidRDefault="00EA146C" w:rsidP="00952FD6">
      <w:pPr>
        <w:spacing w:beforeLines="50" w:afterLines="30" w:line="360" w:lineRule="exact"/>
        <w:rPr>
          <w:rFonts w:asciiTheme="minorEastAsia" w:eastAsiaTheme="minorEastAsia" w:hAnsiTheme="minorEastAsia" w:cstheme="minorEastAsia"/>
          <w:color w:val="000000" w:themeColor="text1"/>
          <w:kern w:val="0"/>
          <w:sz w:val="28"/>
          <w:szCs w:val="28"/>
        </w:rPr>
      </w:pPr>
      <w:r>
        <w:rPr>
          <w:rFonts w:asciiTheme="minorEastAsia" w:eastAsiaTheme="minorEastAsia" w:hAnsiTheme="minorEastAsia" w:cstheme="minorEastAsia" w:hint="eastAsia"/>
          <w:color w:val="000000" w:themeColor="text1"/>
          <w:kern w:val="0"/>
          <w:sz w:val="28"/>
          <w:szCs w:val="28"/>
        </w:rPr>
        <w:t>填报单位：芷江侗族自治县文化旅游广电体育局</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37"/>
        <w:gridCol w:w="601"/>
        <w:gridCol w:w="589"/>
        <w:gridCol w:w="528"/>
        <w:gridCol w:w="584"/>
        <w:gridCol w:w="564"/>
        <w:gridCol w:w="1857"/>
        <w:gridCol w:w="2993"/>
        <w:gridCol w:w="348"/>
        <w:gridCol w:w="1110"/>
      </w:tblGrid>
      <w:tr w:rsidR="00347A63">
        <w:trPr>
          <w:trHeight w:val="915"/>
          <w:tblHeader/>
          <w:jc w:val="center"/>
        </w:trPr>
        <w:tc>
          <w:tcPr>
            <w:tcW w:w="637"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kern w:val="0"/>
                <w:szCs w:val="21"/>
              </w:rPr>
              <w:t>一级指标</w:t>
            </w:r>
          </w:p>
        </w:tc>
        <w:tc>
          <w:tcPr>
            <w:tcW w:w="601"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kern w:val="0"/>
                <w:szCs w:val="21"/>
              </w:rPr>
              <w:t>分值</w:t>
            </w:r>
          </w:p>
        </w:tc>
        <w:tc>
          <w:tcPr>
            <w:tcW w:w="589"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kern w:val="0"/>
                <w:szCs w:val="21"/>
              </w:rPr>
              <w:t>二级指标</w:t>
            </w:r>
          </w:p>
        </w:tc>
        <w:tc>
          <w:tcPr>
            <w:tcW w:w="528"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kern w:val="0"/>
                <w:szCs w:val="21"/>
              </w:rPr>
              <w:t>分值</w:t>
            </w:r>
          </w:p>
        </w:tc>
        <w:tc>
          <w:tcPr>
            <w:tcW w:w="584"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kern w:val="0"/>
                <w:szCs w:val="21"/>
              </w:rPr>
              <w:t>三级指标</w:t>
            </w:r>
          </w:p>
        </w:tc>
        <w:tc>
          <w:tcPr>
            <w:tcW w:w="564"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kern w:val="0"/>
                <w:szCs w:val="21"/>
              </w:rPr>
              <w:t>分值</w:t>
            </w:r>
          </w:p>
        </w:tc>
        <w:tc>
          <w:tcPr>
            <w:tcW w:w="1857"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kern w:val="0"/>
                <w:szCs w:val="21"/>
              </w:rPr>
              <w:t>指标解释</w:t>
            </w:r>
          </w:p>
        </w:tc>
        <w:tc>
          <w:tcPr>
            <w:tcW w:w="2993"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kern w:val="0"/>
                <w:szCs w:val="21"/>
              </w:rPr>
              <w:t>评价标准</w:t>
            </w:r>
          </w:p>
        </w:tc>
        <w:tc>
          <w:tcPr>
            <w:tcW w:w="348"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kern w:val="0"/>
                <w:szCs w:val="21"/>
              </w:rPr>
              <w:t>评分</w:t>
            </w:r>
          </w:p>
        </w:tc>
        <w:tc>
          <w:tcPr>
            <w:tcW w:w="1110"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b/>
                <w:color w:val="000000" w:themeColor="text1"/>
                <w:szCs w:val="21"/>
              </w:rPr>
            </w:pPr>
            <w:r>
              <w:rPr>
                <w:rFonts w:asciiTheme="minorEastAsia" w:eastAsiaTheme="minorEastAsia" w:hAnsiTheme="minorEastAsia" w:cstheme="minorEastAsia" w:hint="eastAsia"/>
                <w:b/>
                <w:color w:val="000000" w:themeColor="text1"/>
                <w:kern w:val="0"/>
                <w:szCs w:val="21"/>
              </w:rPr>
              <w:t>备注</w:t>
            </w:r>
          </w:p>
        </w:tc>
      </w:tr>
      <w:tr w:rsidR="00347A63">
        <w:trPr>
          <w:trHeight w:hRule="exact" w:val="2159"/>
          <w:jc w:val="center"/>
        </w:trPr>
        <w:tc>
          <w:tcPr>
            <w:tcW w:w="637" w:type="dxa"/>
            <w:vMerge w:val="restart"/>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投</w:t>
            </w:r>
          </w:p>
          <w:p w:rsidR="00347A63" w:rsidRDefault="00347A63">
            <w:pPr>
              <w:widowControl/>
              <w:jc w:val="center"/>
              <w:textAlignment w:val="center"/>
              <w:rPr>
                <w:rFonts w:asciiTheme="minorEastAsia" w:eastAsiaTheme="minorEastAsia" w:hAnsiTheme="minorEastAsia" w:cstheme="minorEastAsia"/>
                <w:color w:val="000000" w:themeColor="text1"/>
                <w:kern w:val="0"/>
                <w:szCs w:val="21"/>
              </w:rPr>
            </w:pPr>
          </w:p>
          <w:p w:rsidR="00347A63" w:rsidRDefault="00347A63">
            <w:pPr>
              <w:widowControl/>
              <w:jc w:val="center"/>
              <w:textAlignment w:val="center"/>
              <w:rPr>
                <w:rFonts w:asciiTheme="minorEastAsia" w:eastAsiaTheme="minorEastAsia" w:hAnsiTheme="minorEastAsia" w:cstheme="minorEastAsia"/>
                <w:color w:val="000000" w:themeColor="text1"/>
                <w:kern w:val="0"/>
                <w:szCs w:val="21"/>
              </w:rPr>
            </w:pPr>
          </w:p>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入</w:t>
            </w:r>
          </w:p>
        </w:tc>
        <w:tc>
          <w:tcPr>
            <w:tcW w:w="601" w:type="dxa"/>
            <w:vMerge w:val="restart"/>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20</w:t>
            </w:r>
          </w:p>
        </w:tc>
        <w:tc>
          <w:tcPr>
            <w:tcW w:w="589" w:type="dxa"/>
            <w:vMerge w:val="restart"/>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项目立项</w:t>
            </w:r>
            <w:r>
              <w:rPr>
                <w:rFonts w:asciiTheme="minorEastAsia" w:eastAsiaTheme="minorEastAsia" w:hAnsiTheme="minorEastAsia" w:cstheme="minorEastAsia" w:hint="eastAsia"/>
                <w:noProof/>
                <w:color w:val="000000" w:themeColor="text1"/>
                <w:kern w:val="0"/>
                <w:szCs w:val="21"/>
              </w:rPr>
              <w:drawing>
                <wp:inline distT="0" distB="0" distL="0" distR="0">
                  <wp:extent cx="9525" cy="95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8"/>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Theme="minorEastAsia" w:eastAsiaTheme="minorEastAsia" w:hAnsiTheme="minorEastAsia" w:cstheme="minorEastAsia" w:hint="eastAsia"/>
                <w:color w:val="000000" w:themeColor="text1"/>
                <w:kern w:val="0"/>
                <w:szCs w:val="21"/>
              </w:rPr>
              <w:t xml:space="preserve"> </w:t>
            </w:r>
            <w:r>
              <w:rPr>
                <w:rFonts w:asciiTheme="minorEastAsia" w:eastAsiaTheme="minorEastAsia" w:hAnsiTheme="minorEastAsia" w:cstheme="minorEastAsia" w:hint="eastAsia"/>
                <w:noProof/>
                <w:color w:val="000000" w:themeColor="text1"/>
                <w:kern w:val="0"/>
                <w:szCs w:val="21"/>
              </w:rPr>
              <w:drawing>
                <wp:inline distT="0" distB="0" distL="0" distR="0">
                  <wp:extent cx="9525" cy="9525"/>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noChangeArrowheads="1"/>
                          </pic:cNvPicPr>
                        </pic:nvPicPr>
                        <pic:blipFill>
                          <a:blip r:embed="rId8"/>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Theme="minorEastAsia" w:eastAsiaTheme="minorEastAsia" w:hAnsiTheme="minorEastAsia" w:cstheme="minorEastAsia" w:hint="eastAsia"/>
                <w:noProof/>
                <w:color w:val="000000" w:themeColor="text1"/>
                <w:kern w:val="0"/>
                <w:szCs w:val="21"/>
              </w:rPr>
              <w:drawing>
                <wp:inline distT="0" distB="0" distL="0" distR="0">
                  <wp:extent cx="9525" cy="9525"/>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noChangeArrowheads="1"/>
                          </pic:cNvPicPr>
                        </pic:nvPicPr>
                        <pic:blipFill>
                          <a:blip r:embed="rId8"/>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Theme="minorEastAsia" w:eastAsiaTheme="minorEastAsia" w:hAnsiTheme="minorEastAsia" w:cstheme="minorEastAsia" w:hint="eastAsia"/>
                <w:noProof/>
                <w:color w:val="000000" w:themeColor="text1"/>
                <w:kern w:val="0"/>
                <w:szCs w:val="21"/>
              </w:rPr>
              <w:drawing>
                <wp:inline distT="0" distB="0" distL="0" distR="0">
                  <wp:extent cx="9525" cy="9525"/>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noChangeArrowheads="1"/>
                          </pic:cNvPicPr>
                        </pic:nvPicPr>
                        <pic:blipFill>
                          <a:blip r:embed="rId8"/>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Theme="minorEastAsia" w:eastAsiaTheme="minorEastAsia" w:hAnsiTheme="minorEastAsia" w:cstheme="minorEastAsia" w:hint="eastAsia"/>
                <w:noProof/>
                <w:color w:val="000000" w:themeColor="text1"/>
                <w:kern w:val="0"/>
                <w:szCs w:val="21"/>
              </w:rPr>
              <w:drawing>
                <wp:inline distT="0" distB="0" distL="0" distR="0">
                  <wp:extent cx="9525" cy="9525"/>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noChangeArrowheads="1"/>
                          </pic:cNvPicPr>
                        </pic:nvPicPr>
                        <pic:blipFill>
                          <a:blip r:embed="rId8"/>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Theme="minorEastAsia" w:eastAsiaTheme="minorEastAsia" w:hAnsiTheme="minorEastAsia" w:cstheme="minorEastAsia" w:hint="eastAsia"/>
                <w:noProof/>
                <w:color w:val="000000" w:themeColor="text1"/>
                <w:kern w:val="0"/>
                <w:szCs w:val="21"/>
              </w:rPr>
              <w:drawing>
                <wp:inline distT="0" distB="0" distL="0" distR="0">
                  <wp:extent cx="9525" cy="9525"/>
                  <wp:effectExtent l="0" t="0" r="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noChangeArrowheads="1"/>
                          </pic:cNvPicPr>
                        </pic:nvPicPr>
                        <pic:blipFill>
                          <a:blip r:embed="rId8"/>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Theme="minorEastAsia" w:eastAsiaTheme="minorEastAsia" w:hAnsiTheme="minorEastAsia" w:cstheme="minorEastAsia" w:hint="eastAsia"/>
                <w:noProof/>
                <w:color w:val="000000" w:themeColor="text1"/>
                <w:kern w:val="0"/>
                <w:szCs w:val="21"/>
              </w:rPr>
              <w:drawing>
                <wp:inline distT="0" distB="0" distL="0" distR="0">
                  <wp:extent cx="9525" cy="9525"/>
                  <wp:effectExtent l="0" t="0" r="0" b="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noChangeArrowheads="1"/>
                          </pic:cNvPicPr>
                        </pic:nvPicPr>
                        <pic:blipFill>
                          <a:blip r:embed="rId8"/>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Theme="minorEastAsia" w:eastAsiaTheme="minorEastAsia" w:hAnsiTheme="minorEastAsia" w:cstheme="minorEastAsia" w:hint="eastAsia"/>
                <w:noProof/>
                <w:color w:val="000000" w:themeColor="text1"/>
                <w:kern w:val="0"/>
                <w:szCs w:val="21"/>
              </w:rPr>
              <w:drawing>
                <wp:inline distT="0" distB="0" distL="0" distR="0">
                  <wp:extent cx="9525" cy="9525"/>
                  <wp:effectExtent l="0" t="0" r="0" b="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noChangeArrowheads="1"/>
                          </pic:cNvPicPr>
                        </pic:nvPicPr>
                        <pic:blipFill>
                          <a:blip r:embed="rId8"/>
                          <a:srcRect/>
                          <a:stretch>
                            <a:fillRect/>
                          </a:stretch>
                        </pic:blipFill>
                        <pic:spPr>
                          <a:xfrm>
                            <a:off x="0" y="0"/>
                            <a:ext cx="9525" cy="9525"/>
                          </a:xfrm>
                          <a:prstGeom prst="rect">
                            <a:avLst/>
                          </a:prstGeom>
                          <a:noFill/>
                          <a:ln w="9525">
                            <a:noFill/>
                            <a:miter lim="800000"/>
                            <a:headEnd/>
                            <a:tailEnd/>
                          </a:ln>
                        </pic:spPr>
                      </pic:pic>
                    </a:graphicData>
                  </a:graphic>
                </wp:inline>
              </w:drawing>
            </w:r>
          </w:p>
        </w:tc>
        <w:tc>
          <w:tcPr>
            <w:tcW w:w="528" w:type="dxa"/>
            <w:vMerge w:val="restart"/>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w:t>
            </w:r>
          </w:p>
        </w:tc>
        <w:tc>
          <w:tcPr>
            <w:tcW w:w="584"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项目立项规范性</w:t>
            </w:r>
          </w:p>
        </w:tc>
        <w:tc>
          <w:tcPr>
            <w:tcW w:w="564"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3</w:t>
            </w:r>
          </w:p>
        </w:tc>
        <w:tc>
          <w:tcPr>
            <w:tcW w:w="1857" w:type="dxa"/>
            <w:tcMar>
              <w:top w:w="0" w:type="dxa"/>
              <w:left w:w="57" w:type="dxa"/>
              <w:bottom w:w="0" w:type="dxa"/>
              <w:right w:w="57" w:type="dxa"/>
            </w:tcMar>
            <w:vAlign w:val="center"/>
          </w:tcPr>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项目的申请、设立过程是否符合相关要求，用以反映和考核项目立项的规范情况。</w:t>
            </w:r>
          </w:p>
        </w:tc>
        <w:tc>
          <w:tcPr>
            <w:tcW w:w="2993" w:type="dxa"/>
            <w:tcMar>
              <w:top w:w="0" w:type="dxa"/>
              <w:left w:w="57" w:type="dxa"/>
              <w:bottom w:w="0" w:type="dxa"/>
              <w:right w:w="57" w:type="dxa"/>
            </w:tcMar>
            <w:vAlign w:val="center"/>
          </w:tcPr>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①项目按照规定的程序设立1分，否则不记分；</w:t>
            </w:r>
          </w:p>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②所提交的文件、材料是否符合相关要求记1分，否则不记分；</w:t>
            </w:r>
          </w:p>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③事前经过必要的可行性研究、专家论证、风险评估、集体决策等记1分，否则不记分。</w:t>
            </w:r>
          </w:p>
        </w:tc>
        <w:tc>
          <w:tcPr>
            <w:tcW w:w="348"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3</w:t>
            </w:r>
          </w:p>
        </w:tc>
        <w:tc>
          <w:tcPr>
            <w:tcW w:w="1110" w:type="dxa"/>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r>
      <w:tr w:rsidR="00347A63">
        <w:trPr>
          <w:trHeight w:hRule="exact" w:val="3067"/>
          <w:jc w:val="center"/>
        </w:trPr>
        <w:tc>
          <w:tcPr>
            <w:tcW w:w="637"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01"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9"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28"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4"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绩效目标合理性</w:t>
            </w:r>
          </w:p>
        </w:tc>
        <w:tc>
          <w:tcPr>
            <w:tcW w:w="564"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4</w:t>
            </w:r>
          </w:p>
        </w:tc>
        <w:tc>
          <w:tcPr>
            <w:tcW w:w="1857" w:type="dxa"/>
            <w:tcMar>
              <w:top w:w="0" w:type="dxa"/>
              <w:left w:w="57" w:type="dxa"/>
              <w:bottom w:w="0" w:type="dxa"/>
              <w:right w:w="57" w:type="dxa"/>
            </w:tcMar>
            <w:vAlign w:val="center"/>
          </w:tcPr>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项目所设定的绩效目标是否依据充分，是否符合客观实际，用以反映和考核项目绩效目标与项目实施的相符情况。</w:t>
            </w:r>
          </w:p>
        </w:tc>
        <w:tc>
          <w:tcPr>
            <w:tcW w:w="2993" w:type="dxa"/>
            <w:tcMar>
              <w:top w:w="0" w:type="dxa"/>
              <w:left w:w="57" w:type="dxa"/>
              <w:bottom w:w="0" w:type="dxa"/>
              <w:right w:w="57" w:type="dxa"/>
            </w:tcMar>
            <w:vAlign w:val="center"/>
          </w:tcPr>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①符合国家相关法律法规、国民经济发展规划和党委政府决策记1分，否则不记分；</w:t>
            </w:r>
          </w:p>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②与项目实施单位或委托单位职责密切相关记1分，否则不记分；</w:t>
            </w:r>
          </w:p>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③项目能促进事业发展所需要记1分，否则不记分；</w:t>
            </w:r>
          </w:p>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④项目预期产出效益和效果符合正常的业绩水平记1分，否则不记分。</w:t>
            </w:r>
          </w:p>
        </w:tc>
        <w:tc>
          <w:tcPr>
            <w:tcW w:w="348"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4</w:t>
            </w:r>
          </w:p>
        </w:tc>
        <w:tc>
          <w:tcPr>
            <w:tcW w:w="1110" w:type="dxa"/>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r>
      <w:tr w:rsidR="00347A63">
        <w:trPr>
          <w:trHeight w:hRule="exact" w:val="3084"/>
          <w:jc w:val="center"/>
        </w:trPr>
        <w:tc>
          <w:tcPr>
            <w:tcW w:w="637"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01"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9"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28"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4"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绩效指标明确性</w:t>
            </w:r>
          </w:p>
        </w:tc>
        <w:tc>
          <w:tcPr>
            <w:tcW w:w="564"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3</w:t>
            </w:r>
          </w:p>
        </w:tc>
        <w:tc>
          <w:tcPr>
            <w:tcW w:w="1857" w:type="dxa"/>
            <w:tcMar>
              <w:top w:w="0" w:type="dxa"/>
              <w:left w:w="57" w:type="dxa"/>
              <w:bottom w:w="0" w:type="dxa"/>
              <w:right w:w="57" w:type="dxa"/>
            </w:tcMar>
            <w:vAlign w:val="center"/>
          </w:tcPr>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依据绩效目标设定的绩效指标是否清晰、细化、可衡量等，用以反映和考核项目绩效目标的明细化情况。</w:t>
            </w:r>
          </w:p>
        </w:tc>
        <w:tc>
          <w:tcPr>
            <w:tcW w:w="2993" w:type="dxa"/>
            <w:tcMar>
              <w:top w:w="0" w:type="dxa"/>
              <w:left w:w="57" w:type="dxa"/>
              <w:bottom w:w="0" w:type="dxa"/>
              <w:right w:w="57" w:type="dxa"/>
            </w:tcMar>
            <w:vAlign w:val="center"/>
          </w:tcPr>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①将项目绩效目标细化分解为具体的绩效指标记1分，否则不记分；</w:t>
            </w:r>
          </w:p>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②目标能通过清晰、可衡量的指标值予以体现记1分，否则不记分；</w:t>
            </w:r>
          </w:p>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③与项目年度任务数或计划数相对应记0.5分，否则不记分；</w:t>
            </w:r>
          </w:p>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④与预算确定的项目投资额或资金量相匹配记0.5分，否则不记分。</w:t>
            </w:r>
          </w:p>
        </w:tc>
        <w:tc>
          <w:tcPr>
            <w:tcW w:w="348"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3</w:t>
            </w:r>
          </w:p>
        </w:tc>
        <w:tc>
          <w:tcPr>
            <w:tcW w:w="1110" w:type="dxa"/>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r>
      <w:tr w:rsidR="00347A63">
        <w:trPr>
          <w:trHeight w:hRule="exact" w:val="1037"/>
          <w:jc w:val="center"/>
        </w:trPr>
        <w:tc>
          <w:tcPr>
            <w:tcW w:w="637"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01"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9" w:type="dxa"/>
            <w:vMerge w:val="restart"/>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资金落实</w:t>
            </w:r>
          </w:p>
        </w:tc>
        <w:tc>
          <w:tcPr>
            <w:tcW w:w="528" w:type="dxa"/>
            <w:vMerge w:val="restart"/>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w:t>
            </w:r>
          </w:p>
        </w:tc>
        <w:tc>
          <w:tcPr>
            <w:tcW w:w="584"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资金到位率</w:t>
            </w:r>
          </w:p>
        </w:tc>
        <w:tc>
          <w:tcPr>
            <w:tcW w:w="564"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c>
          <w:tcPr>
            <w:tcW w:w="1857" w:type="dxa"/>
            <w:tcMar>
              <w:top w:w="0" w:type="dxa"/>
              <w:left w:w="57" w:type="dxa"/>
              <w:bottom w:w="0" w:type="dxa"/>
              <w:right w:w="57" w:type="dxa"/>
            </w:tcMar>
            <w:vAlign w:val="center"/>
          </w:tcPr>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资金到位率＝（实际到位资金/计划投入资金）×100%</w:t>
            </w:r>
          </w:p>
        </w:tc>
        <w:tc>
          <w:tcPr>
            <w:tcW w:w="2993" w:type="dxa"/>
            <w:tcMar>
              <w:top w:w="0" w:type="dxa"/>
              <w:left w:w="57" w:type="dxa"/>
              <w:bottom w:w="0" w:type="dxa"/>
              <w:right w:w="57" w:type="dxa"/>
            </w:tcMar>
            <w:vAlign w:val="center"/>
          </w:tcPr>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资金足额到位记5分，未足额到位按比例计分。</w:t>
            </w:r>
          </w:p>
        </w:tc>
        <w:tc>
          <w:tcPr>
            <w:tcW w:w="348"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c>
          <w:tcPr>
            <w:tcW w:w="1110" w:type="dxa"/>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r>
      <w:tr w:rsidR="00347A63">
        <w:trPr>
          <w:trHeight w:hRule="exact" w:val="1203"/>
          <w:jc w:val="center"/>
        </w:trPr>
        <w:tc>
          <w:tcPr>
            <w:tcW w:w="637"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01"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9"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28"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4"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到位及时率</w:t>
            </w:r>
          </w:p>
        </w:tc>
        <w:tc>
          <w:tcPr>
            <w:tcW w:w="564"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c>
          <w:tcPr>
            <w:tcW w:w="1857" w:type="dxa"/>
            <w:tcMar>
              <w:top w:w="0" w:type="dxa"/>
              <w:left w:w="57" w:type="dxa"/>
              <w:bottom w:w="0" w:type="dxa"/>
              <w:right w:w="57" w:type="dxa"/>
            </w:tcMar>
            <w:vAlign w:val="center"/>
          </w:tcPr>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到位及时率＝（及时到位资金/应到位资金）×100%</w:t>
            </w:r>
          </w:p>
        </w:tc>
        <w:tc>
          <w:tcPr>
            <w:tcW w:w="2993" w:type="dxa"/>
            <w:tcMar>
              <w:top w:w="0" w:type="dxa"/>
              <w:left w:w="57" w:type="dxa"/>
              <w:bottom w:w="0" w:type="dxa"/>
              <w:right w:w="57" w:type="dxa"/>
            </w:tcMar>
            <w:vAlign w:val="center"/>
          </w:tcPr>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资金按时到位记5分，未按时按比例计分。</w:t>
            </w:r>
          </w:p>
        </w:tc>
        <w:tc>
          <w:tcPr>
            <w:tcW w:w="348"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c>
          <w:tcPr>
            <w:tcW w:w="1110" w:type="dxa"/>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r>
      <w:tr w:rsidR="00347A63">
        <w:trPr>
          <w:trHeight w:hRule="exact" w:val="1697"/>
          <w:jc w:val="center"/>
        </w:trPr>
        <w:tc>
          <w:tcPr>
            <w:tcW w:w="637" w:type="dxa"/>
            <w:vMerge w:val="restart"/>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lastRenderedPageBreak/>
              <w:t>过</w:t>
            </w:r>
          </w:p>
          <w:p w:rsidR="00347A63" w:rsidRDefault="00347A63">
            <w:pPr>
              <w:widowControl/>
              <w:jc w:val="center"/>
              <w:textAlignment w:val="center"/>
              <w:rPr>
                <w:rFonts w:asciiTheme="minorEastAsia" w:eastAsiaTheme="minorEastAsia" w:hAnsiTheme="minorEastAsia" w:cstheme="minorEastAsia"/>
                <w:color w:val="000000" w:themeColor="text1"/>
                <w:kern w:val="0"/>
                <w:szCs w:val="21"/>
              </w:rPr>
            </w:pPr>
          </w:p>
          <w:p w:rsidR="00347A63" w:rsidRDefault="00347A63">
            <w:pPr>
              <w:widowControl/>
              <w:jc w:val="center"/>
              <w:textAlignment w:val="center"/>
              <w:rPr>
                <w:rFonts w:asciiTheme="minorEastAsia" w:eastAsiaTheme="minorEastAsia" w:hAnsiTheme="minorEastAsia" w:cstheme="minorEastAsia"/>
                <w:color w:val="000000" w:themeColor="text1"/>
                <w:kern w:val="0"/>
                <w:szCs w:val="21"/>
              </w:rPr>
            </w:pPr>
          </w:p>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程</w:t>
            </w:r>
          </w:p>
        </w:tc>
        <w:tc>
          <w:tcPr>
            <w:tcW w:w="601" w:type="dxa"/>
            <w:vMerge w:val="restart"/>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30</w:t>
            </w:r>
          </w:p>
        </w:tc>
        <w:tc>
          <w:tcPr>
            <w:tcW w:w="589" w:type="dxa"/>
            <w:vMerge w:val="restart"/>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业务管理</w:t>
            </w:r>
          </w:p>
        </w:tc>
        <w:tc>
          <w:tcPr>
            <w:tcW w:w="528" w:type="dxa"/>
            <w:vMerge w:val="restart"/>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15</w:t>
            </w:r>
          </w:p>
        </w:tc>
        <w:tc>
          <w:tcPr>
            <w:tcW w:w="584"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管理制度健全性</w:t>
            </w:r>
          </w:p>
        </w:tc>
        <w:tc>
          <w:tcPr>
            <w:tcW w:w="564"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c>
          <w:tcPr>
            <w:tcW w:w="1857" w:type="dxa"/>
            <w:tcMar>
              <w:top w:w="0" w:type="dxa"/>
              <w:left w:w="57" w:type="dxa"/>
              <w:bottom w:w="0" w:type="dxa"/>
              <w:right w:w="57" w:type="dxa"/>
            </w:tcMar>
            <w:vAlign w:val="center"/>
          </w:tcPr>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项目实施单位的业务管理制度是否健全，用以反映和考核业务管理制度对项目顺利实施的保障情况。</w:t>
            </w:r>
          </w:p>
        </w:tc>
        <w:tc>
          <w:tcPr>
            <w:tcW w:w="2993" w:type="dxa"/>
            <w:tcMar>
              <w:top w:w="0" w:type="dxa"/>
              <w:left w:w="57" w:type="dxa"/>
              <w:bottom w:w="0" w:type="dxa"/>
              <w:right w:w="57" w:type="dxa"/>
            </w:tcMar>
            <w:vAlign w:val="center"/>
          </w:tcPr>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①已制定或具有相应的业务管理制度记2.5分，不制定不记分；</w:t>
            </w:r>
          </w:p>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②业务管理制度合法、合规、完整记2.5分；不合法、不合规、不完整不记分。</w:t>
            </w:r>
          </w:p>
        </w:tc>
        <w:tc>
          <w:tcPr>
            <w:tcW w:w="348"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c>
          <w:tcPr>
            <w:tcW w:w="1110" w:type="dxa"/>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r>
      <w:tr w:rsidR="00347A63">
        <w:trPr>
          <w:trHeight w:hRule="exact" w:val="1334"/>
          <w:jc w:val="center"/>
        </w:trPr>
        <w:tc>
          <w:tcPr>
            <w:tcW w:w="637"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01"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9"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28"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4"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制度执行有效性</w:t>
            </w:r>
          </w:p>
        </w:tc>
        <w:tc>
          <w:tcPr>
            <w:tcW w:w="564"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c>
          <w:tcPr>
            <w:tcW w:w="1857" w:type="dxa"/>
            <w:tcMar>
              <w:top w:w="0" w:type="dxa"/>
              <w:left w:w="57" w:type="dxa"/>
              <w:bottom w:w="0" w:type="dxa"/>
              <w:right w:w="57" w:type="dxa"/>
            </w:tcMar>
            <w:vAlign w:val="center"/>
          </w:tcPr>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项目实施是否符合相关业务管理规定，用以反映和考核业务管理制度的有效执行情况。</w:t>
            </w:r>
          </w:p>
        </w:tc>
        <w:tc>
          <w:tcPr>
            <w:tcW w:w="2993" w:type="dxa"/>
            <w:tcMar>
              <w:top w:w="0" w:type="dxa"/>
              <w:left w:w="57" w:type="dxa"/>
              <w:bottom w:w="0" w:type="dxa"/>
              <w:right w:w="57" w:type="dxa"/>
            </w:tcMar>
            <w:vAlign w:val="center"/>
          </w:tcPr>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遵守相关法律法规和业务管理规定记5分，否则不记分。</w:t>
            </w:r>
          </w:p>
        </w:tc>
        <w:tc>
          <w:tcPr>
            <w:tcW w:w="348"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4</w:t>
            </w:r>
          </w:p>
        </w:tc>
        <w:tc>
          <w:tcPr>
            <w:tcW w:w="1110" w:type="dxa"/>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r>
      <w:tr w:rsidR="00347A63">
        <w:trPr>
          <w:trHeight w:hRule="exact" w:val="1975"/>
          <w:jc w:val="center"/>
        </w:trPr>
        <w:tc>
          <w:tcPr>
            <w:tcW w:w="637"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01"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9"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28"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4"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项目质量可控性</w:t>
            </w:r>
          </w:p>
        </w:tc>
        <w:tc>
          <w:tcPr>
            <w:tcW w:w="564"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c>
          <w:tcPr>
            <w:tcW w:w="1857" w:type="dxa"/>
            <w:tcMar>
              <w:top w:w="0" w:type="dxa"/>
              <w:left w:w="57" w:type="dxa"/>
              <w:bottom w:w="0" w:type="dxa"/>
              <w:right w:w="57" w:type="dxa"/>
            </w:tcMar>
            <w:vAlign w:val="center"/>
          </w:tcPr>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项目实施至位是否为达到项目质量要求而采取了必需的措施，用以反映和考核项目实施单位对项目质量的控制情况。</w:t>
            </w:r>
          </w:p>
        </w:tc>
        <w:tc>
          <w:tcPr>
            <w:tcW w:w="2993" w:type="dxa"/>
            <w:tcMar>
              <w:top w:w="0" w:type="dxa"/>
              <w:left w:w="57" w:type="dxa"/>
              <w:bottom w:w="0" w:type="dxa"/>
              <w:right w:w="57" w:type="dxa"/>
            </w:tcMar>
            <w:vAlign w:val="center"/>
          </w:tcPr>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①制定或有相应的项目质量要求或标准记2.5分，否则不记分；</w:t>
            </w:r>
          </w:p>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②采取了相应的项目质量检查、验收等必需的控制措施或手段记2.5分，否则不记分。</w:t>
            </w:r>
          </w:p>
        </w:tc>
        <w:tc>
          <w:tcPr>
            <w:tcW w:w="348"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c>
          <w:tcPr>
            <w:tcW w:w="1110" w:type="dxa"/>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r>
      <w:tr w:rsidR="00347A63">
        <w:trPr>
          <w:trHeight w:hRule="exact" w:val="1800"/>
          <w:jc w:val="center"/>
        </w:trPr>
        <w:tc>
          <w:tcPr>
            <w:tcW w:w="637"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01"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9" w:type="dxa"/>
            <w:vMerge w:val="restart"/>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财务管理</w:t>
            </w:r>
          </w:p>
        </w:tc>
        <w:tc>
          <w:tcPr>
            <w:tcW w:w="528" w:type="dxa"/>
            <w:vMerge w:val="restart"/>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15</w:t>
            </w:r>
          </w:p>
        </w:tc>
        <w:tc>
          <w:tcPr>
            <w:tcW w:w="584"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管理制度健全性</w:t>
            </w:r>
          </w:p>
        </w:tc>
        <w:tc>
          <w:tcPr>
            <w:tcW w:w="564"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c>
          <w:tcPr>
            <w:tcW w:w="1857" w:type="dxa"/>
            <w:tcMar>
              <w:top w:w="0" w:type="dxa"/>
              <w:left w:w="57" w:type="dxa"/>
              <w:bottom w:w="0" w:type="dxa"/>
              <w:right w:w="57" w:type="dxa"/>
            </w:tcMar>
            <w:vAlign w:val="center"/>
          </w:tcPr>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项目实施单位的财务制度是否健全，用以反映和考核财务管理制度对资金规范、安全运行的保障情况。</w:t>
            </w:r>
          </w:p>
        </w:tc>
        <w:tc>
          <w:tcPr>
            <w:tcW w:w="2993" w:type="dxa"/>
            <w:tcMar>
              <w:top w:w="0" w:type="dxa"/>
              <w:left w:w="57" w:type="dxa"/>
              <w:bottom w:w="0" w:type="dxa"/>
              <w:right w:w="57" w:type="dxa"/>
            </w:tcMar>
            <w:vAlign w:val="center"/>
          </w:tcPr>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①已制定或具有相应的项目资金管理办法记2.5分，否则不记分；</w:t>
            </w:r>
          </w:p>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②项目资金管理办法符合相关财务会计制定记2.5分，否则不记分。</w:t>
            </w:r>
          </w:p>
        </w:tc>
        <w:tc>
          <w:tcPr>
            <w:tcW w:w="348"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c>
          <w:tcPr>
            <w:tcW w:w="1110" w:type="dxa"/>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r>
      <w:tr w:rsidR="00347A63">
        <w:trPr>
          <w:trHeight w:hRule="exact" w:val="3603"/>
          <w:jc w:val="center"/>
        </w:trPr>
        <w:tc>
          <w:tcPr>
            <w:tcW w:w="637"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01"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9"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28"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4"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资金使用合规性</w:t>
            </w:r>
          </w:p>
        </w:tc>
        <w:tc>
          <w:tcPr>
            <w:tcW w:w="564"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c>
          <w:tcPr>
            <w:tcW w:w="1857" w:type="dxa"/>
            <w:tcMar>
              <w:top w:w="0" w:type="dxa"/>
              <w:left w:w="57" w:type="dxa"/>
              <w:bottom w:w="0" w:type="dxa"/>
              <w:right w:w="57" w:type="dxa"/>
            </w:tcMar>
            <w:vAlign w:val="center"/>
          </w:tcPr>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项目资金使用是否符合相关的财务管理制度规定，用以反映和考核项目资金的规范运行情况。</w:t>
            </w:r>
          </w:p>
        </w:tc>
        <w:tc>
          <w:tcPr>
            <w:tcW w:w="2993" w:type="dxa"/>
            <w:tcMar>
              <w:top w:w="0" w:type="dxa"/>
              <w:left w:w="57" w:type="dxa"/>
              <w:bottom w:w="0" w:type="dxa"/>
              <w:right w:w="57" w:type="dxa"/>
            </w:tcMar>
            <w:vAlign w:val="center"/>
          </w:tcPr>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①符合国家财经法规和财务管理制度以及有关专项资金管理办法的规定记1分,否则不记分；</w:t>
            </w:r>
          </w:p>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②资金的拨付有完整的审批程序和手续记1分,否则不记分；</w:t>
            </w:r>
          </w:p>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③是否存在支出依据不合规、虚列项目支出的情况；是否存在截留、挤占、挪用项目资金情况；是否存在超标准开支情况;资金管理、费用支出等制度是否健全，是否严格执行；会计核算是否规范(3分）</w:t>
            </w:r>
          </w:p>
        </w:tc>
        <w:tc>
          <w:tcPr>
            <w:tcW w:w="348"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c>
          <w:tcPr>
            <w:tcW w:w="1110" w:type="dxa"/>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r>
      <w:tr w:rsidR="00347A63">
        <w:trPr>
          <w:trHeight w:hRule="exact" w:val="1948"/>
          <w:jc w:val="center"/>
        </w:trPr>
        <w:tc>
          <w:tcPr>
            <w:tcW w:w="637"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01"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9"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28"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4"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财务监控有效性</w:t>
            </w:r>
          </w:p>
        </w:tc>
        <w:tc>
          <w:tcPr>
            <w:tcW w:w="564"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5</w:t>
            </w:r>
          </w:p>
        </w:tc>
        <w:tc>
          <w:tcPr>
            <w:tcW w:w="1857" w:type="dxa"/>
            <w:tcMar>
              <w:top w:w="0" w:type="dxa"/>
              <w:left w:w="57" w:type="dxa"/>
              <w:bottom w:w="0" w:type="dxa"/>
              <w:right w:w="57" w:type="dxa"/>
            </w:tcMar>
            <w:vAlign w:val="center"/>
          </w:tcPr>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项目单位是否为保障资金的安全、规范运行而采取了必要的监控措施，用以反映和考核项目单位对资金运行的控制情况。</w:t>
            </w:r>
          </w:p>
        </w:tc>
        <w:tc>
          <w:tcPr>
            <w:tcW w:w="2993" w:type="dxa"/>
            <w:tcMar>
              <w:top w:w="0" w:type="dxa"/>
              <w:left w:w="57" w:type="dxa"/>
              <w:bottom w:w="0" w:type="dxa"/>
              <w:right w:w="57" w:type="dxa"/>
            </w:tcMar>
            <w:vAlign w:val="center"/>
          </w:tcPr>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①已制定或具有相应的监控机制记2.5分，否则不记分；</w:t>
            </w:r>
          </w:p>
          <w:p w:rsidR="00347A63" w:rsidRDefault="00EA146C">
            <w:pPr>
              <w:widowControl/>
              <w:spacing w:line="260" w:lineRule="exact"/>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②采取了相应的财务检查等必要的监控措施或手段记2.5分，否则不记分。</w:t>
            </w:r>
          </w:p>
        </w:tc>
        <w:tc>
          <w:tcPr>
            <w:tcW w:w="348"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4</w:t>
            </w:r>
          </w:p>
        </w:tc>
        <w:tc>
          <w:tcPr>
            <w:tcW w:w="1110" w:type="dxa"/>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r>
      <w:tr w:rsidR="00347A63">
        <w:trPr>
          <w:trHeight w:hRule="exact" w:val="2242"/>
          <w:jc w:val="center"/>
        </w:trPr>
        <w:tc>
          <w:tcPr>
            <w:tcW w:w="637" w:type="dxa"/>
            <w:vMerge w:val="restart"/>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lastRenderedPageBreak/>
              <w:t>产</w:t>
            </w:r>
          </w:p>
          <w:p w:rsidR="00347A63" w:rsidRDefault="00347A63">
            <w:pPr>
              <w:widowControl/>
              <w:jc w:val="center"/>
              <w:textAlignment w:val="center"/>
              <w:rPr>
                <w:rFonts w:asciiTheme="minorEastAsia" w:eastAsiaTheme="minorEastAsia" w:hAnsiTheme="minorEastAsia" w:cstheme="minorEastAsia"/>
                <w:color w:val="000000" w:themeColor="text1"/>
                <w:kern w:val="0"/>
                <w:szCs w:val="21"/>
              </w:rPr>
            </w:pPr>
          </w:p>
          <w:p w:rsidR="00347A63" w:rsidRDefault="00347A63">
            <w:pPr>
              <w:widowControl/>
              <w:jc w:val="center"/>
              <w:textAlignment w:val="center"/>
              <w:rPr>
                <w:rFonts w:asciiTheme="minorEastAsia" w:eastAsiaTheme="minorEastAsia" w:hAnsiTheme="minorEastAsia" w:cstheme="minorEastAsia"/>
                <w:color w:val="000000" w:themeColor="text1"/>
                <w:kern w:val="0"/>
                <w:szCs w:val="21"/>
              </w:rPr>
            </w:pPr>
          </w:p>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出</w:t>
            </w:r>
          </w:p>
        </w:tc>
        <w:tc>
          <w:tcPr>
            <w:tcW w:w="601" w:type="dxa"/>
            <w:vMerge w:val="restart"/>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24</w:t>
            </w:r>
          </w:p>
        </w:tc>
        <w:tc>
          <w:tcPr>
            <w:tcW w:w="589" w:type="dxa"/>
            <w:vMerge w:val="restart"/>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项目产出</w:t>
            </w:r>
          </w:p>
        </w:tc>
        <w:tc>
          <w:tcPr>
            <w:tcW w:w="528" w:type="dxa"/>
            <w:vMerge w:val="restart"/>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24</w:t>
            </w:r>
          </w:p>
        </w:tc>
        <w:tc>
          <w:tcPr>
            <w:tcW w:w="584"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免费培训完成率</w:t>
            </w:r>
          </w:p>
        </w:tc>
        <w:tc>
          <w:tcPr>
            <w:tcW w:w="564"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8</w:t>
            </w:r>
          </w:p>
        </w:tc>
        <w:tc>
          <w:tcPr>
            <w:tcW w:w="1857" w:type="dxa"/>
            <w:tcMar>
              <w:top w:w="0" w:type="dxa"/>
              <w:left w:w="57" w:type="dxa"/>
              <w:bottom w:w="0" w:type="dxa"/>
              <w:right w:w="57" w:type="dxa"/>
            </w:tcMar>
            <w:vAlign w:val="center"/>
          </w:tcPr>
          <w:p w:rsidR="00347A63" w:rsidRDefault="00347A63">
            <w:pPr>
              <w:jc w:val="left"/>
              <w:rPr>
                <w:rFonts w:asciiTheme="minorEastAsia" w:eastAsiaTheme="minorEastAsia" w:hAnsiTheme="minorEastAsia" w:cstheme="minorEastAsia"/>
                <w:color w:val="000000" w:themeColor="text1"/>
                <w:szCs w:val="21"/>
              </w:rPr>
            </w:pPr>
          </w:p>
        </w:tc>
        <w:tc>
          <w:tcPr>
            <w:tcW w:w="2993"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达到绩效目标得4分，没达到目标每减少一个百分点扣0.1分。</w:t>
            </w:r>
          </w:p>
        </w:tc>
        <w:tc>
          <w:tcPr>
            <w:tcW w:w="348"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8</w:t>
            </w:r>
          </w:p>
        </w:tc>
        <w:tc>
          <w:tcPr>
            <w:tcW w:w="1110"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各类免费培训15期，共培训学员1810人次</w:t>
            </w:r>
          </w:p>
        </w:tc>
      </w:tr>
      <w:tr w:rsidR="00347A63">
        <w:trPr>
          <w:trHeight w:hRule="exact" w:val="5339"/>
          <w:jc w:val="center"/>
        </w:trPr>
        <w:tc>
          <w:tcPr>
            <w:tcW w:w="637"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01"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9"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28"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4"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免费开放率</w:t>
            </w:r>
          </w:p>
        </w:tc>
        <w:tc>
          <w:tcPr>
            <w:tcW w:w="564"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8</w:t>
            </w:r>
          </w:p>
        </w:tc>
        <w:tc>
          <w:tcPr>
            <w:tcW w:w="1857" w:type="dxa"/>
            <w:tcMar>
              <w:top w:w="0" w:type="dxa"/>
              <w:left w:w="57" w:type="dxa"/>
              <w:bottom w:w="0" w:type="dxa"/>
              <w:right w:w="57" w:type="dxa"/>
            </w:tcMar>
            <w:vAlign w:val="center"/>
          </w:tcPr>
          <w:p w:rsidR="00347A63" w:rsidRDefault="00347A63">
            <w:pPr>
              <w:jc w:val="left"/>
              <w:rPr>
                <w:rFonts w:asciiTheme="minorEastAsia" w:eastAsiaTheme="minorEastAsia" w:hAnsiTheme="minorEastAsia" w:cstheme="minorEastAsia"/>
                <w:color w:val="000000" w:themeColor="text1"/>
                <w:szCs w:val="21"/>
              </w:rPr>
            </w:pPr>
          </w:p>
        </w:tc>
        <w:tc>
          <w:tcPr>
            <w:tcW w:w="2993"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达到绩效目标得4分，没达到目标每减少一个百分点扣0.1分。</w:t>
            </w:r>
          </w:p>
        </w:tc>
        <w:tc>
          <w:tcPr>
            <w:tcW w:w="348"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8</w:t>
            </w:r>
          </w:p>
        </w:tc>
        <w:tc>
          <w:tcPr>
            <w:tcW w:w="1110"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音乐厅、舞蹈厅、器乐室共接待免费开放群众达6000余人次，非物质文化遗产展厅全年接待全县群众及外来游客达12000人次；</w:t>
            </w:r>
          </w:p>
        </w:tc>
      </w:tr>
      <w:tr w:rsidR="00347A63">
        <w:trPr>
          <w:trHeight w:hRule="exact" w:val="4231"/>
          <w:jc w:val="center"/>
        </w:trPr>
        <w:tc>
          <w:tcPr>
            <w:tcW w:w="637"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01"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9"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28"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4"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送戏下乡完成率</w:t>
            </w:r>
          </w:p>
        </w:tc>
        <w:tc>
          <w:tcPr>
            <w:tcW w:w="564"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8</w:t>
            </w:r>
          </w:p>
        </w:tc>
        <w:tc>
          <w:tcPr>
            <w:tcW w:w="1857" w:type="dxa"/>
            <w:tcMar>
              <w:top w:w="0" w:type="dxa"/>
              <w:left w:w="57" w:type="dxa"/>
              <w:bottom w:w="0" w:type="dxa"/>
              <w:right w:w="57" w:type="dxa"/>
            </w:tcMar>
            <w:vAlign w:val="center"/>
          </w:tcPr>
          <w:p w:rsidR="00347A63" w:rsidRDefault="00347A63">
            <w:pPr>
              <w:jc w:val="left"/>
              <w:rPr>
                <w:rFonts w:asciiTheme="minorEastAsia" w:eastAsiaTheme="minorEastAsia" w:hAnsiTheme="minorEastAsia" w:cstheme="minorEastAsia"/>
                <w:color w:val="000000" w:themeColor="text1"/>
                <w:szCs w:val="21"/>
              </w:rPr>
            </w:pPr>
          </w:p>
        </w:tc>
        <w:tc>
          <w:tcPr>
            <w:tcW w:w="2993"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达到绩效目标得4分，没达到目标每减少一个百分点扣0.1分。</w:t>
            </w:r>
          </w:p>
        </w:tc>
        <w:tc>
          <w:tcPr>
            <w:tcW w:w="348"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8</w:t>
            </w:r>
          </w:p>
        </w:tc>
        <w:tc>
          <w:tcPr>
            <w:tcW w:w="1110"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w:t>
            </w:r>
            <w:r>
              <w:rPr>
                <w:rStyle w:val="font51"/>
                <w:rFonts w:asciiTheme="minorEastAsia" w:eastAsiaTheme="minorEastAsia" w:hAnsiTheme="minorEastAsia" w:cstheme="minorEastAsia" w:hint="eastAsia"/>
                <w:color w:val="000000" w:themeColor="text1"/>
                <w:sz w:val="21"/>
                <w:szCs w:val="21"/>
              </w:rPr>
              <w:t>三下乡</w:t>
            </w:r>
            <w:r>
              <w:rPr>
                <w:rStyle w:val="font61"/>
                <w:rFonts w:asciiTheme="minorEastAsia" w:eastAsiaTheme="minorEastAsia" w:hAnsiTheme="minorEastAsia" w:cstheme="minorEastAsia" w:hint="eastAsia"/>
                <w:color w:val="000000" w:themeColor="text1"/>
                <w:sz w:val="21"/>
                <w:szCs w:val="21"/>
              </w:rPr>
              <w:t>”</w:t>
            </w:r>
            <w:r>
              <w:rPr>
                <w:rStyle w:val="font51"/>
                <w:rFonts w:asciiTheme="minorEastAsia" w:eastAsiaTheme="minorEastAsia" w:hAnsiTheme="minorEastAsia" w:cstheme="minorEastAsia" w:hint="eastAsia"/>
                <w:color w:val="000000" w:themeColor="text1"/>
                <w:sz w:val="21"/>
                <w:szCs w:val="21"/>
              </w:rPr>
              <w:t>文艺演出，演艺惠民送戏下乡40场，特困山区“戏曲下乡”118场，观众人数达10万人。</w:t>
            </w:r>
          </w:p>
        </w:tc>
      </w:tr>
      <w:tr w:rsidR="00347A63">
        <w:trPr>
          <w:trHeight w:hRule="exact" w:val="1101"/>
          <w:jc w:val="center"/>
        </w:trPr>
        <w:tc>
          <w:tcPr>
            <w:tcW w:w="637" w:type="dxa"/>
            <w:vMerge w:val="restart"/>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lastRenderedPageBreak/>
              <w:t>效</w:t>
            </w:r>
          </w:p>
          <w:p w:rsidR="00347A63" w:rsidRDefault="00347A63">
            <w:pPr>
              <w:widowControl/>
              <w:jc w:val="center"/>
              <w:textAlignment w:val="center"/>
              <w:rPr>
                <w:rFonts w:asciiTheme="minorEastAsia" w:eastAsiaTheme="minorEastAsia" w:hAnsiTheme="minorEastAsia" w:cstheme="minorEastAsia"/>
                <w:color w:val="000000" w:themeColor="text1"/>
                <w:kern w:val="0"/>
                <w:szCs w:val="21"/>
              </w:rPr>
            </w:pPr>
          </w:p>
          <w:p w:rsidR="00347A63" w:rsidRDefault="00347A63">
            <w:pPr>
              <w:widowControl/>
              <w:jc w:val="center"/>
              <w:textAlignment w:val="center"/>
              <w:rPr>
                <w:rFonts w:asciiTheme="minorEastAsia" w:eastAsiaTheme="minorEastAsia" w:hAnsiTheme="minorEastAsia" w:cstheme="minorEastAsia"/>
                <w:color w:val="000000" w:themeColor="text1"/>
                <w:kern w:val="0"/>
                <w:szCs w:val="21"/>
              </w:rPr>
            </w:pPr>
          </w:p>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果</w:t>
            </w:r>
          </w:p>
        </w:tc>
        <w:tc>
          <w:tcPr>
            <w:tcW w:w="601" w:type="dxa"/>
            <w:vMerge w:val="restart"/>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26</w:t>
            </w:r>
          </w:p>
        </w:tc>
        <w:tc>
          <w:tcPr>
            <w:tcW w:w="589" w:type="dxa"/>
            <w:vMerge w:val="restart"/>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项目效益</w:t>
            </w:r>
          </w:p>
        </w:tc>
        <w:tc>
          <w:tcPr>
            <w:tcW w:w="528" w:type="dxa"/>
            <w:vMerge w:val="restart"/>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26</w:t>
            </w:r>
          </w:p>
        </w:tc>
        <w:tc>
          <w:tcPr>
            <w:tcW w:w="584"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经济效益</w:t>
            </w:r>
          </w:p>
        </w:tc>
        <w:tc>
          <w:tcPr>
            <w:tcW w:w="564"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 xml:space="preserve">6 </w:t>
            </w:r>
          </w:p>
        </w:tc>
        <w:tc>
          <w:tcPr>
            <w:tcW w:w="1857"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结合调查问卷</w:t>
            </w:r>
          </w:p>
        </w:tc>
        <w:tc>
          <w:tcPr>
            <w:tcW w:w="2993"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100%为6分，每减少一个百分点扣0.2分。</w:t>
            </w:r>
          </w:p>
        </w:tc>
        <w:tc>
          <w:tcPr>
            <w:tcW w:w="348"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6</w:t>
            </w:r>
          </w:p>
        </w:tc>
        <w:tc>
          <w:tcPr>
            <w:tcW w:w="1110" w:type="dxa"/>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r>
      <w:tr w:rsidR="00347A63">
        <w:trPr>
          <w:trHeight w:hRule="exact" w:val="1160"/>
          <w:jc w:val="center"/>
        </w:trPr>
        <w:tc>
          <w:tcPr>
            <w:tcW w:w="637"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01"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9"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28"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4"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社会效益</w:t>
            </w:r>
          </w:p>
        </w:tc>
        <w:tc>
          <w:tcPr>
            <w:tcW w:w="564"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6</w:t>
            </w:r>
          </w:p>
        </w:tc>
        <w:tc>
          <w:tcPr>
            <w:tcW w:w="1857"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结合调查问卷</w:t>
            </w:r>
          </w:p>
        </w:tc>
        <w:tc>
          <w:tcPr>
            <w:tcW w:w="2993"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100%为6分，每减少一个百分点扣0.2分。</w:t>
            </w:r>
          </w:p>
        </w:tc>
        <w:tc>
          <w:tcPr>
            <w:tcW w:w="348"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6</w:t>
            </w:r>
          </w:p>
        </w:tc>
        <w:tc>
          <w:tcPr>
            <w:tcW w:w="1110" w:type="dxa"/>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r>
      <w:tr w:rsidR="00347A63">
        <w:trPr>
          <w:trHeight w:hRule="exact" w:val="2325"/>
          <w:jc w:val="center"/>
        </w:trPr>
        <w:tc>
          <w:tcPr>
            <w:tcW w:w="637"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01"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9"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28"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4"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可持续影响</w:t>
            </w:r>
          </w:p>
        </w:tc>
        <w:tc>
          <w:tcPr>
            <w:tcW w:w="564"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6</w:t>
            </w:r>
          </w:p>
        </w:tc>
        <w:tc>
          <w:tcPr>
            <w:tcW w:w="1857"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项目产出能持续运用；项目运行所依赖的政策制度能持续执行</w:t>
            </w:r>
          </w:p>
        </w:tc>
        <w:tc>
          <w:tcPr>
            <w:tcW w:w="2993"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结合调查问卷了解农民继续参合意愿、参合增长率计算评分，继续参合意愿＝调查样本中愿意继续参合对象/被调查对象总量*100%（3分），参合增长率＝（本年参合率-上年参合率）/上年参合率*100%（3分）。</w:t>
            </w:r>
          </w:p>
        </w:tc>
        <w:tc>
          <w:tcPr>
            <w:tcW w:w="348"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6</w:t>
            </w:r>
          </w:p>
        </w:tc>
        <w:tc>
          <w:tcPr>
            <w:tcW w:w="1110" w:type="dxa"/>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r>
      <w:tr w:rsidR="00347A63">
        <w:trPr>
          <w:trHeight w:hRule="exact" w:val="2081"/>
          <w:jc w:val="center"/>
        </w:trPr>
        <w:tc>
          <w:tcPr>
            <w:tcW w:w="637"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601"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9"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28" w:type="dxa"/>
            <w:vMerge/>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84"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公众满意度</w:t>
            </w:r>
          </w:p>
        </w:tc>
        <w:tc>
          <w:tcPr>
            <w:tcW w:w="564"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8</w:t>
            </w:r>
          </w:p>
        </w:tc>
        <w:tc>
          <w:tcPr>
            <w:tcW w:w="1857"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受益群体政策知晓度（问卷调查）工作的满意度（问卷调查）是否有效投诉案例</w:t>
            </w:r>
          </w:p>
        </w:tc>
        <w:tc>
          <w:tcPr>
            <w:tcW w:w="2993" w:type="dxa"/>
            <w:tcMar>
              <w:top w:w="0" w:type="dxa"/>
              <w:left w:w="57" w:type="dxa"/>
              <w:bottom w:w="0" w:type="dxa"/>
              <w:right w:w="57" w:type="dxa"/>
            </w:tcMar>
            <w:vAlign w:val="center"/>
          </w:tcPr>
          <w:p w:rsidR="00347A63" w:rsidRDefault="00EA146C">
            <w:pPr>
              <w:widowControl/>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受益群体政策知晓度＝知晓对象/被调查对象*100%（3分）；受益群体对新农合医疗补助工作的满意度＝满意对象/被调查对象*100%（3分）；无有效投诉案例发生（2分）</w:t>
            </w:r>
          </w:p>
        </w:tc>
        <w:tc>
          <w:tcPr>
            <w:tcW w:w="348"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8</w:t>
            </w:r>
          </w:p>
        </w:tc>
        <w:tc>
          <w:tcPr>
            <w:tcW w:w="1110" w:type="dxa"/>
            <w:tcMar>
              <w:top w:w="0" w:type="dxa"/>
              <w:left w:w="57" w:type="dxa"/>
              <w:bottom w:w="0" w:type="dxa"/>
              <w:right w:w="57" w:type="dxa"/>
            </w:tcMar>
            <w:vAlign w:val="center"/>
          </w:tcPr>
          <w:p w:rsidR="00347A63" w:rsidRDefault="00347A63">
            <w:pPr>
              <w:rPr>
                <w:rFonts w:asciiTheme="minorEastAsia" w:eastAsiaTheme="minorEastAsia" w:hAnsiTheme="minorEastAsia" w:cstheme="minorEastAsia"/>
                <w:color w:val="000000" w:themeColor="text1"/>
                <w:szCs w:val="21"/>
              </w:rPr>
            </w:pPr>
          </w:p>
        </w:tc>
      </w:tr>
      <w:tr w:rsidR="00347A63">
        <w:trPr>
          <w:trHeight w:val="510"/>
          <w:jc w:val="center"/>
        </w:trPr>
        <w:tc>
          <w:tcPr>
            <w:tcW w:w="637"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总分</w:t>
            </w:r>
          </w:p>
        </w:tc>
        <w:tc>
          <w:tcPr>
            <w:tcW w:w="601"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100</w:t>
            </w:r>
          </w:p>
        </w:tc>
        <w:tc>
          <w:tcPr>
            <w:tcW w:w="589" w:type="dxa"/>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28"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100</w:t>
            </w:r>
          </w:p>
        </w:tc>
        <w:tc>
          <w:tcPr>
            <w:tcW w:w="584" w:type="dxa"/>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564"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100</w:t>
            </w:r>
          </w:p>
        </w:tc>
        <w:tc>
          <w:tcPr>
            <w:tcW w:w="1857" w:type="dxa"/>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2993" w:type="dxa"/>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c>
          <w:tcPr>
            <w:tcW w:w="348" w:type="dxa"/>
            <w:tcMar>
              <w:top w:w="0" w:type="dxa"/>
              <w:left w:w="57" w:type="dxa"/>
              <w:bottom w:w="0" w:type="dxa"/>
              <w:right w:w="57" w:type="dxa"/>
            </w:tcMar>
            <w:vAlign w:val="center"/>
          </w:tcPr>
          <w:p w:rsidR="00347A63" w:rsidRDefault="00EA146C">
            <w:pPr>
              <w:widowControl/>
              <w:jc w:val="center"/>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98</w:t>
            </w:r>
          </w:p>
        </w:tc>
        <w:tc>
          <w:tcPr>
            <w:tcW w:w="1110" w:type="dxa"/>
            <w:tcMar>
              <w:top w:w="0" w:type="dxa"/>
              <w:left w:w="57" w:type="dxa"/>
              <w:bottom w:w="0" w:type="dxa"/>
              <w:right w:w="57" w:type="dxa"/>
            </w:tcMar>
            <w:vAlign w:val="center"/>
          </w:tcPr>
          <w:p w:rsidR="00347A63" w:rsidRDefault="00347A63">
            <w:pPr>
              <w:jc w:val="center"/>
              <w:rPr>
                <w:rFonts w:asciiTheme="minorEastAsia" w:eastAsiaTheme="minorEastAsia" w:hAnsiTheme="minorEastAsia" w:cstheme="minorEastAsia"/>
                <w:color w:val="000000" w:themeColor="text1"/>
                <w:szCs w:val="21"/>
              </w:rPr>
            </w:pPr>
          </w:p>
        </w:tc>
      </w:tr>
    </w:tbl>
    <w:p w:rsidR="00347A63" w:rsidRDefault="00EA146C">
      <w:pP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br w:type="page"/>
      </w:r>
    </w:p>
    <w:p w:rsidR="00347A63" w:rsidRDefault="00EA146C">
      <w:pPr>
        <w:pStyle w:val="2"/>
        <w:spacing w:before="0" w:beforeAutospacing="0" w:after="0" w:afterAutospacing="0" w:line="600" w:lineRule="exact"/>
        <w:rPr>
          <w:rFonts w:ascii="仿宋_GB2312" w:eastAsia="仿宋_GB2312" w:hAnsi="仿宋_GB2312" w:cs="仿宋_GB2312"/>
          <w:b w:val="0"/>
          <w:bCs w:val="0"/>
          <w:color w:val="000000" w:themeColor="text1"/>
          <w:sz w:val="32"/>
          <w:szCs w:val="32"/>
        </w:rPr>
      </w:pPr>
      <w:r>
        <w:rPr>
          <w:rFonts w:ascii="仿宋_GB2312" w:eastAsia="仿宋_GB2312" w:hAnsi="仿宋_GB2312" w:cs="仿宋_GB2312" w:hint="eastAsia"/>
          <w:b w:val="0"/>
          <w:bCs w:val="0"/>
          <w:color w:val="000000" w:themeColor="text1"/>
          <w:sz w:val="32"/>
          <w:szCs w:val="32"/>
        </w:rPr>
        <w:lastRenderedPageBreak/>
        <w:t>附件3：</w:t>
      </w:r>
    </w:p>
    <w:p w:rsidR="00347A63" w:rsidRDefault="00347A63">
      <w:pPr>
        <w:autoSpaceDN w:val="0"/>
        <w:spacing w:line="600" w:lineRule="exact"/>
        <w:jc w:val="center"/>
        <w:rPr>
          <w:rFonts w:ascii="方正小标宋简体" w:eastAsia="方正小标宋简体" w:hAnsi="方正小标宋简体" w:cs="方正小标宋简体"/>
          <w:color w:val="000000" w:themeColor="text1"/>
          <w:sz w:val="44"/>
          <w:szCs w:val="44"/>
        </w:rPr>
      </w:pPr>
    </w:p>
    <w:p w:rsidR="00347A63" w:rsidRDefault="00EA146C">
      <w:pPr>
        <w:autoSpaceDN w:val="0"/>
        <w:spacing w:line="6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芷江侗族自治县文化旅游广电体育局</w:t>
      </w:r>
    </w:p>
    <w:p w:rsidR="00347A63" w:rsidRDefault="00EA146C">
      <w:pPr>
        <w:spacing w:line="6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少数民族事业补助费专项资金绩效报告</w:t>
      </w:r>
    </w:p>
    <w:p w:rsidR="00347A63" w:rsidRDefault="00347A63">
      <w:pPr>
        <w:spacing w:line="600" w:lineRule="exact"/>
        <w:ind w:firstLineChars="200" w:firstLine="640"/>
        <w:rPr>
          <w:rFonts w:ascii="黑体" w:eastAsia="黑体"/>
          <w:color w:val="000000" w:themeColor="text1"/>
          <w:sz w:val="32"/>
          <w:szCs w:val="32"/>
        </w:rPr>
      </w:pPr>
    </w:p>
    <w:p w:rsidR="00347A63" w:rsidRDefault="00EA146C">
      <w:pPr>
        <w:widowControl/>
        <w:spacing w:line="600" w:lineRule="exact"/>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pacing w:val="-2"/>
          <w:sz w:val="32"/>
          <w:szCs w:val="32"/>
        </w:rPr>
        <w:t>根据《预算法》有关“各级政府、各部门、各单位应当对预算支出情况开展绩效评价”的规定及县财政局《关于开展2019年度财政资金绩效评价工作的通知》（芷财绩[2020]1号）文件精神，我单位对部门专项支出进行了绩效评价,现将有关情况报告如下：</w:t>
      </w:r>
    </w:p>
    <w:p w:rsidR="00347A63" w:rsidRDefault="00EA146C">
      <w:pPr>
        <w:autoSpaceDN w:val="0"/>
        <w:spacing w:line="600" w:lineRule="exact"/>
        <w:ind w:firstLineChars="200" w:firstLine="64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一、工作简述</w:t>
      </w:r>
    </w:p>
    <w:p w:rsidR="00347A63" w:rsidRDefault="00EA146C" w:rsidP="00352FA3">
      <w:pPr>
        <w:autoSpaceDN w:val="0"/>
        <w:spacing w:line="600" w:lineRule="exact"/>
        <w:ind w:firstLineChars="200" w:firstLine="640"/>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1.评价工作简述</w:t>
      </w:r>
    </w:p>
    <w:p w:rsidR="00347A63" w:rsidRDefault="00EA146C">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组织开展民族团结进步创建活动，加强与各民族地区的联系和交往，参与协调维护民族地区社会稳定工作，组织和承办全县民族团结进步表彰活动，参与少数民族人才队伍建设规划的制订和实施工作，协助有关部门做好少数民族干部的培养教育和推荐使用工作。依法管理全县宗教事务，负责全县宗教活动场所和宗教职业人员登记，年检报批工作，协助处理宗教方面的矛盾、纠纷和突发事件以及影响社会安全的宗教问题。</w:t>
      </w:r>
    </w:p>
    <w:p w:rsidR="00347A63" w:rsidRDefault="00EA146C" w:rsidP="00352FA3">
      <w:pPr>
        <w:autoSpaceDN w:val="0"/>
        <w:spacing w:line="600" w:lineRule="exact"/>
        <w:ind w:firstLineChars="200" w:firstLine="640"/>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2.评价对象概况</w:t>
      </w:r>
    </w:p>
    <w:p w:rsidR="00347A63" w:rsidRDefault="00EA146C">
      <w:pPr>
        <w:autoSpaceDN w:val="0"/>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根据文件要求，绩效评价对象为2019年少数民族事业补助费专项资金36万元，实际支出36万元。</w:t>
      </w:r>
    </w:p>
    <w:p w:rsidR="00347A63" w:rsidRDefault="00EA146C">
      <w:pPr>
        <w:autoSpaceDN w:val="0"/>
        <w:spacing w:line="600" w:lineRule="exact"/>
        <w:ind w:firstLineChars="200" w:firstLine="64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lastRenderedPageBreak/>
        <w:t>二、绩效目标及其实现程度</w:t>
      </w:r>
    </w:p>
    <w:p w:rsidR="00347A63" w:rsidRDefault="00EA146C">
      <w:pPr>
        <w:autoSpaceDN w:val="0"/>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2019年少数民族事业补助费专项资金</w:t>
      </w:r>
    </w:p>
    <w:p w:rsidR="00347A63" w:rsidRDefault="00EA146C" w:rsidP="00352FA3">
      <w:pPr>
        <w:autoSpaceDN w:val="0"/>
        <w:spacing w:line="600" w:lineRule="exact"/>
        <w:ind w:firstLineChars="200" w:firstLine="640"/>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1.绩效目标情况</w:t>
      </w:r>
    </w:p>
    <w:p w:rsidR="00347A63" w:rsidRDefault="00EA146C">
      <w:pPr>
        <w:autoSpaceDN w:val="0"/>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bCs/>
          <w:color w:val="000000" w:themeColor="text1"/>
          <w:sz w:val="32"/>
          <w:szCs w:val="32"/>
        </w:rPr>
        <w:t>绩效目标：保证民族工作顺利进行，宗教工作稳定平安。保护和传成民族文化，做好高校招生享受民族优惠政策考生资格审核工作，</w:t>
      </w:r>
      <w:r>
        <w:rPr>
          <w:rFonts w:ascii="仿宋_GB2312" w:eastAsia="仿宋_GB2312" w:hAnsi="仿宋_GB2312" w:cs="仿宋_GB2312" w:hint="eastAsia"/>
          <w:color w:val="000000" w:themeColor="text1"/>
          <w:sz w:val="32"/>
          <w:szCs w:val="32"/>
        </w:rPr>
        <w:t>发展我县民族事业工作，保护和传承民族文化，丰富少数民族业余文化生活。</w:t>
      </w:r>
      <w:r>
        <w:rPr>
          <w:rFonts w:ascii="仿宋_GB2312" w:eastAsia="仿宋_GB2312" w:hAnsi="仿宋_GB2312" w:cs="仿宋_GB2312" w:hint="eastAsia"/>
          <w:bCs/>
          <w:color w:val="000000" w:themeColor="text1"/>
          <w:sz w:val="32"/>
          <w:szCs w:val="32"/>
        </w:rPr>
        <w:t>让</w:t>
      </w:r>
      <w:r>
        <w:rPr>
          <w:rFonts w:ascii="仿宋_GB2312" w:eastAsia="仿宋_GB2312" w:hAnsi="仿宋_GB2312" w:cs="仿宋_GB2312" w:hint="eastAsia"/>
          <w:color w:val="000000" w:themeColor="text1"/>
          <w:sz w:val="32"/>
          <w:szCs w:val="32"/>
        </w:rPr>
        <w:t>芷江民族工作上新台阶。</w:t>
      </w:r>
    </w:p>
    <w:p w:rsidR="00347A63" w:rsidRDefault="00EA146C" w:rsidP="00352FA3">
      <w:pPr>
        <w:autoSpaceDN w:val="0"/>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目标调整及使用情况：</w:t>
      </w:r>
      <w:r>
        <w:rPr>
          <w:rFonts w:ascii="仿宋_GB2312" w:eastAsia="仿宋_GB2312" w:hAnsi="仿宋_GB2312" w:cs="仿宋_GB2312" w:hint="eastAsia"/>
          <w:color w:val="000000" w:themeColor="text1"/>
          <w:sz w:val="32"/>
          <w:szCs w:val="32"/>
        </w:rPr>
        <w:t>2019年年初预算民族专项工作经费36万元。全年实际支出36万元。完成目标任务的100%。</w:t>
      </w:r>
    </w:p>
    <w:p w:rsidR="00347A63" w:rsidRDefault="00EA146C" w:rsidP="00352FA3">
      <w:pPr>
        <w:autoSpaceDN w:val="0"/>
        <w:spacing w:line="600" w:lineRule="exact"/>
        <w:ind w:firstLineChars="200" w:firstLine="640"/>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2.为实现绩效目标所采取的主要措施</w:t>
      </w:r>
    </w:p>
    <w:p w:rsidR="00347A63" w:rsidRDefault="00EA146C">
      <w:pPr>
        <w:autoSpaceDN w:val="0"/>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年初制订责任措施，责任到人，制订实施方案，派专人到乡镇挖掘民族文化。为</w:t>
      </w:r>
      <w:r>
        <w:rPr>
          <w:rFonts w:ascii="仿宋_GB2312" w:eastAsia="仿宋_GB2312" w:hAnsi="仿宋_GB2312" w:cs="仿宋_GB2312" w:hint="eastAsia"/>
          <w:bCs/>
          <w:color w:val="000000" w:themeColor="text1"/>
          <w:sz w:val="32"/>
          <w:szCs w:val="32"/>
        </w:rPr>
        <w:t>做好高校招生享受民族优惠政策考生资格审核工作，协同教育局和县城高中学校做好衔接，</w:t>
      </w:r>
      <w:r>
        <w:rPr>
          <w:rFonts w:ascii="仿宋_GB2312" w:eastAsia="仿宋_GB2312" w:hAnsi="仿宋_GB2312" w:cs="仿宋_GB2312" w:hint="eastAsia"/>
          <w:color w:val="000000" w:themeColor="text1"/>
          <w:sz w:val="32"/>
          <w:szCs w:val="32"/>
        </w:rPr>
        <w:t>对少数民族文化进行保护和传成。</w:t>
      </w:r>
    </w:p>
    <w:p w:rsidR="00347A63" w:rsidRDefault="00EA146C" w:rsidP="00352FA3">
      <w:pPr>
        <w:autoSpaceDN w:val="0"/>
        <w:spacing w:line="600" w:lineRule="exact"/>
        <w:ind w:firstLineChars="200" w:firstLine="640"/>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3.绩效目标的实现程度</w:t>
      </w:r>
    </w:p>
    <w:p w:rsidR="00347A63" w:rsidRDefault="00EA146C">
      <w:pPr>
        <w:autoSpaceDN w:val="0"/>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bCs/>
          <w:color w:val="000000" w:themeColor="text1"/>
          <w:sz w:val="32"/>
          <w:szCs w:val="32"/>
        </w:rPr>
        <w:t>一是民族工作，重点宣传民族政策，发放民族政策资料38000份。对正规宗教场所的宗教人员进行学习1次，对宗教场所负责人进行培训2次。</w:t>
      </w:r>
      <w:r>
        <w:rPr>
          <w:rFonts w:ascii="仿宋_GB2312" w:eastAsia="仿宋_GB2312" w:hAnsi="仿宋_GB2312" w:cs="仿宋_GB2312" w:hint="eastAsia"/>
          <w:color w:val="000000" w:themeColor="text1"/>
          <w:spacing w:val="10"/>
          <w:sz w:val="32"/>
          <w:szCs w:val="32"/>
        </w:rPr>
        <w:t>传承民族文化2处，保护民族文化3处。</w:t>
      </w:r>
    </w:p>
    <w:p w:rsidR="00347A63" w:rsidRDefault="00EA146C">
      <w:pPr>
        <w:autoSpaceDN w:val="0"/>
        <w:spacing w:line="600" w:lineRule="exact"/>
        <w:ind w:firstLineChars="200" w:firstLine="64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三、评价结论</w:t>
      </w:r>
    </w:p>
    <w:p w:rsidR="00347A63" w:rsidRDefault="00EA146C">
      <w:pPr>
        <w:spacing w:line="600" w:lineRule="exact"/>
        <w:ind w:firstLineChars="200" w:firstLine="640"/>
        <w:rPr>
          <w:rFonts w:ascii="仿宋_GB2312" w:eastAsia="仿宋_GB2312" w:hAnsi="仿宋_GB2312" w:cs="仿宋_GB2312"/>
          <w:b/>
          <w:color w:val="000000" w:themeColor="text1"/>
          <w:sz w:val="32"/>
          <w:szCs w:val="32"/>
        </w:rPr>
      </w:pPr>
      <w:r>
        <w:rPr>
          <w:rFonts w:ascii="仿宋_GB2312" w:eastAsia="仿宋_GB2312" w:hAnsi="仿宋_GB2312" w:cs="仿宋_GB2312" w:hint="eastAsia"/>
          <w:color w:val="000000" w:themeColor="text1"/>
          <w:sz w:val="32"/>
          <w:szCs w:val="32"/>
        </w:rPr>
        <w:t>评价结论：综合2019年度县文化旅游广电体育局财政支出项目绩效评价情况，经评价，县文化旅游广电体育局财政支</w:t>
      </w:r>
      <w:r>
        <w:rPr>
          <w:rFonts w:ascii="仿宋_GB2312" w:eastAsia="仿宋_GB2312" w:hAnsi="仿宋_GB2312" w:cs="仿宋_GB2312" w:hint="eastAsia"/>
          <w:color w:val="000000" w:themeColor="text1"/>
          <w:sz w:val="32"/>
          <w:szCs w:val="32"/>
        </w:rPr>
        <w:lastRenderedPageBreak/>
        <w:t>出项目绩效得分98分，评价结果为优秀。</w:t>
      </w:r>
    </w:p>
    <w:p w:rsidR="00347A63" w:rsidRDefault="00EA146C">
      <w:pPr>
        <w:autoSpaceDN w:val="0"/>
        <w:spacing w:line="600" w:lineRule="exact"/>
        <w:ind w:firstLineChars="200" w:firstLine="64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四、存在问题、原因分析及建议</w:t>
      </w:r>
    </w:p>
    <w:p w:rsidR="00347A63" w:rsidRDefault="00EA146C" w:rsidP="00352FA3">
      <w:pPr>
        <w:autoSpaceDN w:val="0"/>
        <w:spacing w:line="600" w:lineRule="exact"/>
        <w:ind w:firstLineChars="200" w:firstLine="640"/>
        <w:rPr>
          <w:rFonts w:ascii="仿宋_GB2312" w:eastAsia="仿宋_GB2312" w:hAnsi="仿宋_GB2312" w:cs="仿宋_GB2312"/>
          <w:b/>
          <w:color w:val="000000" w:themeColor="text1"/>
          <w:sz w:val="32"/>
          <w:szCs w:val="32"/>
        </w:rPr>
      </w:pPr>
      <w:r>
        <w:rPr>
          <w:rFonts w:ascii="楷体_GB2312" w:eastAsia="楷体_GB2312" w:hAnsi="楷体_GB2312" w:cs="楷体_GB2312" w:hint="eastAsia"/>
          <w:b/>
          <w:bCs/>
          <w:color w:val="000000" w:themeColor="text1"/>
          <w:sz w:val="32"/>
          <w:szCs w:val="32"/>
        </w:rPr>
        <w:t>1.存在问题：</w:t>
      </w:r>
      <w:r>
        <w:rPr>
          <w:rFonts w:ascii="仿宋_GB2312" w:eastAsia="仿宋_GB2312" w:hAnsi="仿宋_GB2312" w:cs="仿宋_GB2312" w:hint="eastAsia"/>
          <w:color w:val="000000" w:themeColor="text1"/>
          <w:sz w:val="32"/>
          <w:szCs w:val="32"/>
        </w:rPr>
        <w:t>民族宗教工作责任大，任务重。管理状态，运转机制不太顺畅，倒致民族宗教工作压力大。</w:t>
      </w:r>
    </w:p>
    <w:p w:rsidR="00347A63" w:rsidRDefault="00EA146C" w:rsidP="00352FA3">
      <w:pPr>
        <w:autoSpaceDN w:val="0"/>
        <w:spacing w:line="60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楷体_GB2312" w:cs="楷体_GB2312" w:hint="eastAsia"/>
          <w:b/>
          <w:bCs/>
          <w:color w:val="000000" w:themeColor="text1"/>
          <w:sz w:val="32"/>
          <w:szCs w:val="32"/>
        </w:rPr>
        <w:t>2.原因分析：</w:t>
      </w:r>
      <w:r>
        <w:rPr>
          <w:rFonts w:ascii="仿宋_GB2312" w:eastAsia="仿宋_GB2312" w:hAnsi="仿宋_GB2312" w:cs="仿宋_GB2312" w:hint="eastAsia"/>
          <w:color w:val="000000" w:themeColor="text1"/>
          <w:sz w:val="32"/>
          <w:szCs w:val="32"/>
        </w:rPr>
        <w:t>宗教场所需规范管理，民族文化保护、传承、挖掘重视力度不够，民族工作需理顺。</w:t>
      </w:r>
    </w:p>
    <w:p w:rsidR="00347A63" w:rsidRDefault="00EA146C" w:rsidP="00352FA3">
      <w:pPr>
        <w:autoSpaceDN w:val="0"/>
        <w:spacing w:line="60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楷体_GB2312" w:cs="楷体_GB2312" w:hint="eastAsia"/>
          <w:b/>
          <w:bCs/>
          <w:color w:val="000000" w:themeColor="text1"/>
          <w:sz w:val="32"/>
          <w:szCs w:val="32"/>
        </w:rPr>
        <w:t>3.建议：</w:t>
      </w:r>
      <w:r>
        <w:rPr>
          <w:rFonts w:ascii="仿宋_GB2312" w:eastAsia="仿宋_GB2312" w:hAnsi="仿宋_GB2312" w:cs="仿宋_GB2312" w:hint="eastAsia"/>
          <w:color w:val="000000" w:themeColor="text1"/>
          <w:sz w:val="32"/>
          <w:szCs w:val="32"/>
        </w:rPr>
        <w:t>制订年度项目资金预算方案前，认真做好每个项目的市场预测和绩效目标分析，每月向局领导班子通报资金使用情况，以便及时作出调整，实现项目资金利用效率最大化。</w:t>
      </w:r>
    </w:p>
    <w:p w:rsidR="00347A63" w:rsidRDefault="00EA146C">
      <w:pP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br w:type="page"/>
      </w:r>
    </w:p>
    <w:p w:rsidR="00347A63" w:rsidRDefault="00EA146C">
      <w:pPr>
        <w:autoSpaceDN w:val="0"/>
        <w:spacing w:line="6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芷江侗族自治县少数民族事业补助费专项</w:t>
      </w:r>
    </w:p>
    <w:p w:rsidR="00347A63" w:rsidRDefault="00EA146C">
      <w:pPr>
        <w:autoSpaceDN w:val="0"/>
        <w:spacing w:line="6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资金绩效目标指标</w:t>
      </w:r>
    </w:p>
    <w:p w:rsidR="00347A63" w:rsidRDefault="00EA146C" w:rsidP="00952FD6">
      <w:pPr>
        <w:spacing w:beforeLines="50" w:afterLines="30" w:line="360" w:lineRule="exact"/>
        <w:rPr>
          <w:rFonts w:asciiTheme="minorEastAsia" w:eastAsiaTheme="minorEastAsia" w:hAnsiTheme="minorEastAsia" w:cstheme="minorEastAsia"/>
          <w:color w:val="000000" w:themeColor="text1"/>
          <w:kern w:val="0"/>
          <w:sz w:val="28"/>
          <w:szCs w:val="28"/>
        </w:rPr>
      </w:pPr>
      <w:r>
        <w:rPr>
          <w:rFonts w:asciiTheme="minorEastAsia" w:eastAsiaTheme="minorEastAsia" w:hAnsiTheme="minorEastAsia" w:cstheme="minorEastAsia" w:hint="eastAsia"/>
          <w:color w:val="000000" w:themeColor="text1"/>
          <w:kern w:val="0"/>
          <w:sz w:val="28"/>
          <w:szCs w:val="28"/>
        </w:rPr>
        <w:t>填报单位：芷江侗族自治县文化旅游广电体育局</w:t>
      </w:r>
    </w:p>
    <w:tbl>
      <w:tblPr>
        <w:tblW w:w="10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445"/>
        <w:gridCol w:w="643"/>
        <w:gridCol w:w="594"/>
        <w:gridCol w:w="1301"/>
        <w:gridCol w:w="648"/>
        <w:gridCol w:w="1960"/>
        <w:gridCol w:w="2905"/>
        <w:gridCol w:w="525"/>
        <w:gridCol w:w="452"/>
      </w:tblGrid>
      <w:tr w:rsidR="00347A63">
        <w:trPr>
          <w:trHeight w:val="915"/>
          <w:tblHeader/>
          <w:jc w:val="center"/>
        </w:trPr>
        <w:tc>
          <w:tcPr>
            <w:tcW w:w="648"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一级指标</w:t>
            </w:r>
          </w:p>
        </w:tc>
        <w:tc>
          <w:tcPr>
            <w:tcW w:w="445" w:type="dxa"/>
            <w:noWrap/>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分值</w:t>
            </w:r>
          </w:p>
        </w:tc>
        <w:tc>
          <w:tcPr>
            <w:tcW w:w="643"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二级指标</w:t>
            </w:r>
          </w:p>
        </w:tc>
        <w:tc>
          <w:tcPr>
            <w:tcW w:w="594"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分值</w:t>
            </w:r>
          </w:p>
        </w:tc>
        <w:tc>
          <w:tcPr>
            <w:tcW w:w="1301"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三级指标</w:t>
            </w:r>
          </w:p>
        </w:tc>
        <w:tc>
          <w:tcPr>
            <w:tcW w:w="648"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分值</w:t>
            </w:r>
          </w:p>
        </w:tc>
        <w:tc>
          <w:tcPr>
            <w:tcW w:w="1960"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指标解释</w:t>
            </w:r>
          </w:p>
        </w:tc>
        <w:tc>
          <w:tcPr>
            <w:tcW w:w="2905"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评价标准</w:t>
            </w:r>
          </w:p>
        </w:tc>
        <w:tc>
          <w:tcPr>
            <w:tcW w:w="525"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评分</w:t>
            </w:r>
          </w:p>
        </w:tc>
        <w:tc>
          <w:tcPr>
            <w:tcW w:w="452"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备注</w:t>
            </w:r>
          </w:p>
        </w:tc>
      </w:tr>
      <w:tr w:rsidR="00347A63">
        <w:trPr>
          <w:trHeight w:val="675"/>
          <w:jc w:val="center"/>
        </w:trPr>
        <w:tc>
          <w:tcPr>
            <w:tcW w:w="648" w:type="dxa"/>
            <w:vMerge w:val="restart"/>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投</w:t>
            </w:r>
          </w:p>
          <w:p w:rsidR="00347A63" w:rsidRDefault="00347A63">
            <w:pPr>
              <w:widowControl/>
              <w:jc w:val="center"/>
              <w:rPr>
                <w:rFonts w:asciiTheme="minorEastAsia" w:eastAsiaTheme="minorEastAsia" w:hAnsiTheme="minorEastAsia" w:cstheme="minorEastAsia"/>
                <w:color w:val="000000" w:themeColor="text1"/>
                <w:kern w:val="0"/>
                <w:szCs w:val="21"/>
              </w:rPr>
            </w:pPr>
          </w:p>
          <w:p w:rsidR="00347A63" w:rsidRDefault="00347A63">
            <w:pPr>
              <w:widowControl/>
              <w:jc w:val="center"/>
              <w:rPr>
                <w:rFonts w:asciiTheme="minorEastAsia" w:eastAsiaTheme="minorEastAsia" w:hAnsiTheme="minorEastAsia" w:cstheme="minorEastAsia"/>
                <w:color w:val="000000" w:themeColor="text1"/>
                <w:kern w:val="0"/>
                <w:szCs w:val="21"/>
              </w:rPr>
            </w:pPr>
          </w:p>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入</w:t>
            </w:r>
          </w:p>
        </w:tc>
        <w:tc>
          <w:tcPr>
            <w:tcW w:w="445" w:type="dxa"/>
            <w:vMerge w:val="restart"/>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20</w:t>
            </w:r>
          </w:p>
        </w:tc>
        <w:tc>
          <w:tcPr>
            <w:tcW w:w="643" w:type="dxa"/>
            <w:vMerge w:val="restart"/>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项目立项</w:t>
            </w:r>
          </w:p>
        </w:tc>
        <w:tc>
          <w:tcPr>
            <w:tcW w:w="594" w:type="dxa"/>
            <w:vMerge w:val="restart"/>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w:t>
            </w:r>
          </w:p>
        </w:tc>
        <w:tc>
          <w:tcPr>
            <w:tcW w:w="1301" w:type="dxa"/>
            <w:noWrap/>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项目立项规范性</w:t>
            </w:r>
          </w:p>
        </w:tc>
        <w:tc>
          <w:tcPr>
            <w:tcW w:w="648"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1960"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项目的申请、设立过程是否符合相关要求，用以反映和考核项目立项的规范情况。</w:t>
            </w:r>
          </w:p>
        </w:tc>
        <w:tc>
          <w:tcPr>
            <w:tcW w:w="2905"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①项目是否按照规定的程序设立1分；②所提交的文件、材料是否符合相关要求1分。</w:t>
            </w:r>
          </w:p>
        </w:tc>
        <w:tc>
          <w:tcPr>
            <w:tcW w:w="525"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452"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795"/>
          <w:jc w:val="center"/>
        </w:trPr>
        <w:tc>
          <w:tcPr>
            <w:tcW w:w="648"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445"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643"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594"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1301" w:type="dxa"/>
            <w:noWrap/>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绩效目标合理性</w:t>
            </w:r>
          </w:p>
        </w:tc>
        <w:tc>
          <w:tcPr>
            <w:tcW w:w="648"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1960"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项目所设定的绩效目标是否依据充分，是否符合客观实际，用以反映和考核项目绩效目标与项目实施的相符情况。</w:t>
            </w:r>
          </w:p>
        </w:tc>
        <w:tc>
          <w:tcPr>
            <w:tcW w:w="2905"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①是否符合国家相关法律法规、国民经济发展规划和党委政府决策1分；③项目是否为促进事业发展所必需1分；④项目预期产出效益和效果是否符合正常的业绩水平1分。</w:t>
            </w:r>
          </w:p>
        </w:tc>
        <w:tc>
          <w:tcPr>
            <w:tcW w:w="525"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452"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675"/>
          <w:jc w:val="center"/>
        </w:trPr>
        <w:tc>
          <w:tcPr>
            <w:tcW w:w="648"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445"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643"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594"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1301" w:type="dxa"/>
            <w:noWrap/>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绩效指标明确性</w:t>
            </w:r>
          </w:p>
        </w:tc>
        <w:tc>
          <w:tcPr>
            <w:tcW w:w="648"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4</w:t>
            </w:r>
          </w:p>
        </w:tc>
        <w:tc>
          <w:tcPr>
            <w:tcW w:w="1960"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依据绩效目标设定的绩效指标是否清晰、细化、可衡量等，用以反映和考核项目绩效目标的明细化情况。</w:t>
            </w:r>
          </w:p>
        </w:tc>
        <w:tc>
          <w:tcPr>
            <w:tcW w:w="2905"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①是否将项目绩效目标细化分解为具体的绩效指标1.5分；②是否通过清晰、可衡量的指标值予以体现1.5分。</w:t>
            </w:r>
          </w:p>
        </w:tc>
        <w:tc>
          <w:tcPr>
            <w:tcW w:w="525"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4</w:t>
            </w:r>
          </w:p>
        </w:tc>
        <w:tc>
          <w:tcPr>
            <w:tcW w:w="452"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hRule="exact" w:val="2702"/>
          <w:jc w:val="center"/>
        </w:trPr>
        <w:tc>
          <w:tcPr>
            <w:tcW w:w="648"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445"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643" w:type="dxa"/>
            <w:vMerge w:val="restart"/>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资金落实</w:t>
            </w:r>
          </w:p>
        </w:tc>
        <w:tc>
          <w:tcPr>
            <w:tcW w:w="594" w:type="dxa"/>
            <w:vMerge w:val="restart"/>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w:t>
            </w:r>
          </w:p>
        </w:tc>
        <w:tc>
          <w:tcPr>
            <w:tcW w:w="1301" w:type="dxa"/>
            <w:noWrap/>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资金到位率</w:t>
            </w:r>
          </w:p>
        </w:tc>
        <w:tc>
          <w:tcPr>
            <w:tcW w:w="648"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w:t>
            </w:r>
          </w:p>
        </w:tc>
        <w:tc>
          <w:tcPr>
            <w:tcW w:w="1960"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实际到位资金与计划投入资金的比率，用以反映和考核资金落实情况对项目实施的总体保障程度。</w:t>
            </w:r>
          </w:p>
        </w:tc>
        <w:tc>
          <w:tcPr>
            <w:tcW w:w="2905"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资金到位率=（实际到位资金/计划投入资金）×100%。实际到位资金：一定时期（本年度或项目期）内实际落实到具体项目的资金。</w:t>
            </w:r>
          </w:p>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计划投入资金：一定时期（本年度或项目期）内计划投入到具体项目的资金。</w:t>
            </w:r>
          </w:p>
        </w:tc>
        <w:tc>
          <w:tcPr>
            <w:tcW w:w="525"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w:t>
            </w:r>
          </w:p>
        </w:tc>
        <w:tc>
          <w:tcPr>
            <w:tcW w:w="452"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hRule="exact" w:val="2366"/>
          <w:jc w:val="center"/>
        </w:trPr>
        <w:tc>
          <w:tcPr>
            <w:tcW w:w="648"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445"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643"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594"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1301" w:type="dxa"/>
            <w:noWrap/>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到位及时率</w:t>
            </w:r>
          </w:p>
        </w:tc>
        <w:tc>
          <w:tcPr>
            <w:tcW w:w="648"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w:t>
            </w:r>
          </w:p>
        </w:tc>
        <w:tc>
          <w:tcPr>
            <w:tcW w:w="1960"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及时到位资金与应到位资金的比率，用以反映和考核项目资金落实的及时性程度。</w:t>
            </w:r>
          </w:p>
        </w:tc>
        <w:tc>
          <w:tcPr>
            <w:tcW w:w="2905"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到位及时率=（及时到位资金/应到位资金）×100%。     及时到位资金：截至规定时点实际落实到具体项目的资金。  应到位资金：按照合同或项目进度要求截至规定时点应落实到具体项目的资金。</w:t>
            </w:r>
          </w:p>
        </w:tc>
        <w:tc>
          <w:tcPr>
            <w:tcW w:w="525"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w:t>
            </w:r>
          </w:p>
        </w:tc>
        <w:tc>
          <w:tcPr>
            <w:tcW w:w="452"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1838"/>
          <w:jc w:val="center"/>
        </w:trPr>
        <w:tc>
          <w:tcPr>
            <w:tcW w:w="648" w:type="dxa"/>
            <w:vMerge w:val="restart"/>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lastRenderedPageBreak/>
              <w:t>过</w:t>
            </w:r>
          </w:p>
          <w:p w:rsidR="00347A63" w:rsidRDefault="00347A63">
            <w:pPr>
              <w:widowControl/>
              <w:jc w:val="center"/>
              <w:rPr>
                <w:rFonts w:asciiTheme="minorEastAsia" w:eastAsiaTheme="minorEastAsia" w:hAnsiTheme="minorEastAsia" w:cstheme="minorEastAsia"/>
                <w:color w:val="000000" w:themeColor="text1"/>
                <w:kern w:val="0"/>
                <w:szCs w:val="21"/>
              </w:rPr>
            </w:pPr>
          </w:p>
          <w:p w:rsidR="00347A63" w:rsidRDefault="00347A63">
            <w:pPr>
              <w:widowControl/>
              <w:jc w:val="center"/>
              <w:rPr>
                <w:rFonts w:asciiTheme="minorEastAsia" w:eastAsiaTheme="minorEastAsia" w:hAnsiTheme="minorEastAsia" w:cstheme="minorEastAsia"/>
                <w:color w:val="000000" w:themeColor="text1"/>
                <w:kern w:val="0"/>
                <w:szCs w:val="21"/>
              </w:rPr>
            </w:pPr>
          </w:p>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程</w:t>
            </w:r>
          </w:p>
        </w:tc>
        <w:tc>
          <w:tcPr>
            <w:tcW w:w="445" w:type="dxa"/>
            <w:vMerge w:val="restart"/>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30</w:t>
            </w:r>
          </w:p>
        </w:tc>
        <w:tc>
          <w:tcPr>
            <w:tcW w:w="643" w:type="dxa"/>
            <w:vMerge w:val="restart"/>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业务管理</w:t>
            </w:r>
          </w:p>
        </w:tc>
        <w:tc>
          <w:tcPr>
            <w:tcW w:w="594" w:type="dxa"/>
            <w:vMerge w:val="restart"/>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9</w:t>
            </w:r>
          </w:p>
        </w:tc>
        <w:tc>
          <w:tcPr>
            <w:tcW w:w="1301"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管理制度健全性</w:t>
            </w:r>
          </w:p>
        </w:tc>
        <w:tc>
          <w:tcPr>
            <w:tcW w:w="648"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1960"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项目实施单位的业务管理制度是否健全，用以反映和考核业务管理制度对项目顺利实施的保障情况。</w:t>
            </w:r>
          </w:p>
        </w:tc>
        <w:tc>
          <w:tcPr>
            <w:tcW w:w="2905"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已制定或具有相应的业务管理制度，并且业务管理制度合法、合规、完整2分；有制度，不合法、合规、完整1分；没有0分。</w:t>
            </w:r>
          </w:p>
        </w:tc>
        <w:tc>
          <w:tcPr>
            <w:tcW w:w="525"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452"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1430"/>
          <w:jc w:val="center"/>
        </w:trPr>
        <w:tc>
          <w:tcPr>
            <w:tcW w:w="648"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445"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643"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594"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1301"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制度执行有效性</w:t>
            </w:r>
          </w:p>
        </w:tc>
        <w:tc>
          <w:tcPr>
            <w:tcW w:w="648"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1960"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项目实施是否符合相关业务管理规定，用以反映和考核业务管理制度的有效执行情况。</w:t>
            </w:r>
          </w:p>
        </w:tc>
        <w:tc>
          <w:tcPr>
            <w:tcW w:w="2905"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遵守相关法律法规和业务管理规定3分，一般2分，不遵守0分。</w:t>
            </w:r>
          </w:p>
        </w:tc>
        <w:tc>
          <w:tcPr>
            <w:tcW w:w="525"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452"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1742"/>
          <w:jc w:val="center"/>
        </w:trPr>
        <w:tc>
          <w:tcPr>
            <w:tcW w:w="648"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445"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643"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594"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1301"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项目质量可控性</w:t>
            </w:r>
          </w:p>
        </w:tc>
        <w:tc>
          <w:tcPr>
            <w:tcW w:w="648"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1960"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项目单位是否为达到项目质量要求而采取了必需的措施，用以反映和考核项目单位对项目质量的控制情况。</w:t>
            </w:r>
          </w:p>
        </w:tc>
        <w:tc>
          <w:tcPr>
            <w:tcW w:w="2905"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已制定或具有相应的项目质量要求或标准，采取了相应的项目质量检查、验收等必需的控制措施或手段记3分，没有制定记0分。                  </w:t>
            </w:r>
          </w:p>
        </w:tc>
        <w:tc>
          <w:tcPr>
            <w:tcW w:w="525"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452"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1814"/>
          <w:jc w:val="center"/>
        </w:trPr>
        <w:tc>
          <w:tcPr>
            <w:tcW w:w="648"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445"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643" w:type="dxa"/>
            <w:vMerge w:val="restart"/>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财务管理</w:t>
            </w:r>
          </w:p>
        </w:tc>
        <w:tc>
          <w:tcPr>
            <w:tcW w:w="594" w:type="dxa"/>
            <w:vMerge w:val="restart"/>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21</w:t>
            </w:r>
          </w:p>
        </w:tc>
        <w:tc>
          <w:tcPr>
            <w:tcW w:w="1301"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管理制度健全性</w:t>
            </w:r>
          </w:p>
        </w:tc>
        <w:tc>
          <w:tcPr>
            <w:tcW w:w="648"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1960"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项目实施单位的财务制度是否健全，用以反映和考核财务管理制度对资金规范、安全运行的保障情况。</w:t>
            </w:r>
          </w:p>
        </w:tc>
        <w:tc>
          <w:tcPr>
            <w:tcW w:w="2905"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已制定或具有相应的项目资金管理办法并符合相关财务会计制度2分；有资金管理办法但不符合相关财务会计制度1分，没有0分。</w:t>
            </w:r>
          </w:p>
        </w:tc>
        <w:tc>
          <w:tcPr>
            <w:tcW w:w="525"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452"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794"/>
          <w:jc w:val="center"/>
        </w:trPr>
        <w:tc>
          <w:tcPr>
            <w:tcW w:w="648"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445"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643"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594"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1301"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会计核算是否准确规范</w:t>
            </w:r>
          </w:p>
        </w:tc>
        <w:tc>
          <w:tcPr>
            <w:tcW w:w="648"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1960"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是否有专账，资金是否专款专用</w:t>
            </w:r>
          </w:p>
        </w:tc>
        <w:tc>
          <w:tcPr>
            <w:tcW w:w="2905"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规范3分，一般2分，不规范1分。</w:t>
            </w:r>
          </w:p>
        </w:tc>
        <w:tc>
          <w:tcPr>
            <w:tcW w:w="525"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452"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794"/>
          <w:jc w:val="center"/>
        </w:trPr>
        <w:tc>
          <w:tcPr>
            <w:tcW w:w="648"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445"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643"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594"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1301"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支出审核流程是否规范</w:t>
            </w:r>
          </w:p>
        </w:tc>
        <w:tc>
          <w:tcPr>
            <w:tcW w:w="648"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1960"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2905"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规范5分，一般3分，不规范1分。</w:t>
            </w:r>
          </w:p>
        </w:tc>
        <w:tc>
          <w:tcPr>
            <w:tcW w:w="525"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452"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794"/>
          <w:jc w:val="center"/>
        </w:trPr>
        <w:tc>
          <w:tcPr>
            <w:tcW w:w="648"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445"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643"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594"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1301"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会计资料是否真实完整</w:t>
            </w:r>
          </w:p>
        </w:tc>
        <w:tc>
          <w:tcPr>
            <w:tcW w:w="648"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1960"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2905"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完整3分，一般2分，不完整1分。</w:t>
            </w:r>
          </w:p>
        </w:tc>
        <w:tc>
          <w:tcPr>
            <w:tcW w:w="525"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452"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794"/>
          <w:jc w:val="center"/>
        </w:trPr>
        <w:tc>
          <w:tcPr>
            <w:tcW w:w="648"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445"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643"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594"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1301"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是否建立内部控制制度</w:t>
            </w:r>
          </w:p>
        </w:tc>
        <w:tc>
          <w:tcPr>
            <w:tcW w:w="648"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1960"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2905"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完善3分，一般2分，不完善1分。</w:t>
            </w:r>
          </w:p>
        </w:tc>
        <w:tc>
          <w:tcPr>
            <w:tcW w:w="525"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452"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794"/>
          <w:jc w:val="center"/>
        </w:trPr>
        <w:tc>
          <w:tcPr>
            <w:tcW w:w="648"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445"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643"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594"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1301"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是否按规定执行财务制度</w:t>
            </w:r>
          </w:p>
        </w:tc>
        <w:tc>
          <w:tcPr>
            <w:tcW w:w="648"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1960"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2905"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规范4分，一般3分，不规2分。</w:t>
            </w:r>
          </w:p>
        </w:tc>
        <w:tc>
          <w:tcPr>
            <w:tcW w:w="525"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452"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794"/>
          <w:jc w:val="center"/>
        </w:trPr>
        <w:tc>
          <w:tcPr>
            <w:tcW w:w="648"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445"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643"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594"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1301"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会计报表是否完整及时</w:t>
            </w:r>
          </w:p>
        </w:tc>
        <w:tc>
          <w:tcPr>
            <w:tcW w:w="648"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1960"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2905"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按规定3分，基本按规定2分，不按规定1分。</w:t>
            </w:r>
          </w:p>
        </w:tc>
        <w:tc>
          <w:tcPr>
            <w:tcW w:w="525"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452"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3062"/>
          <w:jc w:val="center"/>
        </w:trPr>
        <w:tc>
          <w:tcPr>
            <w:tcW w:w="648" w:type="dxa"/>
            <w:vMerge w:val="restart"/>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lastRenderedPageBreak/>
              <w:t>产</w:t>
            </w:r>
          </w:p>
          <w:p w:rsidR="00347A63" w:rsidRDefault="00347A63">
            <w:pPr>
              <w:widowControl/>
              <w:jc w:val="center"/>
              <w:rPr>
                <w:rFonts w:asciiTheme="minorEastAsia" w:eastAsiaTheme="minorEastAsia" w:hAnsiTheme="minorEastAsia" w:cstheme="minorEastAsia"/>
                <w:color w:val="000000" w:themeColor="text1"/>
                <w:kern w:val="0"/>
                <w:szCs w:val="21"/>
              </w:rPr>
            </w:pPr>
          </w:p>
          <w:p w:rsidR="00347A63" w:rsidRDefault="00347A63">
            <w:pPr>
              <w:widowControl/>
              <w:jc w:val="center"/>
              <w:rPr>
                <w:rFonts w:asciiTheme="minorEastAsia" w:eastAsiaTheme="minorEastAsia" w:hAnsiTheme="minorEastAsia" w:cstheme="minorEastAsia"/>
                <w:color w:val="000000" w:themeColor="text1"/>
                <w:kern w:val="0"/>
                <w:szCs w:val="21"/>
              </w:rPr>
            </w:pPr>
          </w:p>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出</w:t>
            </w:r>
          </w:p>
        </w:tc>
        <w:tc>
          <w:tcPr>
            <w:tcW w:w="445" w:type="dxa"/>
            <w:vMerge w:val="restart"/>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30</w:t>
            </w:r>
          </w:p>
        </w:tc>
        <w:tc>
          <w:tcPr>
            <w:tcW w:w="643" w:type="dxa"/>
            <w:vMerge w:val="restart"/>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项目产出</w:t>
            </w:r>
          </w:p>
        </w:tc>
        <w:tc>
          <w:tcPr>
            <w:tcW w:w="594" w:type="dxa"/>
            <w:vMerge w:val="restart"/>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30</w:t>
            </w:r>
          </w:p>
        </w:tc>
        <w:tc>
          <w:tcPr>
            <w:tcW w:w="1301"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实际完成率</w:t>
            </w:r>
          </w:p>
        </w:tc>
        <w:tc>
          <w:tcPr>
            <w:tcW w:w="648"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8</w:t>
            </w:r>
          </w:p>
        </w:tc>
        <w:tc>
          <w:tcPr>
            <w:tcW w:w="1960"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项目实施的实际产出数与计划产出数的比率，用以反映和考核项目产出数量目标的实现程度。</w:t>
            </w:r>
          </w:p>
        </w:tc>
        <w:tc>
          <w:tcPr>
            <w:tcW w:w="2905"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实际完成率=（实际产出数/计划产出数）×100%。实际产出数：一定时期（本年度或项目期）内项目实际产出的产品或提供的服务数量。计划产出数：项目绩效目标确定的在一定时期（本年度或项目期）内计划产出的产品或提供的服务数量。</w:t>
            </w:r>
          </w:p>
        </w:tc>
        <w:tc>
          <w:tcPr>
            <w:tcW w:w="525"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8</w:t>
            </w:r>
          </w:p>
        </w:tc>
        <w:tc>
          <w:tcPr>
            <w:tcW w:w="452"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2702"/>
          <w:jc w:val="center"/>
        </w:trPr>
        <w:tc>
          <w:tcPr>
            <w:tcW w:w="648"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445"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643"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594"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1301"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完成及时率</w:t>
            </w:r>
          </w:p>
        </w:tc>
        <w:tc>
          <w:tcPr>
            <w:tcW w:w="648"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8</w:t>
            </w:r>
          </w:p>
        </w:tc>
        <w:tc>
          <w:tcPr>
            <w:tcW w:w="1960"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项目实际提前完成时间与计划完成时间的比率，用以反映和考核项目产出时效目标的实现程度。</w:t>
            </w:r>
          </w:p>
        </w:tc>
        <w:tc>
          <w:tcPr>
            <w:tcW w:w="2905"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完成及时率=[（计划完成时间-实际完成时间）/计划完成时间]×100%。实际完成时间：项目实施单位完成该项目实际所耗用的时间。计划完成时间：按照项目实施计划或相关规定完成该项目所需的时间。</w:t>
            </w:r>
          </w:p>
        </w:tc>
        <w:tc>
          <w:tcPr>
            <w:tcW w:w="525"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8</w:t>
            </w:r>
          </w:p>
        </w:tc>
        <w:tc>
          <w:tcPr>
            <w:tcW w:w="452"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3446"/>
          <w:jc w:val="center"/>
        </w:trPr>
        <w:tc>
          <w:tcPr>
            <w:tcW w:w="648"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445"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643"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594"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1301"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质量达标率</w:t>
            </w:r>
          </w:p>
        </w:tc>
        <w:tc>
          <w:tcPr>
            <w:tcW w:w="648"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7</w:t>
            </w:r>
          </w:p>
        </w:tc>
        <w:tc>
          <w:tcPr>
            <w:tcW w:w="1960"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项目完成的质量达标产出数与实际产出数的比率，用以反映和考核项目产出质量目标的实现程度。</w:t>
            </w:r>
          </w:p>
        </w:tc>
        <w:tc>
          <w:tcPr>
            <w:tcW w:w="2905"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质量达标率=（质量达标产出数/实际产出数）×100%。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525"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7</w:t>
            </w:r>
          </w:p>
        </w:tc>
        <w:tc>
          <w:tcPr>
            <w:tcW w:w="452"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2726"/>
          <w:jc w:val="center"/>
        </w:trPr>
        <w:tc>
          <w:tcPr>
            <w:tcW w:w="648"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445"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643"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594"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1301"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成本节约率</w:t>
            </w:r>
          </w:p>
        </w:tc>
        <w:tc>
          <w:tcPr>
            <w:tcW w:w="648"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7</w:t>
            </w:r>
          </w:p>
        </w:tc>
        <w:tc>
          <w:tcPr>
            <w:tcW w:w="1960"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完成项目计划工作目标的实际节约成本与计划成本的比率，用以反映和考核项目的成本节约程度。</w:t>
            </w:r>
          </w:p>
        </w:tc>
        <w:tc>
          <w:tcPr>
            <w:tcW w:w="2905"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成本节约率=[（计划成本-实际成本）/计划成本]×100%。  实际成本：项目单位如期、保质、保量完成既定工作目标实际所耗费的支出。 计划成本：项目单位为完成工作目标计划安排的支出，一般以项目预算为参考。</w:t>
            </w:r>
          </w:p>
        </w:tc>
        <w:tc>
          <w:tcPr>
            <w:tcW w:w="525"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7</w:t>
            </w:r>
          </w:p>
        </w:tc>
        <w:tc>
          <w:tcPr>
            <w:tcW w:w="452"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810"/>
          <w:jc w:val="center"/>
        </w:trPr>
        <w:tc>
          <w:tcPr>
            <w:tcW w:w="648" w:type="dxa"/>
            <w:vMerge w:val="restart"/>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lastRenderedPageBreak/>
              <w:t>效</w:t>
            </w:r>
          </w:p>
          <w:p w:rsidR="00347A63" w:rsidRDefault="00347A63">
            <w:pPr>
              <w:widowControl/>
              <w:jc w:val="center"/>
              <w:rPr>
                <w:rFonts w:asciiTheme="minorEastAsia" w:eastAsiaTheme="minorEastAsia" w:hAnsiTheme="minorEastAsia" w:cstheme="minorEastAsia"/>
                <w:color w:val="000000" w:themeColor="text1"/>
                <w:kern w:val="0"/>
                <w:szCs w:val="21"/>
              </w:rPr>
            </w:pPr>
          </w:p>
          <w:p w:rsidR="00347A63" w:rsidRDefault="00347A63">
            <w:pPr>
              <w:widowControl/>
              <w:jc w:val="center"/>
              <w:rPr>
                <w:rFonts w:asciiTheme="minorEastAsia" w:eastAsiaTheme="minorEastAsia" w:hAnsiTheme="minorEastAsia" w:cstheme="minorEastAsia"/>
                <w:color w:val="000000" w:themeColor="text1"/>
                <w:kern w:val="0"/>
                <w:szCs w:val="21"/>
              </w:rPr>
            </w:pPr>
          </w:p>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果</w:t>
            </w:r>
          </w:p>
        </w:tc>
        <w:tc>
          <w:tcPr>
            <w:tcW w:w="445" w:type="dxa"/>
            <w:vMerge w:val="restart"/>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20</w:t>
            </w:r>
          </w:p>
        </w:tc>
        <w:tc>
          <w:tcPr>
            <w:tcW w:w="643" w:type="dxa"/>
            <w:vMerge w:val="restart"/>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项目效益</w:t>
            </w:r>
          </w:p>
        </w:tc>
        <w:tc>
          <w:tcPr>
            <w:tcW w:w="594" w:type="dxa"/>
            <w:vMerge w:val="restart"/>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20</w:t>
            </w:r>
          </w:p>
        </w:tc>
        <w:tc>
          <w:tcPr>
            <w:tcW w:w="1301"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经济效益</w:t>
            </w:r>
          </w:p>
        </w:tc>
        <w:tc>
          <w:tcPr>
            <w:tcW w:w="648"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4 </w:t>
            </w:r>
          </w:p>
        </w:tc>
        <w:tc>
          <w:tcPr>
            <w:tcW w:w="1960"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项目实施对经济发展所带来的直接或间接影响情况。</w:t>
            </w:r>
          </w:p>
        </w:tc>
        <w:tc>
          <w:tcPr>
            <w:tcW w:w="2905"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好4分，一般3分，不好2分。</w:t>
            </w:r>
          </w:p>
        </w:tc>
        <w:tc>
          <w:tcPr>
            <w:tcW w:w="525"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4 </w:t>
            </w:r>
          </w:p>
        </w:tc>
        <w:tc>
          <w:tcPr>
            <w:tcW w:w="452"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810"/>
          <w:jc w:val="center"/>
        </w:trPr>
        <w:tc>
          <w:tcPr>
            <w:tcW w:w="648"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445"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643"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594"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1301"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社会效益</w:t>
            </w:r>
          </w:p>
        </w:tc>
        <w:tc>
          <w:tcPr>
            <w:tcW w:w="648"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4</w:t>
            </w:r>
          </w:p>
        </w:tc>
        <w:tc>
          <w:tcPr>
            <w:tcW w:w="1960"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项目实施对社会发展所带来的直接或间接影响情况。</w:t>
            </w:r>
          </w:p>
        </w:tc>
        <w:tc>
          <w:tcPr>
            <w:tcW w:w="2905"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好4分，一般3分，不好2分。</w:t>
            </w:r>
          </w:p>
        </w:tc>
        <w:tc>
          <w:tcPr>
            <w:tcW w:w="525"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4</w:t>
            </w:r>
          </w:p>
        </w:tc>
        <w:tc>
          <w:tcPr>
            <w:tcW w:w="452"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810"/>
          <w:jc w:val="center"/>
        </w:trPr>
        <w:tc>
          <w:tcPr>
            <w:tcW w:w="648"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445"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643"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594"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1301"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生态效益</w:t>
            </w:r>
          </w:p>
        </w:tc>
        <w:tc>
          <w:tcPr>
            <w:tcW w:w="648"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4</w:t>
            </w:r>
          </w:p>
        </w:tc>
        <w:tc>
          <w:tcPr>
            <w:tcW w:w="1960"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项目实施对生态环境所带来的直接或间接影响情况。</w:t>
            </w:r>
          </w:p>
        </w:tc>
        <w:tc>
          <w:tcPr>
            <w:tcW w:w="2905"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好4分，一般3分，不好2分。</w:t>
            </w:r>
          </w:p>
        </w:tc>
        <w:tc>
          <w:tcPr>
            <w:tcW w:w="525"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452"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810"/>
          <w:jc w:val="center"/>
        </w:trPr>
        <w:tc>
          <w:tcPr>
            <w:tcW w:w="648"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445"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643"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594"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1301"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可持续影响</w:t>
            </w:r>
          </w:p>
        </w:tc>
        <w:tc>
          <w:tcPr>
            <w:tcW w:w="648"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4</w:t>
            </w:r>
          </w:p>
        </w:tc>
        <w:tc>
          <w:tcPr>
            <w:tcW w:w="1960"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项目后续运行及成效发挥的可持续影响情况。</w:t>
            </w:r>
          </w:p>
        </w:tc>
        <w:tc>
          <w:tcPr>
            <w:tcW w:w="2905"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好4分，一般3分，不好2分。</w:t>
            </w:r>
          </w:p>
        </w:tc>
        <w:tc>
          <w:tcPr>
            <w:tcW w:w="525"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452"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525"/>
          <w:jc w:val="center"/>
        </w:trPr>
        <w:tc>
          <w:tcPr>
            <w:tcW w:w="648"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445"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643"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594"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1301"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社会公众或服务对象满意度</w:t>
            </w:r>
          </w:p>
        </w:tc>
        <w:tc>
          <w:tcPr>
            <w:tcW w:w="648"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4</w:t>
            </w:r>
          </w:p>
        </w:tc>
        <w:tc>
          <w:tcPr>
            <w:tcW w:w="1960"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群众对民族部门服务的满意程度。</w:t>
            </w:r>
          </w:p>
        </w:tc>
        <w:tc>
          <w:tcPr>
            <w:tcW w:w="2905"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满意度80%以上得满分，每下降2个百分点扣0.5分，扣完为止。</w:t>
            </w:r>
          </w:p>
        </w:tc>
        <w:tc>
          <w:tcPr>
            <w:tcW w:w="525"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4</w:t>
            </w:r>
          </w:p>
        </w:tc>
        <w:tc>
          <w:tcPr>
            <w:tcW w:w="452"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390"/>
          <w:jc w:val="center"/>
        </w:trPr>
        <w:tc>
          <w:tcPr>
            <w:tcW w:w="648"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总分</w:t>
            </w:r>
          </w:p>
        </w:tc>
        <w:tc>
          <w:tcPr>
            <w:tcW w:w="445"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100</w:t>
            </w:r>
          </w:p>
        </w:tc>
        <w:tc>
          <w:tcPr>
            <w:tcW w:w="643"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 xml:space="preserve">　</w:t>
            </w:r>
          </w:p>
        </w:tc>
        <w:tc>
          <w:tcPr>
            <w:tcW w:w="594"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100</w:t>
            </w:r>
          </w:p>
        </w:tc>
        <w:tc>
          <w:tcPr>
            <w:tcW w:w="1301"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 xml:space="preserve">　</w:t>
            </w:r>
          </w:p>
        </w:tc>
        <w:tc>
          <w:tcPr>
            <w:tcW w:w="648"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100</w:t>
            </w:r>
          </w:p>
        </w:tc>
        <w:tc>
          <w:tcPr>
            <w:tcW w:w="1960"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 xml:space="preserve">　</w:t>
            </w:r>
          </w:p>
        </w:tc>
        <w:tc>
          <w:tcPr>
            <w:tcW w:w="2905"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 xml:space="preserve">　</w:t>
            </w:r>
          </w:p>
        </w:tc>
        <w:tc>
          <w:tcPr>
            <w:tcW w:w="525"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98</w:t>
            </w:r>
          </w:p>
        </w:tc>
        <w:tc>
          <w:tcPr>
            <w:tcW w:w="452"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 xml:space="preserve">　</w:t>
            </w:r>
          </w:p>
        </w:tc>
      </w:tr>
    </w:tbl>
    <w:p w:rsidR="00347A63" w:rsidRDefault="00347A63">
      <w:pPr>
        <w:autoSpaceDN w:val="0"/>
        <w:spacing w:line="560" w:lineRule="exact"/>
        <w:ind w:firstLineChars="200" w:firstLine="640"/>
        <w:rPr>
          <w:rFonts w:ascii="仿宋_GB2312" w:eastAsia="仿宋_GB2312"/>
          <w:color w:val="000000" w:themeColor="text1"/>
          <w:sz w:val="32"/>
          <w:szCs w:val="32"/>
        </w:rPr>
      </w:pPr>
    </w:p>
    <w:p w:rsidR="00347A63" w:rsidRDefault="00347A63">
      <w:pPr>
        <w:spacing w:line="600" w:lineRule="exact"/>
        <w:ind w:right="640" w:firstLineChars="150" w:firstLine="315"/>
        <w:jc w:val="center"/>
        <w:rPr>
          <w:color w:val="000000" w:themeColor="text1"/>
        </w:rPr>
      </w:pPr>
    </w:p>
    <w:p w:rsidR="00347A63" w:rsidRDefault="00347A63">
      <w:pPr>
        <w:autoSpaceDN w:val="0"/>
        <w:spacing w:line="560" w:lineRule="exact"/>
        <w:jc w:val="center"/>
        <w:rPr>
          <w:rFonts w:ascii="方正大标宋简体" w:eastAsia="方正大标宋简体" w:hAnsi="方正大标宋简体" w:cs="方正大标宋简体"/>
          <w:color w:val="000000" w:themeColor="text1"/>
          <w:sz w:val="44"/>
          <w:szCs w:val="44"/>
        </w:rPr>
      </w:pPr>
    </w:p>
    <w:p w:rsidR="00347A63" w:rsidRDefault="00347A63">
      <w:pPr>
        <w:autoSpaceDN w:val="0"/>
        <w:spacing w:line="560" w:lineRule="exact"/>
        <w:jc w:val="center"/>
        <w:rPr>
          <w:rFonts w:ascii="方正大标宋简体" w:eastAsia="方正大标宋简体" w:hAnsi="方正大标宋简体" w:cs="方正大标宋简体"/>
          <w:color w:val="000000" w:themeColor="text1"/>
          <w:sz w:val="44"/>
          <w:szCs w:val="44"/>
        </w:rPr>
      </w:pPr>
    </w:p>
    <w:p w:rsidR="00347A63" w:rsidRDefault="00347A63">
      <w:pPr>
        <w:autoSpaceDN w:val="0"/>
        <w:spacing w:line="560" w:lineRule="exact"/>
        <w:jc w:val="center"/>
        <w:rPr>
          <w:rFonts w:ascii="方正大标宋简体" w:eastAsia="方正大标宋简体" w:hAnsi="方正大标宋简体" w:cs="方正大标宋简体"/>
          <w:color w:val="000000" w:themeColor="text1"/>
          <w:sz w:val="44"/>
          <w:szCs w:val="44"/>
        </w:rPr>
      </w:pPr>
    </w:p>
    <w:p w:rsidR="00347A63" w:rsidRDefault="00EA146C">
      <w:pP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br w:type="page"/>
      </w:r>
    </w:p>
    <w:p w:rsidR="00347A63" w:rsidRDefault="00EA146C">
      <w:pPr>
        <w:pStyle w:val="2"/>
        <w:spacing w:before="0" w:beforeAutospacing="0" w:after="0" w:afterAutospacing="0" w:line="600" w:lineRule="exact"/>
        <w:rPr>
          <w:rFonts w:ascii="仿宋_GB2312" w:eastAsia="仿宋_GB2312" w:hAnsi="仿宋_GB2312" w:cs="仿宋_GB2312"/>
          <w:b w:val="0"/>
          <w:bCs w:val="0"/>
          <w:color w:val="000000" w:themeColor="text1"/>
          <w:sz w:val="32"/>
          <w:szCs w:val="32"/>
        </w:rPr>
      </w:pPr>
      <w:r>
        <w:rPr>
          <w:rFonts w:ascii="仿宋_GB2312" w:eastAsia="仿宋_GB2312" w:hAnsi="仿宋_GB2312" w:cs="仿宋_GB2312" w:hint="eastAsia"/>
          <w:b w:val="0"/>
          <w:bCs w:val="0"/>
          <w:color w:val="000000" w:themeColor="text1"/>
          <w:sz w:val="32"/>
          <w:szCs w:val="32"/>
        </w:rPr>
        <w:lastRenderedPageBreak/>
        <w:t>附件4：</w:t>
      </w:r>
    </w:p>
    <w:p w:rsidR="00347A63" w:rsidRDefault="00347A63">
      <w:pPr>
        <w:autoSpaceDN w:val="0"/>
        <w:spacing w:line="600" w:lineRule="exact"/>
        <w:jc w:val="center"/>
        <w:rPr>
          <w:rFonts w:ascii="方正小标宋简体" w:eastAsia="方正小标宋简体" w:hAnsi="方正小标宋简体" w:cs="方正小标宋简体"/>
          <w:color w:val="000000" w:themeColor="text1"/>
          <w:sz w:val="44"/>
          <w:szCs w:val="44"/>
        </w:rPr>
      </w:pPr>
    </w:p>
    <w:p w:rsidR="00347A63" w:rsidRDefault="00EA146C">
      <w:pPr>
        <w:autoSpaceDN w:val="0"/>
        <w:spacing w:line="6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芷江侗族自治县文化旅游广电体育局</w:t>
      </w:r>
    </w:p>
    <w:p w:rsidR="00347A63" w:rsidRDefault="00EA146C">
      <w:pPr>
        <w:autoSpaceDN w:val="0"/>
        <w:spacing w:line="600" w:lineRule="exact"/>
        <w:jc w:val="center"/>
        <w:rPr>
          <w:rFonts w:ascii="方正小标宋简体" w:eastAsia="方正小标宋简体" w:hAnsi="方正小标宋简体" w:cs="方正小标宋简体"/>
          <w:color w:val="000000" w:themeColor="text1"/>
          <w:spacing w:val="-3"/>
          <w:sz w:val="44"/>
          <w:szCs w:val="44"/>
        </w:rPr>
      </w:pPr>
      <w:r>
        <w:rPr>
          <w:rFonts w:ascii="方正小标宋简体" w:eastAsia="方正小标宋简体" w:hAnsi="方正小标宋简体" w:cs="方正小标宋简体" w:hint="eastAsia"/>
          <w:color w:val="000000" w:themeColor="text1"/>
          <w:spacing w:val="-3"/>
          <w:sz w:val="44"/>
          <w:szCs w:val="44"/>
        </w:rPr>
        <w:t>少数民族医疗减免费专项资金绩效评价报告</w:t>
      </w:r>
    </w:p>
    <w:p w:rsidR="00347A63" w:rsidRDefault="00347A63">
      <w:pPr>
        <w:autoSpaceDN w:val="0"/>
        <w:spacing w:line="560" w:lineRule="exact"/>
        <w:jc w:val="center"/>
        <w:rPr>
          <w:rFonts w:ascii="黑体" w:eastAsia="黑体" w:hAnsi="黑体"/>
          <w:color w:val="000000" w:themeColor="text1"/>
          <w:sz w:val="24"/>
        </w:rPr>
      </w:pPr>
    </w:p>
    <w:p w:rsidR="00347A63" w:rsidRDefault="00EA146C">
      <w:pPr>
        <w:widowControl/>
        <w:spacing w:line="600" w:lineRule="exact"/>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pacing w:val="-2"/>
          <w:sz w:val="32"/>
          <w:szCs w:val="32"/>
        </w:rPr>
        <w:t>根据《预算法》有关“各级政府、各部门、各单位应当对预算支出情况开展绩效评价”的规定及县财政局《关于开展2019年度财政资金绩效评价工作的通知》（芷财绩[2020]1号）文件精神，我单位对部门专项支出进行了绩效评价,现将有关情况报告如下：</w:t>
      </w:r>
    </w:p>
    <w:p w:rsidR="00347A63" w:rsidRDefault="00EA146C">
      <w:pPr>
        <w:autoSpaceDN w:val="0"/>
        <w:spacing w:line="600" w:lineRule="exact"/>
        <w:ind w:firstLineChars="200" w:firstLine="64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一、工作简述</w:t>
      </w:r>
    </w:p>
    <w:p w:rsidR="00347A63" w:rsidRDefault="00EA146C" w:rsidP="00352FA3">
      <w:pPr>
        <w:autoSpaceDN w:val="0"/>
        <w:spacing w:line="600" w:lineRule="exact"/>
        <w:ind w:firstLineChars="200" w:firstLine="640"/>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1.评价工作简述</w:t>
      </w:r>
    </w:p>
    <w:p w:rsidR="00347A63" w:rsidRDefault="00EA146C">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补助少数民族大病医疗，减轻少数民族地区贫困群众医疗费的负担。按《湖南省民族医疗减免经费管理使用办法》确定补助对象，帮助解决部分重特大疾病患者的医疗困难和保障困难群众的基本生活，解决他们因病致贫,因病返贫的现象,进一步增强民族团结、维护社会稳定、构建和谐社会。</w:t>
      </w:r>
    </w:p>
    <w:p w:rsidR="00347A63" w:rsidRDefault="00EA146C" w:rsidP="00352FA3">
      <w:pPr>
        <w:autoSpaceDN w:val="0"/>
        <w:spacing w:line="600" w:lineRule="exact"/>
        <w:ind w:firstLineChars="200" w:firstLine="640"/>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2.评价对象概况</w:t>
      </w:r>
    </w:p>
    <w:p w:rsidR="00347A63" w:rsidRDefault="00EA146C">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根据文件要求，绩效评价对象为2019年度少数民族大病医疗费20万元, 实际支出20万元。</w:t>
      </w:r>
    </w:p>
    <w:p w:rsidR="00347A63" w:rsidRDefault="00EA146C">
      <w:pPr>
        <w:autoSpaceDN w:val="0"/>
        <w:spacing w:line="600" w:lineRule="exact"/>
        <w:ind w:firstLineChars="200" w:firstLine="64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二、绩效目标及其实现程度</w:t>
      </w:r>
    </w:p>
    <w:p w:rsidR="00347A63" w:rsidRDefault="00EA146C">
      <w:pPr>
        <w:autoSpaceDN w:val="0"/>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2019年度少数民族大病医疗费</w:t>
      </w:r>
    </w:p>
    <w:p w:rsidR="00347A63" w:rsidRDefault="00EA146C" w:rsidP="00352FA3">
      <w:pPr>
        <w:autoSpaceDN w:val="0"/>
        <w:spacing w:line="600" w:lineRule="exact"/>
        <w:ind w:firstLineChars="200" w:firstLine="640"/>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lastRenderedPageBreak/>
        <w:t>1.绩效目标情况</w:t>
      </w:r>
    </w:p>
    <w:p w:rsidR="00347A63" w:rsidRDefault="00EA146C">
      <w:pPr>
        <w:autoSpaceDN w:val="0"/>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bCs/>
          <w:color w:val="000000" w:themeColor="text1"/>
          <w:sz w:val="32"/>
          <w:szCs w:val="32"/>
        </w:rPr>
        <w:t>绩效目标：保证民族工作顺利进行，补助少数民族大病医疗，减轻少数民族负担，让</w:t>
      </w:r>
      <w:r>
        <w:rPr>
          <w:rFonts w:ascii="仿宋_GB2312" w:eastAsia="仿宋_GB2312" w:hAnsi="仿宋_GB2312" w:cs="仿宋_GB2312" w:hint="eastAsia"/>
          <w:color w:val="000000" w:themeColor="text1"/>
          <w:sz w:val="32"/>
          <w:szCs w:val="32"/>
        </w:rPr>
        <w:t>芷江民族工作上新台阶。</w:t>
      </w:r>
    </w:p>
    <w:p w:rsidR="00347A63" w:rsidRDefault="00EA146C" w:rsidP="00352FA3">
      <w:pPr>
        <w:autoSpaceDN w:val="0"/>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目标调整及使用情况：</w:t>
      </w:r>
      <w:r>
        <w:rPr>
          <w:rFonts w:ascii="仿宋_GB2312" w:eastAsia="仿宋_GB2312" w:hAnsi="仿宋_GB2312" w:cs="仿宋_GB2312" w:hint="eastAsia"/>
          <w:color w:val="000000" w:themeColor="text1"/>
          <w:sz w:val="32"/>
          <w:szCs w:val="32"/>
        </w:rPr>
        <w:t>2019年年初预算少数民族大病医疗费的减免费20万元，全年实际支出20万元。完成目标任务的100%。</w:t>
      </w:r>
    </w:p>
    <w:p w:rsidR="00347A63" w:rsidRDefault="00EA146C" w:rsidP="00352FA3">
      <w:pPr>
        <w:autoSpaceDN w:val="0"/>
        <w:spacing w:line="600" w:lineRule="exact"/>
        <w:ind w:firstLineChars="200" w:firstLine="640"/>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2.为实现绩效目标所采取的主要措施</w:t>
      </w:r>
    </w:p>
    <w:p w:rsidR="00347A63" w:rsidRDefault="00EA146C">
      <w:pPr>
        <w:autoSpaceDN w:val="0"/>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年初制订责任措施，责任到人，制订大病医疗费的减免费实施方案。</w:t>
      </w:r>
    </w:p>
    <w:p w:rsidR="00347A63" w:rsidRDefault="00EA146C" w:rsidP="00352FA3">
      <w:pPr>
        <w:autoSpaceDN w:val="0"/>
        <w:spacing w:line="600" w:lineRule="exact"/>
        <w:ind w:firstLineChars="200" w:firstLine="640"/>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3.绩效目标的实现程度</w:t>
      </w:r>
    </w:p>
    <w:p w:rsidR="00347A63" w:rsidRDefault="00EA146C">
      <w:pPr>
        <w:autoSpaceDN w:val="0"/>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bCs/>
          <w:color w:val="000000" w:themeColor="text1"/>
          <w:sz w:val="32"/>
          <w:szCs w:val="32"/>
        </w:rPr>
        <w:t>少数民族大病医疗费的减免，解决困难人员145人。</w:t>
      </w:r>
    </w:p>
    <w:p w:rsidR="00347A63" w:rsidRDefault="00EA146C">
      <w:pPr>
        <w:autoSpaceDN w:val="0"/>
        <w:spacing w:line="600" w:lineRule="exact"/>
        <w:ind w:firstLineChars="200" w:firstLine="64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三、评价结论</w:t>
      </w:r>
    </w:p>
    <w:p w:rsidR="00347A63" w:rsidRDefault="00EA146C">
      <w:pPr>
        <w:spacing w:line="600" w:lineRule="exact"/>
        <w:ind w:firstLineChars="200" w:firstLine="640"/>
        <w:rPr>
          <w:rFonts w:ascii="仿宋_GB2312" w:eastAsia="仿宋_GB2312" w:hAnsi="仿宋_GB2312" w:cs="仿宋_GB2312"/>
          <w:b/>
          <w:color w:val="000000" w:themeColor="text1"/>
          <w:sz w:val="32"/>
          <w:szCs w:val="32"/>
        </w:rPr>
      </w:pPr>
      <w:r>
        <w:rPr>
          <w:rFonts w:ascii="仿宋_GB2312" w:eastAsia="仿宋_GB2312" w:hAnsi="仿宋_GB2312" w:cs="仿宋_GB2312" w:hint="eastAsia"/>
          <w:color w:val="000000" w:themeColor="text1"/>
          <w:sz w:val="32"/>
          <w:szCs w:val="32"/>
        </w:rPr>
        <w:t>评价结论：综合2019年度县文化旅游广电体育局财政支出项目绩效评价情况，经评价，文化旅游广电体育局财政支出项目绩效得分98分，评价结果为优秀。</w:t>
      </w:r>
    </w:p>
    <w:p w:rsidR="00347A63" w:rsidRDefault="00EA146C">
      <w:pPr>
        <w:spacing w:line="600" w:lineRule="exact"/>
        <w:ind w:firstLineChars="200" w:firstLine="64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四、存在问题、原因分析及建议</w:t>
      </w:r>
    </w:p>
    <w:p w:rsidR="00347A63" w:rsidRDefault="00EA146C" w:rsidP="00352FA3">
      <w:pPr>
        <w:autoSpaceDN w:val="0"/>
        <w:spacing w:line="600" w:lineRule="exact"/>
        <w:ind w:firstLineChars="200" w:firstLine="640"/>
        <w:rPr>
          <w:rFonts w:ascii="仿宋_GB2312" w:eastAsia="仿宋_GB2312" w:hAnsi="仿宋_GB2312" w:cs="仿宋_GB2312"/>
          <w:b/>
          <w:color w:val="000000" w:themeColor="text1"/>
          <w:sz w:val="32"/>
          <w:szCs w:val="32"/>
        </w:rPr>
      </w:pPr>
      <w:r>
        <w:rPr>
          <w:rFonts w:ascii="楷体_GB2312" w:eastAsia="楷体_GB2312" w:hAnsi="楷体_GB2312" w:cs="楷体_GB2312" w:hint="eastAsia"/>
          <w:b/>
          <w:bCs/>
          <w:color w:val="000000" w:themeColor="text1"/>
          <w:sz w:val="32"/>
          <w:szCs w:val="32"/>
        </w:rPr>
        <w:t>1.存在问题：</w:t>
      </w:r>
      <w:r>
        <w:rPr>
          <w:rFonts w:ascii="仿宋_GB2312" w:eastAsia="仿宋_GB2312" w:hAnsi="仿宋_GB2312" w:cs="仿宋_GB2312" w:hint="eastAsia"/>
          <w:color w:val="000000" w:themeColor="text1"/>
          <w:sz w:val="32"/>
          <w:szCs w:val="32"/>
        </w:rPr>
        <w:t>民族宗教工作责任大，任务重。管理状态，运转机制不太顺畅，导致民族宗教工作压力大。</w:t>
      </w:r>
    </w:p>
    <w:p w:rsidR="00347A63" w:rsidRDefault="00EA146C" w:rsidP="00352FA3">
      <w:pPr>
        <w:autoSpaceDN w:val="0"/>
        <w:spacing w:line="60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楷体_GB2312" w:cs="楷体_GB2312" w:hint="eastAsia"/>
          <w:b/>
          <w:bCs/>
          <w:color w:val="000000" w:themeColor="text1"/>
          <w:sz w:val="32"/>
          <w:szCs w:val="32"/>
        </w:rPr>
        <w:t>2.原因分析：</w:t>
      </w:r>
      <w:r>
        <w:rPr>
          <w:rFonts w:ascii="仿宋_GB2312" w:eastAsia="仿宋_GB2312" w:hAnsi="仿宋_GB2312" w:cs="仿宋_GB2312" w:hint="eastAsia"/>
          <w:color w:val="000000" w:themeColor="text1"/>
          <w:sz w:val="32"/>
          <w:szCs w:val="32"/>
        </w:rPr>
        <w:t>民族大病医疗力度太小，需救助的群众太多。</w:t>
      </w:r>
    </w:p>
    <w:p w:rsidR="00347A63" w:rsidRDefault="00EA146C" w:rsidP="00952FD6">
      <w:pPr>
        <w:autoSpaceDN w:val="0"/>
        <w:spacing w:line="60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楷体_GB2312" w:cs="楷体_GB2312" w:hint="eastAsia"/>
          <w:b/>
          <w:bCs/>
          <w:color w:val="000000" w:themeColor="text1"/>
          <w:sz w:val="32"/>
          <w:szCs w:val="32"/>
        </w:rPr>
        <w:t>3.建议：</w:t>
      </w:r>
      <w:r>
        <w:rPr>
          <w:rFonts w:ascii="仿宋_GB2312" w:eastAsia="仿宋_GB2312" w:hAnsi="仿宋_GB2312" w:cs="仿宋_GB2312" w:hint="eastAsia"/>
          <w:color w:val="000000" w:themeColor="text1"/>
          <w:sz w:val="32"/>
          <w:szCs w:val="32"/>
        </w:rPr>
        <w:t>制订年度项目资金预算方案前，认真做好每个项目的市场预测和绩效目标分析，每月向局领导班子通报资金使用情况，以便及时作出调整，实现项目资金利用效率最大化。</w:t>
      </w:r>
      <w:r>
        <w:rPr>
          <w:rFonts w:ascii="仿宋_GB2312" w:eastAsia="仿宋_GB2312" w:hAnsi="仿宋_GB2312" w:cs="仿宋_GB2312" w:hint="eastAsia"/>
          <w:color w:val="000000" w:themeColor="text1"/>
          <w:sz w:val="32"/>
          <w:szCs w:val="32"/>
        </w:rPr>
        <w:br w:type="page"/>
      </w:r>
    </w:p>
    <w:p w:rsidR="00347A63" w:rsidRDefault="00EA146C">
      <w:pPr>
        <w:autoSpaceDN w:val="0"/>
        <w:spacing w:line="6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芷江侗族自治县少数民族医疗减免费专项</w:t>
      </w:r>
    </w:p>
    <w:p w:rsidR="00347A63" w:rsidRDefault="00EA146C">
      <w:pPr>
        <w:autoSpaceDN w:val="0"/>
        <w:spacing w:line="6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资金支出绩效目标指标</w:t>
      </w:r>
    </w:p>
    <w:p w:rsidR="00347A63" w:rsidRDefault="00EA146C" w:rsidP="00952FD6">
      <w:pPr>
        <w:spacing w:beforeLines="50" w:afterLines="30" w:line="360" w:lineRule="exact"/>
        <w:rPr>
          <w:rFonts w:asciiTheme="minorEastAsia" w:eastAsiaTheme="minorEastAsia" w:hAnsiTheme="minorEastAsia" w:cstheme="minorEastAsia"/>
          <w:color w:val="000000" w:themeColor="text1"/>
          <w:kern w:val="0"/>
          <w:sz w:val="28"/>
          <w:szCs w:val="28"/>
        </w:rPr>
      </w:pPr>
      <w:r>
        <w:rPr>
          <w:rFonts w:asciiTheme="minorEastAsia" w:eastAsiaTheme="minorEastAsia" w:hAnsiTheme="minorEastAsia" w:cstheme="minorEastAsia" w:hint="eastAsia"/>
          <w:color w:val="000000" w:themeColor="text1"/>
          <w:kern w:val="0"/>
          <w:sz w:val="28"/>
          <w:szCs w:val="28"/>
        </w:rPr>
        <w:t>填报单位：芷江侗族自治县文化旅游广电体育局</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902"/>
        <w:gridCol w:w="596"/>
        <w:gridCol w:w="629"/>
        <w:gridCol w:w="1341"/>
        <w:gridCol w:w="709"/>
        <w:gridCol w:w="2033"/>
        <w:gridCol w:w="2544"/>
        <w:gridCol w:w="486"/>
        <w:gridCol w:w="506"/>
      </w:tblGrid>
      <w:tr w:rsidR="00347A63">
        <w:trPr>
          <w:trHeight w:val="915"/>
          <w:tblHeader/>
          <w:jc w:val="center"/>
        </w:trPr>
        <w:tc>
          <w:tcPr>
            <w:tcW w:w="643"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一级指标</w:t>
            </w:r>
          </w:p>
        </w:tc>
        <w:tc>
          <w:tcPr>
            <w:tcW w:w="902" w:type="dxa"/>
            <w:noWrap/>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b/>
                <w:bCs/>
                <w:color w:val="000000" w:themeColor="text1"/>
                <w:kern w:val="0"/>
                <w:szCs w:val="21"/>
              </w:rPr>
              <w:t>分值</w:t>
            </w:r>
          </w:p>
        </w:tc>
        <w:tc>
          <w:tcPr>
            <w:tcW w:w="596"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二级指标</w:t>
            </w:r>
          </w:p>
        </w:tc>
        <w:tc>
          <w:tcPr>
            <w:tcW w:w="629"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分值</w:t>
            </w:r>
          </w:p>
        </w:tc>
        <w:tc>
          <w:tcPr>
            <w:tcW w:w="1341"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三级指标</w:t>
            </w:r>
          </w:p>
        </w:tc>
        <w:tc>
          <w:tcPr>
            <w:tcW w:w="709"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分值</w:t>
            </w:r>
          </w:p>
        </w:tc>
        <w:tc>
          <w:tcPr>
            <w:tcW w:w="2033"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指标解释</w:t>
            </w:r>
          </w:p>
        </w:tc>
        <w:tc>
          <w:tcPr>
            <w:tcW w:w="2544"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评价标准</w:t>
            </w:r>
          </w:p>
        </w:tc>
        <w:tc>
          <w:tcPr>
            <w:tcW w:w="486"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分值</w:t>
            </w:r>
          </w:p>
        </w:tc>
        <w:tc>
          <w:tcPr>
            <w:tcW w:w="506"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备注</w:t>
            </w:r>
          </w:p>
        </w:tc>
      </w:tr>
      <w:tr w:rsidR="00347A63">
        <w:trPr>
          <w:trHeight w:val="675"/>
          <w:jc w:val="center"/>
        </w:trPr>
        <w:tc>
          <w:tcPr>
            <w:tcW w:w="643" w:type="dxa"/>
            <w:vMerge w:val="restart"/>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投</w:t>
            </w:r>
          </w:p>
          <w:p w:rsidR="00347A63" w:rsidRDefault="00347A63">
            <w:pPr>
              <w:widowControl/>
              <w:jc w:val="center"/>
              <w:rPr>
                <w:rFonts w:asciiTheme="minorEastAsia" w:eastAsiaTheme="minorEastAsia" w:hAnsiTheme="minorEastAsia" w:cstheme="minorEastAsia"/>
                <w:color w:val="000000" w:themeColor="text1"/>
                <w:kern w:val="0"/>
                <w:szCs w:val="21"/>
              </w:rPr>
            </w:pPr>
          </w:p>
          <w:p w:rsidR="00347A63" w:rsidRDefault="00347A63">
            <w:pPr>
              <w:widowControl/>
              <w:jc w:val="center"/>
              <w:rPr>
                <w:rFonts w:asciiTheme="minorEastAsia" w:eastAsiaTheme="minorEastAsia" w:hAnsiTheme="minorEastAsia" w:cstheme="minorEastAsia"/>
                <w:color w:val="000000" w:themeColor="text1"/>
                <w:kern w:val="0"/>
                <w:szCs w:val="21"/>
              </w:rPr>
            </w:pPr>
          </w:p>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入</w:t>
            </w:r>
          </w:p>
        </w:tc>
        <w:tc>
          <w:tcPr>
            <w:tcW w:w="902" w:type="dxa"/>
            <w:vMerge w:val="restart"/>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20</w:t>
            </w:r>
          </w:p>
        </w:tc>
        <w:tc>
          <w:tcPr>
            <w:tcW w:w="596" w:type="dxa"/>
            <w:vMerge w:val="restart"/>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项目立项</w:t>
            </w:r>
          </w:p>
        </w:tc>
        <w:tc>
          <w:tcPr>
            <w:tcW w:w="629" w:type="dxa"/>
            <w:vMerge w:val="restart"/>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w:t>
            </w:r>
          </w:p>
        </w:tc>
        <w:tc>
          <w:tcPr>
            <w:tcW w:w="1341" w:type="dxa"/>
            <w:noWrap/>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项目立项规范性</w:t>
            </w:r>
          </w:p>
        </w:tc>
        <w:tc>
          <w:tcPr>
            <w:tcW w:w="709"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2033"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项目的申请、设立过程是否符合相关要求，用以反映和考核项目立项的规范情况。</w:t>
            </w:r>
          </w:p>
        </w:tc>
        <w:tc>
          <w:tcPr>
            <w:tcW w:w="2544"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①项目是否按照规定的程序设立1分；②所提交的文件、材料是否符合相关要求1分。</w:t>
            </w:r>
          </w:p>
        </w:tc>
        <w:tc>
          <w:tcPr>
            <w:tcW w:w="48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506"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2334"/>
          <w:jc w:val="center"/>
        </w:trPr>
        <w:tc>
          <w:tcPr>
            <w:tcW w:w="643"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902"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596"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629"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1341" w:type="dxa"/>
            <w:noWrap/>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绩效目标合理性</w:t>
            </w:r>
          </w:p>
        </w:tc>
        <w:tc>
          <w:tcPr>
            <w:tcW w:w="709"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2033"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项目所设定的绩效目标是否依据充分，是否符合客观实际，用以反映和考核项目绩效目标与项目实施的相符情况。</w:t>
            </w:r>
          </w:p>
        </w:tc>
        <w:tc>
          <w:tcPr>
            <w:tcW w:w="2544"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①是否符合国家相关法律法规、国民经济发展规划和党委政府决策1分；③项目是否为促进事业发展所必需1分；④项目预期产出效益和效果是否符合正常的业绩水平1分。</w:t>
            </w:r>
          </w:p>
        </w:tc>
        <w:tc>
          <w:tcPr>
            <w:tcW w:w="48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506"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hRule="exact" w:val="1794"/>
          <w:jc w:val="center"/>
        </w:trPr>
        <w:tc>
          <w:tcPr>
            <w:tcW w:w="643"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902"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596"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629"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1341" w:type="dxa"/>
            <w:noWrap/>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绩效指标明确性</w:t>
            </w:r>
          </w:p>
        </w:tc>
        <w:tc>
          <w:tcPr>
            <w:tcW w:w="709"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4</w:t>
            </w:r>
          </w:p>
        </w:tc>
        <w:tc>
          <w:tcPr>
            <w:tcW w:w="2033"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依据绩效目标设定的绩效指标是否清晰、细化、可衡量等，用以反映和考核项目绩效目标的明细化情况。</w:t>
            </w:r>
          </w:p>
        </w:tc>
        <w:tc>
          <w:tcPr>
            <w:tcW w:w="2544"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①是否将项目绩效目标细化分解为具体的绩效指标1.5分；②是否通过清晰、可衡量的指标值予以体现1.5分。</w:t>
            </w:r>
          </w:p>
        </w:tc>
        <w:tc>
          <w:tcPr>
            <w:tcW w:w="48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4</w:t>
            </w:r>
          </w:p>
        </w:tc>
        <w:tc>
          <w:tcPr>
            <w:tcW w:w="506"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hRule="exact" w:val="2494"/>
          <w:jc w:val="center"/>
        </w:trPr>
        <w:tc>
          <w:tcPr>
            <w:tcW w:w="643"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902"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596" w:type="dxa"/>
            <w:vMerge w:val="restart"/>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资金落实</w:t>
            </w:r>
          </w:p>
        </w:tc>
        <w:tc>
          <w:tcPr>
            <w:tcW w:w="629" w:type="dxa"/>
            <w:vMerge w:val="restart"/>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w:t>
            </w:r>
          </w:p>
        </w:tc>
        <w:tc>
          <w:tcPr>
            <w:tcW w:w="1341" w:type="dxa"/>
            <w:noWrap/>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资金到位率</w:t>
            </w:r>
          </w:p>
        </w:tc>
        <w:tc>
          <w:tcPr>
            <w:tcW w:w="709"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w:t>
            </w:r>
          </w:p>
        </w:tc>
        <w:tc>
          <w:tcPr>
            <w:tcW w:w="2033"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实际到位资金与计划投入资金的比率，用以反映和考核资金落实情况对项目实施的总体保障程度。</w:t>
            </w:r>
          </w:p>
        </w:tc>
        <w:tc>
          <w:tcPr>
            <w:tcW w:w="2544"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资金到位率=（实际到位资金/计划投入资金）×100%。   实际到位资金：一定时期（本年度或项目期）内实际落实到具体项目的资金。                                 计划投入资金：一定时期（本年度或项目期）内计划投入到具体项目的资金。</w:t>
            </w:r>
          </w:p>
        </w:tc>
        <w:tc>
          <w:tcPr>
            <w:tcW w:w="48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w:t>
            </w:r>
          </w:p>
        </w:tc>
        <w:tc>
          <w:tcPr>
            <w:tcW w:w="506"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hRule="exact" w:val="2494"/>
          <w:jc w:val="center"/>
        </w:trPr>
        <w:tc>
          <w:tcPr>
            <w:tcW w:w="643"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902"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596"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629"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1341" w:type="dxa"/>
            <w:noWrap/>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到位及时率</w:t>
            </w:r>
          </w:p>
        </w:tc>
        <w:tc>
          <w:tcPr>
            <w:tcW w:w="709"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w:t>
            </w:r>
          </w:p>
        </w:tc>
        <w:tc>
          <w:tcPr>
            <w:tcW w:w="2033"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及时到位资金与应到位资金的比率，用以反映和考核项目资金落实的及时性程度。</w:t>
            </w:r>
          </w:p>
        </w:tc>
        <w:tc>
          <w:tcPr>
            <w:tcW w:w="2544"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到位及时率=（及时到位资金/应到位资金）×100%。     及时到位资金：截至规定时点实际落实到具体项目的资金。  应到位资金：按照合同或项目进度要求截至规定时点应落实到具体项目的资金。</w:t>
            </w:r>
          </w:p>
        </w:tc>
        <w:tc>
          <w:tcPr>
            <w:tcW w:w="48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w:t>
            </w:r>
          </w:p>
        </w:tc>
        <w:tc>
          <w:tcPr>
            <w:tcW w:w="506"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hRule="exact" w:val="1582"/>
          <w:jc w:val="center"/>
        </w:trPr>
        <w:tc>
          <w:tcPr>
            <w:tcW w:w="643" w:type="dxa"/>
            <w:vMerge w:val="restart"/>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lastRenderedPageBreak/>
              <w:t>过</w:t>
            </w:r>
          </w:p>
          <w:p w:rsidR="00347A63" w:rsidRDefault="00347A63">
            <w:pPr>
              <w:widowControl/>
              <w:jc w:val="center"/>
              <w:rPr>
                <w:rFonts w:asciiTheme="minorEastAsia" w:eastAsiaTheme="minorEastAsia" w:hAnsiTheme="minorEastAsia" w:cstheme="minorEastAsia"/>
                <w:color w:val="000000" w:themeColor="text1"/>
                <w:kern w:val="0"/>
                <w:szCs w:val="21"/>
              </w:rPr>
            </w:pPr>
          </w:p>
          <w:p w:rsidR="00347A63" w:rsidRDefault="00347A63">
            <w:pPr>
              <w:widowControl/>
              <w:jc w:val="center"/>
              <w:rPr>
                <w:rFonts w:asciiTheme="minorEastAsia" w:eastAsiaTheme="minorEastAsia" w:hAnsiTheme="minorEastAsia" w:cstheme="minorEastAsia"/>
                <w:color w:val="000000" w:themeColor="text1"/>
                <w:kern w:val="0"/>
                <w:szCs w:val="21"/>
              </w:rPr>
            </w:pPr>
          </w:p>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程</w:t>
            </w:r>
          </w:p>
        </w:tc>
        <w:tc>
          <w:tcPr>
            <w:tcW w:w="902" w:type="dxa"/>
            <w:vMerge w:val="restart"/>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30</w:t>
            </w:r>
          </w:p>
        </w:tc>
        <w:tc>
          <w:tcPr>
            <w:tcW w:w="596" w:type="dxa"/>
            <w:vMerge w:val="restart"/>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业务管理</w:t>
            </w:r>
          </w:p>
        </w:tc>
        <w:tc>
          <w:tcPr>
            <w:tcW w:w="629" w:type="dxa"/>
            <w:vMerge w:val="restart"/>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9</w:t>
            </w:r>
          </w:p>
        </w:tc>
        <w:tc>
          <w:tcPr>
            <w:tcW w:w="1341"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管理制度健全性</w:t>
            </w:r>
          </w:p>
        </w:tc>
        <w:tc>
          <w:tcPr>
            <w:tcW w:w="709"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2033"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项目实施单位的业务管理制度是否健全，用以反映和考核业务管理制度对项目顺利实施的保障情况。</w:t>
            </w:r>
          </w:p>
        </w:tc>
        <w:tc>
          <w:tcPr>
            <w:tcW w:w="2544"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已制定或具有相应的业务管理制度，并且业务管理制度合法、合规、完整2分；有制度，不合法、合规、完整1分；没有0分。</w:t>
            </w:r>
          </w:p>
        </w:tc>
        <w:tc>
          <w:tcPr>
            <w:tcW w:w="48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506"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hRule="exact" w:val="1558"/>
          <w:jc w:val="center"/>
        </w:trPr>
        <w:tc>
          <w:tcPr>
            <w:tcW w:w="643"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902"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596"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629"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1341"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制度执行有效性</w:t>
            </w:r>
          </w:p>
        </w:tc>
        <w:tc>
          <w:tcPr>
            <w:tcW w:w="709"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2033"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项目实施是否符合相关业务管理规定，用以反映和考核业务管理制度的有效执行情况。</w:t>
            </w:r>
          </w:p>
        </w:tc>
        <w:tc>
          <w:tcPr>
            <w:tcW w:w="2544"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遵守相关法律法规和业务管理规定3分，一般2分，不遵守0分。</w:t>
            </w:r>
          </w:p>
        </w:tc>
        <w:tc>
          <w:tcPr>
            <w:tcW w:w="48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506"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hRule="exact" w:val="1934"/>
          <w:jc w:val="center"/>
        </w:trPr>
        <w:tc>
          <w:tcPr>
            <w:tcW w:w="643"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902"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596"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629"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1341"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项目质量可控性</w:t>
            </w:r>
          </w:p>
        </w:tc>
        <w:tc>
          <w:tcPr>
            <w:tcW w:w="709"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2033"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项目单位是否为达到项目质量要求而采取了必需的措施，用以反映和考核项目单位对项目质量的控制情况。</w:t>
            </w:r>
          </w:p>
        </w:tc>
        <w:tc>
          <w:tcPr>
            <w:tcW w:w="2544"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已制定或具有相应的项目质量要求或标准，采取了相应的项目质量检查、验收等必需的控制措施或手段记3分，没有制定记0分。                  </w:t>
            </w:r>
          </w:p>
        </w:tc>
        <w:tc>
          <w:tcPr>
            <w:tcW w:w="48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506"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675"/>
          <w:jc w:val="center"/>
        </w:trPr>
        <w:tc>
          <w:tcPr>
            <w:tcW w:w="643"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902"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596" w:type="dxa"/>
            <w:vMerge w:val="restart"/>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财务管理</w:t>
            </w:r>
          </w:p>
        </w:tc>
        <w:tc>
          <w:tcPr>
            <w:tcW w:w="629" w:type="dxa"/>
            <w:vMerge w:val="restart"/>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21</w:t>
            </w:r>
          </w:p>
        </w:tc>
        <w:tc>
          <w:tcPr>
            <w:tcW w:w="1341"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管理制度健全性</w:t>
            </w:r>
          </w:p>
        </w:tc>
        <w:tc>
          <w:tcPr>
            <w:tcW w:w="709"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2033"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项目实施单位的财务制度是否健全，用以反映和考核财务管理制度对资金规范、安全运行的保障情况。</w:t>
            </w:r>
          </w:p>
        </w:tc>
        <w:tc>
          <w:tcPr>
            <w:tcW w:w="2544"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已制定或具有相应的项目资金管理办法并符合相关财务会计制度2分；有资金管理办法但不符合相关财务会计制度1分，没有0分。</w:t>
            </w:r>
          </w:p>
        </w:tc>
        <w:tc>
          <w:tcPr>
            <w:tcW w:w="48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506"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794"/>
          <w:jc w:val="center"/>
        </w:trPr>
        <w:tc>
          <w:tcPr>
            <w:tcW w:w="643"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902"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596"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629"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1341"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会计核算是否准确规范</w:t>
            </w:r>
          </w:p>
        </w:tc>
        <w:tc>
          <w:tcPr>
            <w:tcW w:w="709"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2033"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是否有专账，资金是否专款专用</w:t>
            </w:r>
          </w:p>
        </w:tc>
        <w:tc>
          <w:tcPr>
            <w:tcW w:w="2544"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规范3分，一般2分，不规范1分。</w:t>
            </w:r>
          </w:p>
        </w:tc>
        <w:tc>
          <w:tcPr>
            <w:tcW w:w="48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506"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794"/>
          <w:jc w:val="center"/>
        </w:trPr>
        <w:tc>
          <w:tcPr>
            <w:tcW w:w="643"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902"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596"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629"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1341"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支出审核流程是否规范</w:t>
            </w:r>
          </w:p>
        </w:tc>
        <w:tc>
          <w:tcPr>
            <w:tcW w:w="709"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2033"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2544"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规范5分，一般3分，不规范1分。</w:t>
            </w:r>
          </w:p>
        </w:tc>
        <w:tc>
          <w:tcPr>
            <w:tcW w:w="48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506"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794"/>
          <w:jc w:val="center"/>
        </w:trPr>
        <w:tc>
          <w:tcPr>
            <w:tcW w:w="643"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902"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596"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629"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1341"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会计资料是否真实完整</w:t>
            </w:r>
          </w:p>
        </w:tc>
        <w:tc>
          <w:tcPr>
            <w:tcW w:w="709"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2033"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2544"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完整3分，一般2分，不完整1分。</w:t>
            </w:r>
          </w:p>
        </w:tc>
        <w:tc>
          <w:tcPr>
            <w:tcW w:w="48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506"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794"/>
          <w:jc w:val="center"/>
        </w:trPr>
        <w:tc>
          <w:tcPr>
            <w:tcW w:w="643"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902"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596"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629"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1341"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是否建立内部控制制度</w:t>
            </w:r>
          </w:p>
        </w:tc>
        <w:tc>
          <w:tcPr>
            <w:tcW w:w="709"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2033"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2544"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完善3分，一般2分，不完善1分。</w:t>
            </w:r>
          </w:p>
        </w:tc>
        <w:tc>
          <w:tcPr>
            <w:tcW w:w="48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506"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794"/>
          <w:jc w:val="center"/>
        </w:trPr>
        <w:tc>
          <w:tcPr>
            <w:tcW w:w="643"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902"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596"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629"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1341"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是否按规定执行财务制度</w:t>
            </w:r>
          </w:p>
        </w:tc>
        <w:tc>
          <w:tcPr>
            <w:tcW w:w="709"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2033"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2544"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规范4分，一般3分，不规2分。</w:t>
            </w:r>
          </w:p>
        </w:tc>
        <w:tc>
          <w:tcPr>
            <w:tcW w:w="48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506"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794"/>
          <w:jc w:val="center"/>
        </w:trPr>
        <w:tc>
          <w:tcPr>
            <w:tcW w:w="643"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902"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596"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629"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1341"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会计报表是否完整及时</w:t>
            </w:r>
          </w:p>
        </w:tc>
        <w:tc>
          <w:tcPr>
            <w:tcW w:w="709"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2033"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2544"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按规定3分，基本按规定2分，不按规定1分。</w:t>
            </w:r>
          </w:p>
        </w:tc>
        <w:tc>
          <w:tcPr>
            <w:tcW w:w="48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506"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hRule="exact" w:val="2878"/>
          <w:jc w:val="center"/>
        </w:trPr>
        <w:tc>
          <w:tcPr>
            <w:tcW w:w="643" w:type="dxa"/>
            <w:vMerge w:val="restart"/>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lastRenderedPageBreak/>
              <w:t>产</w:t>
            </w:r>
          </w:p>
          <w:p w:rsidR="00347A63" w:rsidRDefault="00347A63">
            <w:pPr>
              <w:widowControl/>
              <w:jc w:val="center"/>
              <w:rPr>
                <w:rFonts w:asciiTheme="minorEastAsia" w:eastAsiaTheme="minorEastAsia" w:hAnsiTheme="minorEastAsia" w:cstheme="minorEastAsia"/>
                <w:color w:val="000000" w:themeColor="text1"/>
                <w:kern w:val="0"/>
                <w:szCs w:val="21"/>
              </w:rPr>
            </w:pPr>
          </w:p>
          <w:p w:rsidR="00347A63" w:rsidRDefault="00347A63">
            <w:pPr>
              <w:widowControl/>
              <w:jc w:val="center"/>
              <w:rPr>
                <w:rFonts w:asciiTheme="minorEastAsia" w:eastAsiaTheme="minorEastAsia" w:hAnsiTheme="minorEastAsia" w:cstheme="minorEastAsia"/>
                <w:color w:val="000000" w:themeColor="text1"/>
                <w:kern w:val="0"/>
                <w:szCs w:val="21"/>
              </w:rPr>
            </w:pPr>
          </w:p>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出</w:t>
            </w:r>
          </w:p>
        </w:tc>
        <w:tc>
          <w:tcPr>
            <w:tcW w:w="902" w:type="dxa"/>
            <w:vMerge w:val="restart"/>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30</w:t>
            </w:r>
          </w:p>
        </w:tc>
        <w:tc>
          <w:tcPr>
            <w:tcW w:w="596" w:type="dxa"/>
            <w:vMerge w:val="restart"/>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项目产出</w:t>
            </w:r>
          </w:p>
        </w:tc>
        <w:tc>
          <w:tcPr>
            <w:tcW w:w="629" w:type="dxa"/>
            <w:vMerge w:val="restart"/>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30</w:t>
            </w:r>
          </w:p>
        </w:tc>
        <w:tc>
          <w:tcPr>
            <w:tcW w:w="1341"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实际完成率</w:t>
            </w:r>
          </w:p>
        </w:tc>
        <w:tc>
          <w:tcPr>
            <w:tcW w:w="709"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8</w:t>
            </w:r>
          </w:p>
        </w:tc>
        <w:tc>
          <w:tcPr>
            <w:tcW w:w="2033"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项目实施的实际产出数与计划产出数的比率，用以反映和考核项目产出数量目标的实现程度。</w:t>
            </w:r>
          </w:p>
        </w:tc>
        <w:tc>
          <w:tcPr>
            <w:tcW w:w="2544"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实际完成率=（实际产出数/计划产出数）×100%。实际产出数：一定时期（本年度或项目期）内项目实际产出的产品或提供的服务数量。计划产出数：项目绩效目标确定的在一定时期（本年度或项目期）内计划产出的产品或提供的服务数量。</w:t>
            </w:r>
          </w:p>
        </w:tc>
        <w:tc>
          <w:tcPr>
            <w:tcW w:w="48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8</w:t>
            </w:r>
          </w:p>
        </w:tc>
        <w:tc>
          <w:tcPr>
            <w:tcW w:w="506"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hRule="exact" w:val="2803"/>
          <w:jc w:val="center"/>
        </w:trPr>
        <w:tc>
          <w:tcPr>
            <w:tcW w:w="643"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902"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596"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629"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1341"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完成及时率</w:t>
            </w:r>
          </w:p>
        </w:tc>
        <w:tc>
          <w:tcPr>
            <w:tcW w:w="709"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8</w:t>
            </w:r>
          </w:p>
        </w:tc>
        <w:tc>
          <w:tcPr>
            <w:tcW w:w="2033"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项目实际提前完成时间与计划完成时间的比率，用以反映和考核项目产出时效目标的实现程度。</w:t>
            </w:r>
          </w:p>
        </w:tc>
        <w:tc>
          <w:tcPr>
            <w:tcW w:w="2544"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完成及时率=[（计划完成时间-实际完成时间）/计划完成时间]×100%。实际完成时间：项目实施单位完成该项目实际所耗用的时间。计划完成时间：按照项目实施计划或相关规定完成该项目所需的时间。</w:t>
            </w:r>
          </w:p>
        </w:tc>
        <w:tc>
          <w:tcPr>
            <w:tcW w:w="48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8</w:t>
            </w:r>
          </w:p>
        </w:tc>
        <w:tc>
          <w:tcPr>
            <w:tcW w:w="506"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hRule="exact" w:val="3270"/>
          <w:jc w:val="center"/>
        </w:trPr>
        <w:tc>
          <w:tcPr>
            <w:tcW w:w="643"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902"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596"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629"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1341"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质量达标率</w:t>
            </w:r>
          </w:p>
        </w:tc>
        <w:tc>
          <w:tcPr>
            <w:tcW w:w="709"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7</w:t>
            </w:r>
          </w:p>
        </w:tc>
        <w:tc>
          <w:tcPr>
            <w:tcW w:w="2033"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项目完成的质量达标产出数与实际产出数的比率，用以反映和考核项目产出质量目标的实现程度。</w:t>
            </w:r>
          </w:p>
        </w:tc>
        <w:tc>
          <w:tcPr>
            <w:tcW w:w="2544"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质量达标率=（质量达标产出数/实际产出数）×100%。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48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7</w:t>
            </w:r>
          </w:p>
        </w:tc>
        <w:tc>
          <w:tcPr>
            <w:tcW w:w="506"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hRule="exact" w:val="3038"/>
          <w:jc w:val="center"/>
        </w:trPr>
        <w:tc>
          <w:tcPr>
            <w:tcW w:w="643"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902"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596"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629"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1341"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成本节约率</w:t>
            </w:r>
          </w:p>
        </w:tc>
        <w:tc>
          <w:tcPr>
            <w:tcW w:w="709"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7</w:t>
            </w:r>
          </w:p>
        </w:tc>
        <w:tc>
          <w:tcPr>
            <w:tcW w:w="2033"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完成项目计划工作目标的实际节约成本与计划成本的比率，用以反映和考核项目的成本节约程度。</w:t>
            </w:r>
          </w:p>
        </w:tc>
        <w:tc>
          <w:tcPr>
            <w:tcW w:w="2544"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成本节约率=[（计划成本-实际成本）/计划成本]×100%。实际成本：项目单位如期、保质、保量完成既定工作目标实际所耗费的支出。</w:t>
            </w:r>
          </w:p>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计划成本：项目单位为完成工作目标计划安排的支出，一般以项目预算为参考。</w:t>
            </w:r>
          </w:p>
        </w:tc>
        <w:tc>
          <w:tcPr>
            <w:tcW w:w="48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7</w:t>
            </w:r>
          </w:p>
        </w:tc>
        <w:tc>
          <w:tcPr>
            <w:tcW w:w="506"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1134"/>
          <w:jc w:val="center"/>
        </w:trPr>
        <w:tc>
          <w:tcPr>
            <w:tcW w:w="643" w:type="dxa"/>
            <w:vMerge w:val="restart"/>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lastRenderedPageBreak/>
              <w:t>效</w:t>
            </w:r>
          </w:p>
          <w:p w:rsidR="00347A63" w:rsidRDefault="00347A63">
            <w:pPr>
              <w:widowControl/>
              <w:jc w:val="center"/>
              <w:rPr>
                <w:rFonts w:asciiTheme="minorEastAsia" w:eastAsiaTheme="minorEastAsia" w:hAnsiTheme="minorEastAsia" w:cstheme="minorEastAsia"/>
                <w:color w:val="000000" w:themeColor="text1"/>
                <w:kern w:val="0"/>
                <w:szCs w:val="21"/>
              </w:rPr>
            </w:pPr>
          </w:p>
          <w:p w:rsidR="00347A63" w:rsidRDefault="00347A63">
            <w:pPr>
              <w:widowControl/>
              <w:jc w:val="center"/>
              <w:rPr>
                <w:rFonts w:asciiTheme="minorEastAsia" w:eastAsiaTheme="minorEastAsia" w:hAnsiTheme="minorEastAsia" w:cstheme="minorEastAsia"/>
                <w:color w:val="000000" w:themeColor="text1"/>
                <w:kern w:val="0"/>
                <w:szCs w:val="21"/>
              </w:rPr>
            </w:pPr>
          </w:p>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果</w:t>
            </w:r>
          </w:p>
        </w:tc>
        <w:tc>
          <w:tcPr>
            <w:tcW w:w="902" w:type="dxa"/>
            <w:vMerge w:val="restart"/>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20</w:t>
            </w:r>
          </w:p>
        </w:tc>
        <w:tc>
          <w:tcPr>
            <w:tcW w:w="596" w:type="dxa"/>
            <w:vMerge w:val="restart"/>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项目效益</w:t>
            </w:r>
          </w:p>
        </w:tc>
        <w:tc>
          <w:tcPr>
            <w:tcW w:w="629" w:type="dxa"/>
            <w:vMerge w:val="restart"/>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20</w:t>
            </w:r>
          </w:p>
        </w:tc>
        <w:tc>
          <w:tcPr>
            <w:tcW w:w="1341"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经济效益</w:t>
            </w:r>
          </w:p>
        </w:tc>
        <w:tc>
          <w:tcPr>
            <w:tcW w:w="709"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4 </w:t>
            </w:r>
          </w:p>
        </w:tc>
        <w:tc>
          <w:tcPr>
            <w:tcW w:w="2033"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项目实施对经济发展所带来的直接或间接影响情况。</w:t>
            </w:r>
          </w:p>
        </w:tc>
        <w:tc>
          <w:tcPr>
            <w:tcW w:w="2544"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好4分，一般3分，不好2分。</w:t>
            </w:r>
          </w:p>
        </w:tc>
        <w:tc>
          <w:tcPr>
            <w:tcW w:w="48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4 </w:t>
            </w:r>
          </w:p>
        </w:tc>
        <w:tc>
          <w:tcPr>
            <w:tcW w:w="506"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1134"/>
          <w:jc w:val="center"/>
        </w:trPr>
        <w:tc>
          <w:tcPr>
            <w:tcW w:w="643"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902"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596"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629"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1341"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社会效益</w:t>
            </w:r>
          </w:p>
        </w:tc>
        <w:tc>
          <w:tcPr>
            <w:tcW w:w="709"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4</w:t>
            </w:r>
          </w:p>
        </w:tc>
        <w:tc>
          <w:tcPr>
            <w:tcW w:w="2033"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项目实施对社会发展所带来的直接或间接影响情况。</w:t>
            </w:r>
          </w:p>
        </w:tc>
        <w:tc>
          <w:tcPr>
            <w:tcW w:w="2544"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好4分，一般3分，不好2分。</w:t>
            </w:r>
          </w:p>
        </w:tc>
        <w:tc>
          <w:tcPr>
            <w:tcW w:w="48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4</w:t>
            </w:r>
          </w:p>
        </w:tc>
        <w:tc>
          <w:tcPr>
            <w:tcW w:w="506"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1134"/>
          <w:jc w:val="center"/>
        </w:trPr>
        <w:tc>
          <w:tcPr>
            <w:tcW w:w="643"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902"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596"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629"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1341"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生态效益</w:t>
            </w:r>
          </w:p>
        </w:tc>
        <w:tc>
          <w:tcPr>
            <w:tcW w:w="709"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4</w:t>
            </w:r>
          </w:p>
        </w:tc>
        <w:tc>
          <w:tcPr>
            <w:tcW w:w="2033"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项目实施对生态环境所带来的直接或间接影响情况。</w:t>
            </w:r>
          </w:p>
        </w:tc>
        <w:tc>
          <w:tcPr>
            <w:tcW w:w="2544"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好4分，一般3分，不好2分。</w:t>
            </w:r>
          </w:p>
        </w:tc>
        <w:tc>
          <w:tcPr>
            <w:tcW w:w="48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506"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1134"/>
          <w:jc w:val="center"/>
        </w:trPr>
        <w:tc>
          <w:tcPr>
            <w:tcW w:w="643"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902"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596"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629"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1341"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可持续影响</w:t>
            </w:r>
          </w:p>
        </w:tc>
        <w:tc>
          <w:tcPr>
            <w:tcW w:w="709"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4</w:t>
            </w:r>
          </w:p>
        </w:tc>
        <w:tc>
          <w:tcPr>
            <w:tcW w:w="2033"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项目后续运行及成效发挥的可持续影响情况。</w:t>
            </w:r>
          </w:p>
        </w:tc>
        <w:tc>
          <w:tcPr>
            <w:tcW w:w="2544"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好4分，一般3分，不好2分。</w:t>
            </w:r>
          </w:p>
        </w:tc>
        <w:tc>
          <w:tcPr>
            <w:tcW w:w="48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506"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1134"/>
          <w:jc w:val="center"/>
        </w:trPr>
        <w:tc>
          <w:tcPr>
            <w:tcW w:w="643"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902"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596"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629" w:type="dxa"/>
            <w:vMerge/>
            <w:tcMar>
              <w:top w:w="0" w:type="dxa"/>
              <w:left w:w="57" w:type="dxa"/>
              <w:bottom w:w="0" w:type="dxa"/>
              <w:right w:w="57" w:type="dxa"/>
            </w:tcMar>
            <w:vAlign w:val="center"/>
          </w:tcPr>
          <w:p w:rsidR="00347A63" w:rsidRDefault="00347A63">
            <w:pPr>
              <w:widowControl/>
              <w:jc w:val="left"/>
              <w:rPr>
                <w:rFonts w:asciiTheme="minorEastAsia" w:eastAsiaTheme="minorEastAsia" w:hAnsiTheme="minorEastAsia" w:cstheme="minorEastAsia"/>
                <w:color w:val="000000" w:themeColor="text1"/>
                <w:kern w:val="0"/>
                <w:szCs w:val="21"/>
              </w:rPr>
            </w:pPr>
          </w:p>
        </w:tc>
        <w:tc>
          <w:tcPr>
            <w:tcW w:w="1341"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社会公众或服务对象满意度</w:t>
            </w:r>
          </w:p>
        </w:tc>
        <w:tc>
          <w:tcPr>
            <w:tcW w:w="709"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4</w:t>
            </w:r>
          </w:p>
        </w:tc>
        <w:tc>
          <w:tcPr>
            <w:tcW w:w="2033"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群众对民族部门服务的满意程度。</w:t>
            </w:r>
          </w:p>
        </w:tc>
        <w:tc>
          <w:tcPr>
            <w:tcW w:w="2544"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满意度80%以上得满分，每下降2个百分点扣0.5分，扣完为止。</w:t>
            </w:r>
          </w:p>
        </w:tc>
        <w:tc>
          <w:tcPr>
            <w:tcW w:w="48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4</w:t>
            </w:r>
          </w:p>
        </w:tc>
        <w:tc>
          <w:tcPr>
            <w:tcW w:w="506"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739"/>
          <w:jc w:val="center"/>
        </w:trPr>
        <w:tc>
          <w:tcPr>
            <w:tcW w:w="643"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总分</w:t>
            </w:r>
          </w:p>
        </w:tc>
        <w:tc>
          <w:tcPr>
            <w:tcW w:w="902"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100</w:t>
            </w:r>
          </w:p>
        </w:tc>
        <w:tc>
          <w:tcPr>
            <w:tcW w:w="596"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 xml:space="preserve">　</w:t>
            </w:r>
          </w:p>
        </w:tc>
        <w:tc>
          <w:tcPr>
            <w:tcW w:w="629"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100</w:t>
            </w:r>
          </w:p>
        </w:tc>
        <w:tc>
          <w:tcPr>
            <w:tcW w:w="1341" w:type="dxa"/>
            <w:tcMar>
              <w:top w:w="0" w:type="dxa"/>
              <w:left w:w="57" w:type="dxa"/>
              <w:bottom w:w="0" w:type="dxa"/>
              <w:right w:w="57" w:type="dxa"/>
            </w:tcMar>
            <w:vAlign w:val="center"/>
          </w:tcPr>
          <w:p w:rsidR="00347A63" w:rsidRDefault="00EA146C">
            <w:pPr>
              <w:widowControl/>
              <w:jc w:val="left"/>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 xml:space="preserve">　</w:t>
            </w:r>
          </w:p>
        </w:tc>
        <w:tc>
          <w:tcPr>
            <w:tcW w:w="709" w:type="dxa"/>
            <w:tcMar>
              <w:top w:w="0" w:type="dxa"/>
              <w:left w:w="57" w:type="dxa"/>
              <w:bottom w:w="0" w:type="dxa"/>
              <w:right w:w="57" w:type="dxa"/>
            </w:tcMar>
            <w:vAlign w:val="center"/>
          </w:tcPr>
          <w:p w:rsidR="00347A63" w:rsidRDefault="00EA146C">
            <w:pPr>
              <w:widowControl/>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100</w:t>
            </w:r>
          </w:p>
        </w:tc>
        <w:tc>
          <w:tcPr>
            <w:tcW w:w="2033"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 xml:space="preserve">　</w:t>
            </w:r>
          </w:p>
        </w:tc>
        <w:tc>
          <w:tcPr>
            <w:tcW w:w="2544"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 xml:space="preserve">　</w:t>
            </w:r>
          </w:p>
        </w:tc>
        <w:tc>
          <w:tcPr>
            <w:tcW w:w="48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98</w:t>
            </w:r>
          </w:p>
        </w:tc>
        <w:tc>
          <w:tcPr>
            <w:tcW w:w="506"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 xml:space="preserve">　</w:t>
            </w:r>
          </w:p>
        </w:tc>
      </w:tr>
    </w:tbl>
    <w:p w:rsidR="00347A63" w:rsidRDefault="00347A63">
      <w:pPr>
        <w:autoSpaceDN w:val="0"/>
        <w:spacing w:line="560" w:lineRule="exact"/>
        <w:ind w:firstLineChars="200" w:firstLine="640"/>
        <w:rPr>
          <w:rFonts w:ascii="仿宋_GB2312" w:eastAsia="仿宋_GB2312"/>
          <w:color w:val="000000" w:themeColor="text1"/>
          <w:sz w:val="32"/>
          <w:szCs w:val="32"/>
        </w:rPr>
      </w:pPr>
    </w:p>
    <w:p w:rsidR="00347A63" w:rsidRDefault="00EA146C">
      <w:pP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br w:type="page"/>
      </w:r>
    </w:p>
    <w:p w:rsidR="00347A63" w:rsidRDefault="00EA146C">
      <w:pPr>
        <w:pStyle w:val="2"/>
        <w:spacing w:before="0" w:beforeAutospacing="0" w:after="0" w:afterAutospacing="0" w:line="600" w:lineRule="exact"/>
        <w:rPr>
          <w:rFonts w:ascii="仿宋_GB2312" w:eastAsia="仿宋_GB2312" w:hAnsi="仿宋_GB2312" w:cs="仿宋_GB2312"/>
          <w:b w:val="0"/>
          <w:bCs w:val="0"/>
          <w:color w:val="000000" w:themeColor="text1"/>
          <w:sz w:val="32"/>
          <w:szCs w:val="32"/>
        </w:rPr>
      </w:pPr>
      <w:r>
        <w:rPr>
          <w:rFonts w:ascii="仿宋_GB2312" w:eastAsia="仿宋_GB2312" w:hAnsi="仿宋_GB2312" w:cs="仿宋_GB2312" w:hint="eastAsia"/>
          <w:b w:val="0"/>
          <w:bCs w:val="0"/>
          <w:color w:val="000000" w:themeColor="text1"/>
          <w:sz w:val="32"/>
          <w:szCs w:val="32"/>
        </w:rPr>
        <w:lastRenderedPageBreak/>
        <w:t>附件5：</w:t>
      </w:r>
    </w:p>
    <w:p w:rsidR="00347A63" w:rsidRDefault="00347A63"/>
    <w:p w:rsidR="00347A63" w:rsidRDefault="00EA146C">
      <w:pPr>
        <w:pStyle w:val="2"/>
        <w:spacing w:before="0" w:beforeAutospacing="0" w:after="0" w:afterAutospacing="0" w:line="600" w:lineRule="exact"/>
        <w:jc w:val="center"/>
        <w:rPr>
          <w:rFonts w:ascii="方正小标宋简体" w:eastAsia="方正小标宋简体" w:hAnsi="方正小标宋简体" w:cs="方正小标宋简体"/>
          <w:b w:val="0"/>
          <w:bCs w:val="0"/>
          <w:color w:val="000000" w:themeColor="text1"/>
          <w:sz w:val="44"/>
          <w:szCs w:val="44"/>
        </w:rPr>
      </w:pPr>
      <w:r>
        <w:rPr>
          <w:rFonts w:ascii="方正小标宋简体" w:eastAsia="方正小标宋简体" w:hAnsi="方正小标宋简体" w:cs="方正小标宋简体" w:hint="eastAsia"/>
          <w:b w:val="0"/>
          <w:bCs w:val="0"/>
          <w:color w:val="000000" w:themeColor="text1"/>
          <w:sz w:val="44"/>
          <w:szCs w:val="44"/>
        </w:rPr>
        <w:t>芷江侗族自治县文化旅游广电体育局</w:t>
      </w:r>
    </w:p>
    <w:p w:rsidR="00347A63" w:rsidRDefault="00EA146C">
      <w:pPr>
        <w:pStyle w:val="2"/>
        <w:spacing w:before="0" w:beforeAutospacing="0" w:after="0" w:afterAutospacing="0" w:line="600" w:lineRule="exact"/>
        <w:jc w:val="center"/>
        <w:rPr>
          <w:rFonts w:ascii="方正小标宋简体" w:eastAsia="方正小标宋简体" w:hAnsi="方正小标宋简体" w:cs="方正小标宋简体"/>
          <w:b w:val="0"/>
          <w:bCs w:val="0"/>
          <w:color w:val="000000" w:themeColor="text1"/>
          <w:sz w:val="44"/>
          <w:szCs w:val="44"/>
        </w:rPr>
      </w:pPr>
      <w:r>
        <w:rPr>
          <w:rFonts w:ascii="方正小标宋简体" w:eastAsia="方正小标宋简体" w:hAnsi="方正小标宋简体" w:cs="方正小标宋简体" w:hint="eastAsia"/>
          <w:b w:val="0"/>
          <w:bCs w:val="0"/>
          <w:color w:val="000000" w:themeColor="text1"/>
          <w:sz w:val="44"/>
          <w:szCs w:val="44"/>
        </w:rPr>
        <w:t>图书馆、文化馆免费开放中央及省级补助资金绩效评价报告</w:t>
      </w:r>
    </w:p>
    <w:p w:rsidR="00347A63" w:rsidRDefault="00347A63">
      <w:pPr>
        <w:autoSpaceDN w:val="0"/>
        <w:spacing w:line="600" w:lineRule="exact"/>
        <w:ind w:firstLineChars="200" w:firstLine="880"/>
        <w:rPr>
          <w:rFonts w:ascii="方正小标宋简体" w:eastAsia="方正小标宋简体" w:hAnsi="方正小标宋简体" w:cs="方正小标宋简体"/>
          <w:color w:val="000000" w:themeColor="text1"/>
          <w:sz w:val="44"/>
          <w:szCs w:val="44"/>
        </w:rPr>
      </w:pPr>
    </w:p>
    <w:p w:rsidR="00347A63" w:rsidRDefault="00EA146C">
      <w:pPr>
        <w:widowControl/>
        <w:spacing w:line="600" w:lineRule="exact"/>
        <w:ind w:firstLineChars="200" w:firstLine="632"/>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pacing w:val="-2"/>
          <w:sz w:val="32"/>
          <w:szCs w:val="32"/>
        </w:rPr>
        <w:t>根据《预算法》有关“各级政府、各部门、各单位应当对预算支出情况开展绩效评价”的规定及县财政局《关于开展2019年度财政资金绩效评价工作的通知》（芷财绩[2020]1号）文件精神，我单位对部门专项支出进行了绩效评价,现将有关情况报告如下：</w:t>
      </w:r>
    </w:p>
    <w:p w:rsidR="00347A63" w:rsidRDefault="00EA146C">
      <w:pPr>
        <w:autoSpaceDN w:val="0"/>
        <w:spacing w:line="600" w:lineRule="exact"/>
        <w:ind w:firstLineChars="200" w:firstLine="64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一、工作简述</w:t>
      </w:r>
    </w:p>
    <w:p w:rsidR="00347A63" w:rsidRDefault="00EA146C" w:rsidP="00352FA3">
      <w:pPr>
        <w:autoSpaceDN w:val="0"/>
        <w:spacing w:line="600" w:lineRule="exact"/>
        <w:ind w:firstLineChars="200" w:firstLine="640"/>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1.评价工作简述</w:t>
      </w:r>
    </w:p>
    <w:p w:rsidR="00347A63" w:rsidRDefault="00EA146C">
      <w:pPr>
        <w:spacing w:line="600" w:lineRule="exact"/>
        <w:ind w:firstLineChars="200" w:firstLine="640"/>
        <w:rPr>
          <w:rFonts w:ascii="仿宋_GB2312" w:eastAsia="仿宋_GB2312" w:hAnsi="仿宋_GB2312" w:cs="仿宋_GB2312"/>
          <w:color w:val="000000" w:themeColor="text1"/>
          <w:spacing w:val="-2"/>
          <w:sz w:val="32"/>
          <w:szCs w:val="32"/>
        </w:rPr>
      </w:pPr>
      <w:r>
        <w:rPr>
          <w:rFonts w:ascii="仿宋_GB2312" w:eastAsia="仿宋_GB2312" w:hAnsi="仿宋_GB2312" w:cs="仿宋_GB2312" w:hint="eastAsia"/>
          <w:color w:val="000000" w:themeColor="text1"/>
          <w:sz w:val="32"/>
          <w:szCs w:val="32"/>
        </w:rPr>
        <w:t>实现文化大发展、大繁荣的内在要求。极大丰富农村文化生活，宣传党和国家的方针、政策，传播科技知识，培养健康文明生活方式，</w:t>
      </w:r>
      <w:r>
        <w:rPr>
          <w:rFonts w:ascii="仿宋_GB2312" w:eastAsia="仿宋_GB2312" w:hAnsi="仿宋_GB2312" w:cs="仿宋_GB2312" w:hint="eastAsia"/>
          <w:color w:val="000000" w:themeColor="text1"/>
          <w:spacing w:val="-2"/>
          <w:sz w:val="32"/>
          <w:szCs w:val="32"/>
        </w:rPr>
        <w:t>组织文化活动，繁荣文化事业。传播社会主义精神文明、组织大型文化活动、创作文化精品，</w:t>
      </w:r>
      <w:r>
        <w:rPr>
          <w:rFonts w:ascii="仿宋_GB2312" w:eastAsia="仿宋_GB2312" w:hAnsi="仿宋_GB2312" w:cs="仿宋_GB2312" w:hint="eastAsia"/>
          <w:color w:val="000000" w:themeColor="text1"/>
          <w:sz w:val="32"/>
          <w:szCs w:val="32"/>
        </w:rPr>
        <w:t>组织开展群众文化进农村、进社区、进学校活动及三下乡活动，</w:t>
      </w:r>
      <w:r>
        <w:rPr>
          <w:rFonts w:ascii="仿宋_GB2312" w:eastAsia="仿宋_GB2312" w:hAnsi="仿宋_GB2312" w:cs="仿宋_GB2312" w:hint="eastAsia"/>
          <w:color w:val="000000" w:themeColor="text1"/>
          <w:spacing w:val="-2"/>
          <w:sz w:val="32"/>
          <w:szCs w:val="32"/>
        </w:rPr>
        <w:t>辅导培训各门类艺术人才。</w:t>
      </w:r>
      <w:r>
        <w:rPr>
          <w:rFonts w:ascii="仿宋_GB2312" w:eastAsia="仿宋_GB2312" w:hAnsi="仿宋_GB2312" w:cs="仿宋_GB2312" w:hint="eastAsia"/>
          <w:color w:val="000000" w:themeColor="text1"/>
          <w:sz w:val="32"/>
          <w:szCs w:val="32"/>
        </w:rPr>
        <w:t>面向全城开展免费开放活动，免费培训。</w:t>
      </w:r>
    </w:p>
    <w:p w:rsidR="00347A63" w:rsidRDefault="00EA146C" w:rsidP="00352FA3">
      <w:pPr>
        <w:autoSpaceDN w:val="0"/>
        <w:spacing w:line="600" w:lineRule="exact"/>
        <w:ind w:firstLineChars="200" w:firstLine="640"/>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2.评价对象概况</w:t>
      </w:r>
    </w:p>
    <w:p w:rsidR="00347A63" w:rsidRDefault="00EA146C">
      <w:pPr>
        <w:autoSpaceDN w:val="0"/>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根据文件要求，绩效评价对象为2019年度农村文化服务体系建设补助(乡镇文化站免费开放),资金126万元, 图书馆、文化</w:t>
      </w:r>
      <w:r>
        <w:rPr>
          <w:rFonts w:ascii="仿宋_GB2312" w:eastAsia="仿宋_GB2312" w:hAnsi="仿宋_GB2312" w:cs="仿宋_GB2312" w:hint="eastAsia"/>
          <w:color w:val="000000" w:themeColor="text1"/>
          <w:sz w:val="32"/>
          <w:szCs w:val="32"/>
        </w:rPr>
        <w:lastRenderedPageBreak/>
        <w:t>馆免费开放中央及省级补助资金34万元，共计 160万元，实际支出160万元。</w:t>
      </w:r>
    </w:p>
    <w:p w:rsidR="00347A63" w:rsidRDefault="00EA146C">
      <w:pPr>
        <w:autoSpaceDN w:val="0"/>
        <w:spacing w:line="600" w:lineRule="exact"/>
        <w:ind w:firstLineChars="200" w:firstLine="64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二、绩效目标及其实现程度</w:t>
      </w:r>
    </w:p>
    <w:p w:rsidR="00347A63" w:rsidRDefault="00EA146C">
      <w:pPr>
        <w:autoSpaceDN w:val="0"/>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2019年度农村文化服务体系建设补助资金(乡镇文化站免费开放),图书馆、文化馆免费开放中央及省级补助资金。</w:t>
      </w:r>
    </w:p>
    <w:p w:rsidR="00347A63" w:rsidRDefault="00EA146C" w:rsidP="00352FA3">
      <w:pPr>
        <w:autoSpaceDN w:val="0"/>
        <w:spacing w:line="600" w:lineRule="exact"/>
        <w:ind w:firstLineChars="200" w:firstLine="640"/>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1.绩效目标情况</w:t>
      </w:r>
    </w:p>
    <w:p w:rsidR="00347A63" w:rsidRDefault="00EA146C">
      <w:pPr>
        <w:autoSpaceDN w:val="0"/>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bCs/>
          <w:color w:val="000000" w:themeColor="text1"/>
          <w:sz w:val="32"/>
          <w:szCs w:val="32"/>
        </w:rPr>
        <w:t>绩效目标：</w:t>
      </w:r>
      <w:r>
        <w:rPr>
          <w:rFonts w:ascii="仿宋_GB2312" w:eastAsia="仿宋_GB2312" w:hAnsi="仿宋_GB2312" w:cs="仿宋_GB2312" w:hint="eastAsia"/>
          <w:color w:val="000000" w:themeColor="text1"/>
          <w:sz w:val="32"/>
          <w:szCs w:val="32"/>
        </w:rPr>
        <w:t>实现文化大发展、大繁荣的内在要求。极大丰富农村文化生活，宣传党和国家的方针、政策，传播科技知识，培养健康文明生活方式，</w:t>
      </w:r>
      <w:r>
        <w:rPr>
          <w:rFonts w:ascii="仿宋_GB2312" w:eastAsia="仿宋_GB2312" w:hAnsi="仿宋_GB2312" w:cs="仿宋_GB2312" w:hint="eastAsia"/>
          <w:color w:val="000000" w:themeColor="text1"/>
          <w:spacing w:val="-2"/>
          <w:sz w:val="32"/>
          <w:szCs w:val="32"/>
        </w:rPr>
        <w:t>组织文化活动，繁荣文化事业。</w:t>
      </w:r>
    </w:p>
    <w:p w:rsidR="00347A63" w:rsidRDefault="00EA146C" w:rsidP="00352FA3">
      <w:pPr>
        <w:autoSpaceDN w:val="0"/>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目标调整及使用情况：</w:t>
      </w:r>
      <w:r>
        <w:rPr>
          <w:rFonts w:ascii="仿宋_GB2312" w:eastAsia="仿宋_GB2312" w:hAnsi="仿宋_GB2312" w:cs="仿宋_GB2312" w:hint="eastAsia"/>
          <w:color w:val="000000" w:themeColor="text1"/>
          <w:sz w:val="32"/>
          <w:szCs w:val="32"/>
        </w:rPr>
        <w:t>2019年年初预算图书馆、文化馆乡镇文化站免费开放中央及省级补助资金160万元，全年实际支出160万元。完成目标任务的100%.</w:t>
      </w:r>
    </w:p>
    <w:p w:rsidR="00347A63" w:rsidRDefault="00EA146C" w:rsidP="00352FA3">
      <w:pPr>
        <w:autoSpaceDN w:val="0"/>
        <w:spacing w:line="600" w:lineRule="exact"/>
        <w:ind w:firstLineChars="200" w:firstLine="640"/>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2.为实现绩效目标所采取的主要措施</w:t>
      </w:r>
    </w:p>
    <w:p w:rsidR="00347A63" w:rsidRDefault="00EA146C">
      <w:pPr>
        <w:autoSpaceDN w:val="0"/>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年初制订责任措施，责任到人，制订图书馆、文化馆乡镇文化站免费开放实施方案，</w:t>
      </w:r>
    </w:p>
    <w:p w:rsidR="00347A63" w:rsidRDefault="00EA146C" w:rsidP="00352FA3">
      <w:pPr>
        <w:autoSpaceDN w:val="0"/>
        <w:spacing w:line="600" w:lineRule="exact"/>
        <w:ind w:firstLineChars="200" w:firstLine="640"/>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3.绩效目标的实现程度</w:t>
      </w:r>
    </w:p>
    <w:p w:rsidR="00347A63" w:rsidRDefault="00EA146C">
      <w:pPr>
        <w:pStyle w:val="a7"/>
        <w:spacing w:before="0" w:beforeAutospacing="0" w:after="0" w:afterAutospacing="0" w:line="60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为认真贯彻落实县委，政府关于深入开展，组织指导全县各乡镇文化站开展对乡、村级文化团体的专业培训，</w:t>
      </w:r>
      <w:r>
        <w:rPr>
          <w:rFonts w:ascii="仿宋_GB2312" w:eastAsia="仿宋_GB2312" w:hAnsi="仿宋_GB2312" w:cs="仿宋_GB2312" w:hint="eastAsia"/>
          <w:bCs/>
          <w:color w:val="000000" w:themeColor="text1"/>
          <w:sz w:val="32"/>
          <w:szCs w:val="32"/>
        </w:rPr>
        <w:t>物质</w:t>
      </w:r>
      <w:r>
        <w:rPr>
          <w:rFonts w:ascii="仿宋_GB2312" w:eastAsia="仿宋_GB2312" w:hAnsi="仿宋_GB2312" w:cs="仿宋_GB2312" w:hint="eastAsia"/>
          <w:color w:val="000000" w:themeColor="text1"/>
          <w:sz w:val="32"/>
          <w:szCs w:val="32"/>
        </w:rPr>
        <w:t>文化遗产和非物质文化遗产挖掘与保护工作。深入推进文化馆、图书馆、街镇综合文化站、社区文化中心等公共文化服务阵地免费开放以及农村电影放映、免费艺术辅导培训等惠民活动。成功举办全县非物质文化遗产、舞蹈免费培训，抽调全县各大城</w:t>
      </w:r>
      <w:r>
        <w:rPr>
          <w:rFonts w:ascii="仿宋_GB2312" w:eastAsia="仿宋_GB2312" w:hAnsi="仿宋_GB2312" w:cs="仿宋_GB2312" w:hint="eastAsia"/>
          <w:color w:val="000000" w:themeColor="text1"/>
          <w:sz w:val="32"/>
          <w:szCs w:val="32"/>
        </w:rPr>
        <w:lastRenderedPageBreak/>
        <w:t xml:space="preserve">乡业余剧团文艺骨干、文化站文艺辅导员、各大社区文艺团体、全县女职工等培训班。从周一到周日文化馆各排练厅均安排免费开放，我馆将县内各大业余剧团及各校学生统筹安排时间在馆内排练，同时我馆免费开放与公益培训做到了“零门槛”进入。组织业务干部对各老年团体进行免费等免费业务辅导，全年来我馆舞蹈厅、音乐厅、器乐厅共计接待群众数万人次，培训学员达数千人次，让文化馆真正成为全县群众文化活动的重要阵地。 </w:t>
      </w:r>
    </w:p>
    <w:p w:rsidR="00347A63" w:rsidRDefault="00EA146C">
      <w:pPr>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sz w:val="32"/>
          <w:szCs w:val="32"/>
        </w:rPr>
        <w:t>2019年，通过文化馆、图书馆、乡镇综合文化站的免费开放，共接待前来排练、学习的文艺、舞蹈、读书、看报群众4.5万人次，借阅图书5万余次；开展知识讲座，文艺培训24期，惠及群众上万人。乡镇综合文化站的多功能厅、培训教室、计算机与网络教室等公共空间设施场地长期免费开放，免费提供书报刊借阅、体育健身、群众文艺演出活动、时政科普教育、青少年校外活动、数字文化信息服务、公共文化资源配送和流动服务等，一些辅助性服务如办证、存包等一律免费。目前，乡镇综合文化站基本做到天天有活动，月月有演出，共接待活动群众1.5万多人次，撑起群众文化一片天。2019年11月30日按上面要求已经订购影片22部，完成全年任务3576场,完成全年总任务100%,以监控平台数据为准，观影人数21万多人次，广场电影放映200余场次，观映人数达到3万余人次。</w:t>
      </w:r>
    </w:p>
    <w:p w:rsidR="00347A63" w:rsidRDefault="00EA146C">
      <w:pPr>
        <w:autoSpaceDN w:val="0"/>
        <w:spacing w:line="600" w:lineRule="exact"/>
        <w:ind w:firstLineChars="200" w:firstLine="64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三、评价结论</w:t>
      </w:r>
    </w:p>
    <w:p w:rsidR="00347A63" w:rsidRDefault="00EA146C">
      <w:pPr>
        <w:spacing w:line="600" w:lineRule="exact"/>
        <w:ind w:firstLineChars="200" w:firstLine="640"/>
        <w:rPr>
          <w:rFonts w:ascii="仿宋_GB2312" w:eastAsia="仿宋_GB2312" w:hAnsi="仿宋_GB2312" w:cs="仿宋_GB2312"/>
          <w:b/>
          <w:color w:val="000000" w:themeColor="text1"/>
          <w:sz w:val="32"/>
          <w:szCs w:val="32"/>
        </w:rPr>
      </w:pPr>
      <w:r>
        <w:rPr>
          <w:rFonts w:ascii="仿宋_GB2312" w:eastAsia="仿宋_GB2312" w:hAnsi="仿宋_GB2312" w:cs="仿宋_GB2312" w:hint="eastAsia"/>
          <w:color w:val="000000" w:themeColor="text1"/>
          <w:sz w:val="32"/>
          <w:szCs w:val="32"/>
        </w:rPr>
        <w:lastRenderedPageBreak/>
        <w:t>评价结论：综合2019年度县民族宗教文化旅游广电体育局财政支出项目绩效评价情况，经评价，民族宗教文化旅游广电体育局财政支出项目绩效得分96分，评价结果为优秀。</w:t>
      </w:r>
    </w:p>
    <w:p w:rsidR="00347A63" w:rsidRDefault="00EA146C">
      <w:pPr>
        <w:autoSpaceDN w:val="0"/>
        <w:spacing w:line="600" w:lineRule="exact"/>
        <w:ind w:firstLineChars="200" w:firstLine="64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四、存在问题、原因分析及建议</w:t>
      </w:r>
    </w:p>
    <w:p w:rsidR="00347A63" w:rsidRDefault="00EA146C">
      <w:pPr>
        <w:autoSpaceDN w:val="0"/>
        <w:spacing w:line="600" w:lineRule="exact"/>
        <w:ind w:firstLineChars="200" w:firstLine="640"/>
        <w:rPr>
          <w:rFonts w:ascii="仿宋_GB2312" w:eastAsia="仿宋_GB2312" w:hAnsi="仿宋_GB2312" w:cs="仿宋_GB2312"/>
          <w:b/>
          <w:color w:val="000000" w:themeColor="text1"/>
          <w:sz w:val="32"/>
          <w:szCs w:val="32"/>
        </w:rPr>
      </w:pPr>
      <w:r>
        <w:rPr>
          <w:rFonts w:ascii="仿宋_GB2312" w:eastAsia="仿宋_GB2312" w:hAnsi="仿宋_GB2312" w:cs="仿宋_GB2312" w:hint="eastAsia"/>
          <w:color w:val="000000" w:themeColor="text1"/>
          <w:sz w:val="32"/>
          <w:szCs w:val="32"/>
        </w:rPr>
        <w:t>1.存在问题：民族文化工作责任大，任务重。管理状态，运转机制不太顺畅，倒致民族文化工作压力大。</w:t>
      </w:r>
    </w:p>
    <w:p w:rsidR="00347A63" w:rsidRDefault="00EA146C" w:rsidP="00352FA3">
      <w:pPr>
        <w:autoSpaceDN w:val="0"/>
        <w:spacing w:line="60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楷体_GB2312" w:cs="楷体_GB2312" w:hint="eastAsia"/>
          <w:b/>
          <w:bCs/>
          <w:color w:val="000000" w:themeColor="text1"/>
          <w:sz w:val="32"/>
          <w:szCs w:val="32"/>
        </w:rPr>
        <w:t>2.原因分析：</w:t>
      </w:r>
      <w:r>
        <w:rPr>
          <w:rFonts w:ascii="仿宋_GB2312" w:eastAsia="仿宋_GB2312" w:hAnsi="仿宋_GB2312" w:cs="仿宋_GB2312" w:hint="eastAsia"/>
          <w:color w:val="000000" w:themeColor="text1"/>
          <w:sz w:val="32"/>
          <w:szCs w:val="32"/>
        </w:rPr>
        <w:t>民族文化保护、传承、挖掘力度不够，少数民族文化保护、传承工作需理顺。</w:t>
      </w:r>
    </w:p>
    <w:p w:rsidR="00347A63" w:rsidRDefault="00EA146C" w:rsidP="00352FA3">
      <w:pPr>
        <w:autoSpaceDN w:val="0"/>
        <w:spacing w:line="60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楷体_GB2312" w:cs="楷体_GB2312" w:hint="eastAsia"/>
          <w:b/>
          <w:bCs/>
          <w:color w:val="000000" w:themeColor="text1"/>
          <w:sz w:val="32"/>
          <w:szCs w:val="32"/>
        </w:rPr>
        <w:t>3.建议：</w:t>
      </w:r>
      <w:r>
        <w:rPr>
          <w:rFonts w:ascii="仿宋_GB2312" w:eastAsia="仿宋_GB2312" w:hAnsi="仿宋_GB2312" w:cs="仿宋_GB2312" w:hint="eastAsia"/>
          <w:color w:val="000000" w:themeColor="text1"/>
          <w:sz w:val="32"/>
          <w:szCs w:val="32"/>
        </w:rPr>
        <w:t>制订年度项目资金预算方案前，认真做好每个项目的市场预测和绩效目标分析，每月向局领导班子通报资金使用情况，以便及时作出调整，实现项目资金利用效率最大化。</w:t>
      </w:r>
    </w:p>
    <w:p w:rsidR="00347A63" w:rsidRDefault="00347A63">
      <w:pPr>
        <w:autoSpaceDN w:val="0"/>
        <w:spacing w:line="560" w:lineRule="exact"/>
        <w:ind w:firstLineChars="200" w:firstLine="640"/>
        <w:rPr>
          <w:rFonts w:asciiTheme="minorEastAsia" w:eastAsiaTheme="minorEastAsia" w:hAnsiTheme="minorEastAsia"/>
          <w:color w:val="000000" w:themeColor="text1"/>
          <w:sz w:val="32"/>
          <w:szCs w:val="32"/>
        </w:rPr>
      </w:pPr>
    </w:p>
    <w:p w:rsidR="00347A63" w:rsidRDefault="00347A63">
      <w:pPr>
        <w:autoSpaceDN w:val="0"/>
        <w:spacing w:line="560" w:lineRule="exact"/>
        <w:ind w:firstLineChars="200" w:firstLine="640"/>
        <w:rPr>
          <w:rFonts w:asciiTheme="minorEastAsia" w:eastAsiaTheme="minorEastAsia" w:hAnsiTheme="minorEastAsia"/>
          <w:color w:val="000000" w:themeColor="text1"/>
          <w:sz w:val="32"/>
          <w:szCs w:val="32"/>
        </w:rPr>
      </w:pPr>
    </w:p>
    <w:p w:rsidR="00347A63" w:rsidRDefault="00EA146C">
      <w:pPr>
        <w:rPr>
          <w:rFonts w:asciiTheme="minorEastAsia" w:eastAsiaTheme="minorEastAsia" w:hAnsiTheme="minorEastAsia"/>
          <w:color w:val="000000" w:themeColor="text1"/>
          <w:sz w:val="32"/>
          <w:szCs w:val="32"/>
        </w:rPr>
      </w:pPr>
      <w:r>
        <w:rPr>
          <w:rFonts w:asciiTheme="minorEastAsia" w:eastAsiaTheme="minorEastAsia" w:hAnsiTheme="minorEastAsia"/>
          <w:color w:val="000000" w:themeColor="text1"/>
          <w:sz w:val="32"/>
          <w:szCs w:val="32"/>
        </w:rPr>
        <w:br w:type="page"/>
      </w:r>
    </w:p>
    <w:p w:rsidR="00347A63" w:rsidRDefault="00EA146C">
      <w:pPr>
        <w:autoSpaceDN w:val="0"/>
        <w:spacing w:line="6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芷江侗族自治县农村文化服务体系建设补助资金绩效评价指标</w:t>
      </w:r>
    </w:p>
    <w:p w:rsidR="00347A63" w:rsidRDefault="00EA146C" w:rsidP="00952FD6">
      <w:pPr>
        <w:spacing w:beforeLines="50" w:afterLines="30" w:line="360" w:lineRule="exact"/>
        <w:rPr>
          <w:rFonts w:asciiTheme="minorEastAsia" w:eastAsiaTheme="minorEastAsia" w:hAnsiTheme="minorEastAsia" w:cstheme="minorEastAsia"/>
          <w:color w:val="000000" w:themeColor="text1"/>
          <w:kern w:val="0"/>
          <w:sz w:val="28"/>
          <w:szCs w:val="28"/>
        </w:rPr>
      </w:pPr>
      <w:r>
        <w:rPr>
          <w:rFonts w:asciiTheme="minorEastAsia" w:eastAsiaTheme="minorEastAsia" w:hAnsiTheme="minorEastAsia" w:cstheme="minorEastAsia" w:hint="eastAsia"/>
          <w:color w:val="000000" w:themeColor="text1"/>
          <w:kern w:val="0"/>
          <w:sz w:val="28"/>
          <w:szCs w:val="28"/>
        </w:rPr>
        <w:t>填报单位：芷江侗族自治县文化旅游广电体育局</w:t>
      </w: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576"/>
        <w:gridCol w:w="621"/>
        <w:gridCol w:w="576"/>
        <w:gridCol w:w="1270"/>
        <w:gridCol w:w="576"/>
        <w:gridCol w:w="1802"/>
        <w:gridCol w:w="3261"/>
        <w:gridCol w:w="567"/>
        <w:gridCol w:w="992"/>
      </w:tblGrid>
      <w:tr w:rsidR="00347A63">
        <w:trPr>
          <w:trHeight w:val="1003"/>
          <w:tblHeader/>
          <w:jc w:val="center"/>
        </w:trPr>
        <w:tc>
          <w:tcPr>
            <w:tcW w:w="674"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一级指标</w:t>
            </w:r>
          </w:p>
        </w:tc>
        <w:tc>
          <w:tcPr>
            <w:tcW w:w="576" w:type="dxa"/>
            <w:noWrap/>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分值</w:t>
            </w:r>
          </w:p>
        </w:tc>
        <w:tc>
          <w:tcPr>
            <w:tcW w:w="621"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二级指标</w:t>
            </w:r>
          </w:p>
        </w:tc>
        <w:tc>
          <w:tcPr>
            <w:tcW w:w="57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分值</w:t>
            </w:r>
          </w:p>
        </w:tc>
        <w:tc>
          <w:tcPr>
            <w:tcW w:w="1270"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三级指标</w:t>
            </w:r>
          </w:p>
        </w:tc>
        <w:tc>
          <w:tcPr>
            <w:tcW w:w="57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分值</w:t>
            </w:r>
          </w:p>
        </w:tc>
        <w:tc>
          <w:tcPr>
            <w:tcW w:w="1802"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指标解释</w:t>
            </w:r>
          </w:p>
        </w:tc>
        <w:tc>
          <w:tcPr>
            <w:tcW w:w="3261"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评价标准</w:t>
            </w:r>
          </w:p>
        </w:tc>
        <w:tc>
          <w:tcPr>
            <w:tcW w:w="567"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评分</w:t>
            </w:r>
          </w:p>
        </w:tc>
        <w:tc>
          <w:tcPr>
            <w:tcW w:w="992"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b/>
                <w:bCs/>
                <w:color w:val="000000" w:themeColor="text1"/>
                <w:kern w:val="0"/>
                <w:szCs w:val="21"/>
              </w:rPr>
            </w:pPr>
            <w:r>
              <w:rPr>
                <w:rFonts w:asciiTheme="minorEastAsia" w:eastAsiaTheme="minorEastAsia" w:hAnsiTheme="minorEastAsia" w:cstheme="minorEastAsia" w:hint="eastAsia"/>
                <w:b/>
                <w:bCs/>
                <w:color w:val="000000" w:themeColor="text1"/>
                <w:kern w:val="0"/>
                <w:szCs w:val="21"/>
              </w:rPr>
              <w:t>备注</w:t>
            </w:r>
          </w:p>
        </w:tc>
      </w:tr>
      <w:tr w:rsidR="00347A63">
        <w:trPr>
          <w:trHeight w:val="2327"/>
          <w:jc w:val="center"/>
        </w:trPr>
        <w:tc>
          <w:tcPr>
            <w:tcW w:w="674" w:type="dxa"/>
            <w:vMerge w:val="restart"/>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投</w:t>
            </w:r>
          </w:p>
          <w:p w:rsidR="00347A63" w:rsidRDefault="00347A63">
            <w:pPr>
              <w:widowControl/>
              <w:spacing w:line="280" w:lineRule="exact"/>
              <w:jc w:val="center"/>
              <w:rPr>
                <w:rFonts w:asciiTheme="minorEastAsia" w:eastAsiaTheme="minorEastAsia" w:hAnsiTheme="minorEastAsia" w:cstheme="minorEastAsia"/>
                <w:color w:val="000000" w:themeColor="text1"/>
                <w:kern w:val="0"/>
                <w:szCs w:val="21"/>
              </w:rPr>
            </w:pPr>
          </w:p>
          <w:p w:rsidR="00347A63" w:rsidRDefault="00347A63">
            <w:pPr>
              <w:widowControl/>
              <w:spacing w:line="280" w:lineRule="exact"/>
              <w:jc w:val="center"/>
              <w:rPr>
                <w:rFonts w:asciiTheme="minorEastAsia" w:eastAsiaTheme="minorEastAsia" w:hAnsiTheme="minorEastAsia" w:cstheme="minorEastAsia"/>
                <w:color w:val="000000" w:themeColor="text1"/>
                <w:kern w:val="0"/>
                <w:szCs w:val="21"/>
              </w:rPr>
            </w:pPr>
          </w:p>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入</w:t>
            </w:r>
          </w:p>
        </w:tc>
        <w:tc>
          <w:tcPr>
            <w:tcW w:w="576" w:type="dxa"/>
            <w:vMerge w:val="restart"/>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20</w:t>
            </w:r>
          </w:p>
        </w:tc>
        <w:tc>
          <w:tcPr>
            <w:tcW w:w="621" w:type="dxa"/>
            <w:vMerge w:val="restart"/>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项目立项</w:t>
            </w:r>
          </w:p>
        </w:tc>
        <w:tc>
          <w:tcPr>
            <w:tcW w:w="576" w:type="dxa"/>
            <w:vMerge w:val="restart"/>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w:t>
            </w:r>
          </w:p>
        </w:tc>
        <w:tc>
          <w:tcPr>
            <w:tcW w:w="1270" w:type="dxa"/>
            <w:noWrap/>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项目立项规范性</w:t>
            </w:r>
          </w:p>
        </w:tc>
        <w:tc>
          <w:tcPr>
            <w:tcW w:w="57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180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项目的申请、设立过程是否符合相关要求，用以反映和考核项目立项的规范情况。</w:t>
            </w:r>
          </w:p>
        </w:tc>
        <w:tc>
          <w:tcPr>
            <w:tcW w:w="3261"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①项目按照规定的程序设立1分，否则不记分；                                       ②所提交的文件、材料是否符合相关要求记1分，否则不记分；                                          ③事前经过必要的可行性研究、专家论证、风险评估、集体决策等记1分，否则不记分。                                 </w:t>
            </w:r>
          </w:p>
        </w:tc>
        <w:tc>
          <w:tcPr>
            <w:tcW w:w="567"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99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1005"/>
          <w:jc w:val="center"/>
        </w:trPr>
        <w:tc>
          <w:tcPr>
            <w:tcW w:w="674"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621"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1270" w:type="dxa"/>
            <w:noWrap/>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绩效目标合理性</w:t>
            </w:r>
          </w:p>
        </w:tc>
        <w:tc>
          <w:tcPr>
            <w:tcW w:w="57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4</w:t>
            </w:r>
          </w:p>
        </w:tc>
        <w:tc>
          <w:tcPr>
            <w:tcW w:w="180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项目所设定的绩效目标是否依据充分，是否符合客观实际，用以反映和考核项目绩效目标与项目实施的相符情况。</w:t>
            </w:r>
          </w:p>
        </w:tc>
        <w:tc>
          <w:tcPr>
            <w:tcW w:w="3261"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①符合国家相关法律法规、国民经济发展规划和党委政府决策记1分，否则不记分；             ②与项目实施单位或委托单位职责密切相关记1分，否则不记分；                              ③项目能促进事业发展所需要记1分，否则不记分；                                     ④项目预期产出效益和效果符合正常的业绩水平记1分，否则不记分。</w:t>
            </w:r>
          </w:p>
        </w:tc>
        <w:tc>
          <w:tcPr>
            <w:tcW w:w="567"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4</w:t>
            </w:r>
          </w:p>
        </w:tc>
        <w:tc>
          <w:tcPr>
            <w:tcW w:w="99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2614"/>
          <w:jc w:val="center"/>
        </w:trPr>
        <w:tc>
          <w:tcPr>
            <w:tcW w:w="674"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621"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1270" w:type="dxa"/>
            <w:noWrap/>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绩效指标明确性</w:t>
            </w:r>
          </w:p>
        </w:tc>
        <w:tc>
          <w:tcPr>
            <w:tcW w:w="57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180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依据绩效目标设定的绩效指标是否清晰、细化、可衡量等，用以反映和考核项目绩效目标的明细化情况。</w:t>
            </w:r>
          </w:p>
        </w:tc>
        <w:tc>
          <w:tcPr>
            <w:tcW w:w="3261"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①将项目绩效目标细化分解为具体的绩效指标记1分，否则不记分；                        ②目标能通过清晰、可衡量的指标值予以体现记1分，否则不记分；                                    ③与项目年度任务数或计划数相对应记0.5分，否则不记分；                                            ④与预算确定的项目投资额或资金量相匹配记0.5分，否则不记分。</w:t>
            </w:r>
          </w:p>
        </w:tc>
        <w:tc>
          <w:tcPr>
            <w:tcW w:w="567"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99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1350"/>
          <w:jc w:val="center"/>
        </w:trPr>
        <w:tc>
          <w:tcPr>
            <w:tcW w:w="674"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621" w:type="dxa"/>
            <w:vMerge w:val="restart"/>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资金落实</w:t>
            </w:r>
          </w:p>
        </w:tc>
        <w:tc>
          <w:tcPr>
            <w:tcW w:w="576" w:type="dxa"/>
            <w:vMerge w:val="restart"/>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w:t>
            </w:r>
          </w:p>
        </w:tc>
        <w:tc>
          <w:tcPr>
            <w:tcW w:w="1270" w:type="dxa"/>
            <w:noWrap/>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资金到位率</w:t>
            </w:r>
          </w:p>
        </w:tc>
        <w:tc>
          <w:tcPr>
            <w:tcW w:w="57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w:t>
            </w:r>
          </w:p>
        </w:tc>
        <w:tc>
          <w:tcPr>
            <w:tcW w:w="180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资金到位率＝（实际到位资金/计划投入资金）×100%</w:t>
            </w:r>
          </w:p>
        </w:tc>
        <w:tc>
          <w:tcPr>
            <w:tcW w:w="3261"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资金足额到位记5分，未足额到位按比例计分。</w:t>
            </w:r>
          </w:p>
        </w:tc>
        <w:tc>
          <w:tcPr>
            <w:tcW w:w="567"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w:t>
            </w:r>
          </w:p>
        </w:tc>
        <w:tc>
          <w:tcPr>
            <w:tcW w:w="99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1326"/>
          <w:jc w:val="center"/>
        </w:trPr>
        <w:tc>
          <w:tcPr>
            <w:tcW w:w="674"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621"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1270" w:type="dxa"/>
            <w:noWrap/>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到位及时率</w:t>
            </w:r>
          </w:p>
        </w:tc>
        <w:tc>
          <w:tcPr>
            <w:tcW w:w="57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w:t>
            </w:r>
          </w:p>
        </w:tc>
        <w:tc>
          <w:tcPr>
            <w:tcW w:w="1802"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到位及时率＝（及时到位资金/应到位资金）×100%</w:t>
            </w:r>
          </w:p>
        </w:tc>
        <w:tc>
          <w:tcPr>
            <w:tcW w:w="3261"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资金按时到位记5分，未按时按比例计分。</w:t>
            </w:r>
          </w:p>
        </w:tc>
        <w:tc>
          <w:tcPr>
            <w:tcW w:w="567"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w:t>
            </w:r>
          </w:p>
        </w:tc>
        <w:tc>
          <w:tcPr>
            <w:tcW w:w="99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945"/>
          <w:jc w:val="center"/>
        </w:trPr>
        <w:tc>
          <w:tcPr>
            <w:tcW w:w="674" w:type="dxa"/>
            <w:vMerge w:val="restart"/>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lastRenderedPageBreak/>
              <w:t>过</w:t>
            </w:r>
          </w:p>
          <w:p w:rsidR="00347A63" w:rsidRDefault="00347A63">
            <w:pPr>
              <w:widowControl/>
              <w:spacing w:line="280" w:lineRule="exact"/>
              <w:jc w:val="center"/>
              <w:rPr>
                <w:rFonts w:asciiTheme="minorEastAsia" w:eastAsiaTheme="minorEastAsia" w:hAnsiTheme="minorEastAsia" w:cstheme="minorEastAsia"/>
                <w:color w:val="000000" w:themeColor="text1"/>
                <w:kern w:val="0"/>
                <w:szCs w:val="21"/>
              </w:rPr>
            </w:pPr>
          </w:p>
          <w:p w:rsidR="00347A63" w:rsidRDefault="00347A63">
            <w:pPr>
              <w:widowControl/>
              <w:spacing w:line="280" w:lineRule="exact"/>
              <w:jc w:val="center"/>
              <w:rPr>
                <w:rFonts w:asciiTheme="minorEastAsia" w:eastAsiaTheme="minorEastAsia" w:hAnsiTheme="minorEastAsia" w:cstheme="minorEastAsia"/>
                <w:color w:val="000000" w:themeColor="text1"/>
                <w:kern w:val="0"/>
                <w:szCs w:val="21"/>
              </w:rPr>
            </w:pPr>
          </w:p>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程</w:t>
            </w:r>
          </w:p>
        </w:tc>
        <w:tc>
          <w:tcPr>
            <w:tcW w:w="576" w:type="dxa"/>
            <w:vMerge w:val="restart"/>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30</w:t>
            </w:r>
          </w:p>
        </w:tc>
        <w:tc>
          <w:tcPr>
            <w:tcW w:w="621" w:type="dxa"/>
            <w:vMerge w:val="restart"/>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业务管理</w:t>
            </w:r>
          </w:p>
        </w:tc>
        <w:tc>
          <w:tcPr>
            <w:tcW w:w="576" w:type="dxa"/>
            <w:vMerge w:val="restart"/>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w:t>
            </w:r>
          </w:p>
        </w:tc>
        <w:tc>
          <w:tcPr>
            <w:tcW w:w="1270"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管理制度健全性</w:t>
            </w:r>
          </w:p>
        </w:tc>
        <w:tc>
          <w:tcPr>
            <w:tcW w:w="57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w:t>
            </w:r>
          </w:p>
        </w:tc>
        <w:tc>
          <w:tcPr>
            <w:tcW w:w="180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项目实施单位的业务管理制度是否健全，用以反映和考核业务管理制度对项目顺利实施的保障情况。</w:t>
            </w:r>
          </w:p>
        </w:tc>
        <w:tc>
          <w:tcPr>
            <w:tcW w:w="3261"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①已制定或具有相应的业务管理制度记2.5分， 不制定不记分；                                        ②业务管理制度合法、合规、完整记2.5分；不合法、不合规、不完整不记分。</w:t>
            </w:r>
          </w:p>
        </w:tc>
        <w:tc>
          <w:tcPr>
            <w:tcW w:w="567"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w:t>
            </w:r>
          </w:p>
        </w:tc>
        <w:tc>
          <w:tcPr>
            <w:tcW w:w="99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945"/>
          <w:jc w:val="center"/>
        </w:trPr>
        <w:tc>
          <w:tcPr>
            <w:tcW w:w="674"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621"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1270"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制度执行有效性</w:t>
            </w:r>
          </w:p>
        </w:tc>
        <w:tc>
          <w:tcPr>
            <w:tcW w:w="57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w:t>
            </w:r>
          </w:p>
        </w:tc>
        <w:tc>
          <w:tcPr>
            <w:tcW w:w="180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项目实施是否符合相关业务管理规定，用以反映和考核业务管理制度的有效执行情况。</w:t>
            </w:r>
          </w:p>
        </w:tc>
        <w:tc>
          <w:tcPr>
            <w:tcW w:w="3261"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遵守相关法律法规和业务管理规定记5分，否则不记分。</w:t>
            </w:r>
          </w:p>
        </w:tc>
        <w:tc>
          <w:tcPr>
            <w:tcW w:w="567"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99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1050"/>
          <w:jc w:val="center"/>
        </w:trPr>
        <w:tc>
          <w:tcPr>
            <w:tcW w:w="674"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621"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1270"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项目质量可控性</w:t>
            </w:r>
          </w:p>
        </w:tc>
        <w:tc>
          <w:tcPr>
            <w:tcW w:w="57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w:t>
            </w:r>
          </w:p>
        </w:tc>
        <w:tc>
          <w:tcPr>
            <w:tcW w:w="180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项目实施至位是否为达到项目质量要求而采取了必需的措施，用以反映和考核项目实施单位对项目质量的控制情况。</w:t>
            </w:r>
          </w:p>
        </w:tc>
        <w:tc>
          <w:tcPr>
            <w:tcW w:w="3261"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①制定或有相应的项目质量要求或标准记2.5分，否则不记分；                                          ②采取了相应的项目质量检查、验收等必需的控制措施或手段记2.5分，否则不记分。</w:t>
            </w:r>
          </w:p>
        </w:tc>
        <w:tc>
          <w:tcPr>
            <w:tcW w:w="567"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w:t>
            </w:r>
          </w:p>
        </w:tc>
        <w:tc>
          <w:tcPr>
            <w:tcW w:w="99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hRule="exact" w:val="1814"/>
          <w:jc w:val="center"/>
        </w:trPr>
        <w:tc>
          <w:tcPr>
            <w:tcW w:w="674"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621" w:type="dxa"/>
            <w:vMerge w:val="restart"/>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财务管理</w:t>
            </w:r>
          </w:p>
        </w:tc>
        <w:tc>
          <w:tcPr>
            <w:tcW w:w="576" w:type="dxa"/>
            <w:vMerge w:val="restart"/>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15</w:t>
            </w:r>
          </w:p>
        </w:tc>
        <w:tc>
          <w:tcPr>
            <w:tcW w:w="1270"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管理制度健全性</w:t>
            </w:r>
          </w:p>
        </w:tc>
        <w:tc>
          <w:tcPr>
            <w:tcW w:w="57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w:t>
            </w:r>
          </w:p>
        </w:tc>
        <w:tc>
          <w:tcPr>
            <w:tcW w:w="180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项目实施单位的财务制度是否健全，用以反映和考核财务管理制度对资金规范、安全运行的保障情况。</w:t>
            </w:r>
          </w:p>
        </w:tc>
        <w:tc>
          <w:tcPr>
            <w:tcW w:w="3261"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①已制定或具有相应的项目资金管理办法记2.5分，否则不记分；                                           ②项目资金管理办法符合相关财务会计制定记2.5分，否则不记分。</w:t>
            </w:r>
          </w:p>
        </w:tc>
        <w:tc>
          <w:tcPr>
            <w:tcW w:w="567"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w:t>
            </w:r>
          </w:p>
        </w:tc>
        <w:tc>
          <w:tcPr>
            <w:tcW w:w="992"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1695"/>
          <w:jc w:val="center"/>
        </w:trPr>
        <w:tc>
          <w:tcPr>
            <w:tcW w:w="674"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621"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1270"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资金使用合规性</w:t>
            </w:r>
          </w:p>
        </w:tc>
        <w:tc>
          <w:tcPr>
            <w:tcW w:w="57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w:t>
            </w:r>
          </w:p>
        </w:tc>
        <w:tc>
          <w:tcPr>
            <w:tcW w:w="180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项目资金使用是否符合相关的财务管理制度规定，用以反映和考核项目资金的规范运行情况。</w:t>
            </w:r>
          </w:p>
        </w:tc>
        <w:tc>
          <w:tcPr>
            <w:tcW w:w="3261"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①符合国家财经法规和财务管理制度以及有关专项资金管理办法的规定记1分,否则不记分；                                                           ②资金的拨付有完整的审批程序和手续记1分,否则不记分；                                              ③是否存在支出依据不合规、虚列项目支出的情况；是否存在截留、挤占、挪用项目资金情况；是否存在超标准开支情况;资金管理、费用支出等制度是否健全，是否严格执行；会计核算是否规范(3分）</w:t>
            </w:r>
          </w:p>
        </w:tc>
        <w:tc>
          <w:tcPr>
            <w:tcW w:w="567"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w:t>
            </w:r>
          </w:p>
        </w:tc>
        <w:tc>
          <w:tcPr>
            <w:tcW w:w="992"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2094"/>
          <w:jc w:val="center"/>
        </w:trPr>
        <w:tc>
          <w:tcPr>
            <w:tcW w:w="674"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621"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1270"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财务监控有效性</w:t>
            </w:r>
          </w:p>
        </w:tc>
        <w:tc>
          <w:tcPr>
            <w:tcW w:w="57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5</w:t>
            </w:r>
          </w:p>
        </w:tc>
        <w:tc>
          <w:tcPr>
            <w:tcW w:w="180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项目单位是否为保障资金的安全、规范运行而采取了必要的监控措施，用以反映和考核项目单位对资金运行的控制情况。</w:t>
            </w:r>
          </w:p>
        </w:tc>
        <w:tc>
          <w:tcPr>
            <w:tcW w:w="3261"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①已制定或具有相应的监控机制记2.5分，否则不记分；                                       ②采取了相应的财务检查等必要的监控措施或手段记2.5分，否则不记分。</w:t>
            </w:r>
          </w:p>
        </w:tc>
        <w:tc>
          <w:tcPr>
            <w:tcW w:w="567"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99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2724"/>
          <w:jc w:val="center"/>
        </w:trPr>
        <w:tc>
          <w:tcPr>
            <w:tcW w:w="674" w:type="dxa"/>
            <w:vMerge w:val="restart"/>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lastRenderedPageBreak/>
              <w:t>产</w:t>
            </w:r>
          </w:p>
          <w:p w:rsidR="00347A63" w:rsidRDefault="00347A63">
            <w:pPr>
              <w:widowControl/>
              <w:spacing w:line="280" w:lineRule="exact"/>
              <w:jc w:val="center"/>
              <w:rPr>
                <w:rFonts w:asciiTheme="minorEastAsia" w:eastAsiaTheme="minorEastAsia" w:hAnsiTheme="minorEastAsia" w:cstheme="minorEastAsia"/>
                <w:color w:val="000000" w:themeColor="text1"/>
                <w:kern w:val="0"/>
                <w:szCs w:val="21"/>
              </w:rPr>
            </w:pPr>
          </w:p>
          <w:p w:rsidR="00347A63" w:rsidRDefault="00347A63">
            <w:pPr>
              <w:widowControl/>
              <w:spacing w:line="280" w:lineRule="exact"/>
              <w:jc w:val="center"/>
              <w:rPr>
                <w:rFonts w:asciiTheme="minorEastAsia" w:eastAsiaTheme="minorEastAsia" w:hAnsiTheme="minorEastAsia" w:cstheme="minorEastAsia"/>
                <w:color w:val="000000" w:themeColor="text1"/>
                <w:kern w:val="0"/>
                <w:szCs w:val="21"/>
              </w:rPr>
            </w:pPr>
          </w:p>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出</w:t>
            </w:r>
          </w:p>
        </w:tc>
        <w:tc>
          <w:tcPr>
            <w:tcW w:w="576" w:type="dxa"/>
            <w:vMerge w:val="restart"/>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24</w:t>
            </w:r>
          </w:p>
        </w:tc>
        <w:tc>
          <w:tcPr>
            <w:tcW w:w="621" w:type="dxa"/>
            <w:vMerge w:val="restart"/>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项目产出</w:t>
            </w:r>
          </w:p>
        </w:tc>
        <w:tc>
          <w:tcPr>
            <w:tcW w:w="576" w:type="dxa"/>
            <w:vMerge w:val="restart"/>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24</w:t>
            </w:r>
          </w:p>
        </w:tc>
        <w:tc>
          <w:tcPr>
            <w:tcW w:w="1270"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免费培训完成率</w:t>
            </w:r>
          </w:p>
        </w:tc>
        <w:tc>
          <w:tcPr>
            <w:tcW w:w="57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6</w:t>
            </w:r>
          </w:p>
        </w:tc>
        <w:tc>
          <w:tcPr>
            <w:tcW w:w="180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3261"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达到绩效目标得4分，没达到目标每减少一个百分点扣0.1分。</w:t>
            </w:r>
          </w:p>
        </w:tc>
        <w:tc>
          <w:tcPr>
            <w:tcW w:w="567"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6</w:t>
            </w:r>
          </w:p>
        </w:tc>
        <w:tc>
          <w:tcPr>
            <w:tcW w:w="99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各类免费培训24期，共培训学员5800人次</w:t>
            </w:r>
          </w:p>
        </w:tc>
      </w:tr>
      <w:tr w:rsidR="00347A63">
        <w:trPr>
          <w:trHeight w:val="2518"/>
          <w:jc w:val="center"/>
        </w:trPr>
        <w:tc>
          <w:tcPr>
            <w:tcW w:w="674"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621"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1270"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农村公益</w:t>
            </w:r>
          </w:p>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电影放映完成率</w:t>
            </w:r>
          </w:p>
        </w:tc>
        <w:tc>
          <w:tcPr>
            <w:tcW w:w="57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6</w:t>
            </w:r>
          </w:p>
        </w:tc>
        <w:tc>
          <w:tcPr>
            <w:tcW w:w="180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3261"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达到绩效目标得4分，没达到目标每增加一个百分点扣0.1分。</w:t>
            </w:r>
          </w:p>
        </w:tc>
        <w:tc>
          <w:tcPr>
            <w:tcW w:w="567"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6</w:t>
            </w:r>
          </w:p>
        </w:tc>
        <w:tc>
          <w:tcPr>
            <w:tcW w:w="99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完成全年任务3576场,完成全年总任务100.%。</w:t>
            </w:r>
          </w:p>
        </w:tc>
      </w:tr>
      <w:tr w:rsidR="00347A63">
        <w:trPr>
          <w:trHeight w:val="3692"/>
          <w:jc w:val="center"/>
        </w:trPr>
        <w:tc>
          <w:tcPr>
            <w:tcW w:w="674"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621"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1270"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免费开放率</w:t>
            </w:r>
          </w:p>
        </w:tc>
        <w:tc>
          <w:tcPr>
            <w:tcW w:w="57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6</w:t>
            </w:r>
          </w:p>
        </w:tc>
        <w:tc>
          <w:tcPr>
            <w:tcW w:w="180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3261"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达到绩效目标得4分，没达到目标每减少一个百分点扣0.1分。</w:t>
            </w:r>
          </w:p>
        </w:tc>
        <w:tc>
          <w:tcPr>
            <w:tcW w:w="567"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6</w:t>
            </w:r>
          </w:p>
        </w:tc>
        <w:tc>
          <w:tcPr>
            <w:tcW w:w="99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全年免费开放共计接待群众数4.5万人次，培训学员数万。</w:t>
            </w:r>
          </w:p>
        </w:tc>
      </w:tr>
      <w:tr w:rsidR="00347A63">
        <w:trPr>
          <w:trHeight w:val="2942"/>
          <w:jc w:val="center"/>
        </w:trPr>
        <w:tc>
          <w:tcPr>
            <w:tcW w:w="674"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621"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1270"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送戏下乡完成率</w:t>
            </w:r>
          </w:p>
        </w:tc>
        <w:tc>
          <w:tcPr>
            <w:tcW w:w="57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6</w:t>
            </w:r>
          </w:p>
        </w:tc>
        <w:tc>
          <w:tcPr>
            <w:tcW w:w="180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3261"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达到绩效目标得4分，没达到目标每减少一个百分点扣0.1分。</w:t>
            </w:r>
          </w:p>
        </w:tc>
        <w:tc>
          <w:tcPr>
            <w:tcW w:w="567"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6</w:t>
            </w:r>
          </w:p>
        </w:tc>
        <w:tc>
          <w:tcPr>
            <w:tcW w:w="99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特困山区“送戏下乡”126场，观众人数达10万人。</w:t>
            </w:r>
          </w:p>
        </w:tc>
      </w:tr>
      <w:tr w:rsidR="00347A63">
        <w:trPr>
          <w:trHeight w:val="986"/>
          <w:jc w:val="center"/>
        </w:trPr>
        <w:tc>
          <w:tcPr>
            <w:tcW w:w="674" w:type="dxa"/>
            <w:vMerge w:val="restart"/>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lastRenderedPageBreak/>
              <w:t>效</w:t>
            </w:r>
          </w:p>
          <w:p w:rsidR="00347A63" w:rsidRDefault="00347A63">
            <w:pPr>
              <w:widowControl/>
              <w:spacing w:line="280" w:lineRule="exact"/>
              <w:jc w:val="center"/>
              <w:rPr>
                <w:rFonts w:asciiTheme="minorEastAsia" w:eastAsiaTheme="minorEastAsia" w:hAnsiTheme="minorEastAsia" w:cstheme="minorEastAsia"/>
                <w:color w:val="000000" w:themeColor="text1"/>
                <w:kern w:val="0"/>
                <w:szCs w:val="21"/>
              </w:rPr>
            </w:pPr>
          </w:p>
          <w:p w:rsidR="00347A63" w:rsidRDefault="00347A63">
            <w:pPr>
              <w:widowControl/>
              <w:spacing w:line="280" w:lineRule="exact"/>
              <w:jc w:val="center"/>
              <w:rPr>
                <w:rFonts w:asciiTheme="minorEastAsia" w:eastAsiaTheme="minorEastAsia" w:hAnsiTheme="minorEastAsia" w:cstheme="minorEastAsia"/>
                <w:color w:val="000000" w:themeColor="text1"/>
                <w:kern w:val="0"/>
                <w:szCs w:val="21"/>
              </w:rPr>
            </w:pPr>
          </w:p>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果</w:t>
            </w:r>
          </w:p>
        </w:tc>
        <w:tc>
          <w:tcPr>
            <w:tcW w:w="576" w:type="dxa"/>
            <w:vMerge w:val="restart"/>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26</w:t>
            </w:r>
          </w:p>
        </w:tc>
        <w:tc>
          <w:tcPr>
            <w:tcW w:w="621" w:type="dxa"/>
            <w:vMerge w:val="restart"/>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项目效益</w:t>
            </w:r>
          </w:p>
        </w:tc>
        <w:tc>
          <w:tcPr>
            <w:tcW w:w="576" w:type="dxa"/>
            <w:vMerge w:val="restart"/>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26</w:t>
            </w:r>
          </w:p>
        </w:tc>
        <w:tc>
          <w:tcPr>
            <w:tcW w:w="1270"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经济效益</w:t>
            </w:r>
          </w:p>
        </w:tc>
        <w:tc>
          <w:tcPr>
            <w:tcW w:w="57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6 </w:t>
            </w:r>
          </w:p>
        </w:tc>
        <w:tc>
          <w:tcPr>
            <w:tcW w:w="180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结合调查问卷</w:t>
            </w:r>
          </w:p>
        </w:tc>
        <w:tc>
          <w:tcPr>
            <w:tcW w:w="3261"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100%为6分，每减少一个百分点扣0.2分。</w:t>
            </w:r>
          </w:p>
        </w:tc>
        <w:tc>
          <w:tcPr>
            <w:tcW w:w="567"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6</w:t>
            </w:r>
          </w:p>
        </w:tc>
        <w:tc>
          <w:tcPr>
            <w:tcW w:w="99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1127"/>
          <w:jc w:val="center"/>
        </w:trPr>
        <w:tc>
          <w:tcPr>
            <w:tcW w:w="674"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621"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1270"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社会效益</w:t>
            </w:r>
          </w:p>
        </w:tc>
        <w:tc>
          <w:tcPr>
            <w:tcW w:w="57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6</w:t>
            </w:r>
          </w:p>
        </w:tc>
        <w:tc>
          <w:tcPr>
            <w:tcW w:w="180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结合调查问卷</w:t>
            </w:r>
          </w:p>
        </w:tc>
        <w:tc>
          <w:tcPr>
            <w:tcW w:w="3261"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100%为6分，每减少一个百分点扣0.2分。</w:t>
            </w:r>
          </w:p>
        </w:tc>
        <w:tc>
          <w:tcPr>
            <w:tcW w:w="567"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6</w:t>
            </w:r>
          </w:p>
        </w:tc>
        <w:tc>
          <w:tcPr>
            <w:tcW w:w="99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2598"/>
          <w:jc w:val="center"/>
        </w:trPr>
        <w:tc>
          <w:tcPr>
            <w:tcW w:w="674"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621"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1270"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可持续影响</w:t>
            </w:r>
          </w:p>
        </w:tc>
        <w:tc>
          <w:tcPr>
            <w:tcW w:w="57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6</w:t>
            </w:r>
          </w:p>
        </w:tc>
        <w:tc>
          <w:tcPr>
            <w:tcW w:w="180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项目产出能持续运用；项目运行所依赖的政策制度能持续执行</w:t>
            </w:r>
          </w:p>
        </w:tc>
        <w:tc>
          <w:tcPr>
            <w:tcW w:w="3261"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结合调查问卷了解农民继续参合意愿、参合增长率计算评分，继续参合意愿＝调查样本中愿意继续参合对象/被调查对象总量*100%（3分），参合增长率＝（本年参合率-上年参合率）/上年参合率*100%（3分）。</w:t>
            </w:r>
          </w:p>
        </w:tc>
        <w:tc>
          <w:tcPr>
            <w:tcW w:w="567"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6</w:t>
            </w:r>
          </w:p>
        </w:tc>
        <w:tc>
          <w:tcPr>
            <w:tcW w:w="99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2270"/>
          <w:jc w:val="center"/>
        </w:trPr>
        <w:tc>
          <w:tcPr>
            <w:tcW w:w="674"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621"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576" w:type="dxa"/>
            <w:vMerge/>
            <w:tcMar>
              <w:top w:w="0" w:type="dxa"/>
              <w:left w:w="57" w:type="dxa"/>
              <w:bottom w:w="0" w:type="dxa"/>
              <w:right w:w="57" w:type="dxa"/>
            </w:tcMar>
            <w:vAlign w:val="center"/>
          </w:tcPr>
          <w:p w:rsidR="00347A63" w:rsidRDefault="00347A63">
            <w:pPr>
              <w:widowControl/>
              <w:spacing w:line="280" w:lineRule="exact"/>
              <w:jc w:val="left"/>
              <w:rPr>
                <w:rFonts w:asciiTheme="minorEastAsia" w:eastAsiaTheme="minorEastAsia" w:hAnsiTheme="minorEastAsia" w:cstheme="minorEastAsia"/>
                <w:color w:val="000000" w:themeColor="text1"/>
                <w:kern w:val="0"/>
                <w:szCs w:val="21"/>
              </w:rPr>
            </w:pPr>
          </w:p>
        </w:tc>
        <w:tc>
          <w:tcPr>
            <w:tcW w:w="1270"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公众满意度</w:t>
            </w:r>
          </w:p>
        </w:tc>
        <w:tc>
          <w:tcPr>
            <w:tcW w:w="576"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8</w:t>
            </w:r>
          </w:p>
        </w:tc>
        <w:tc>
          <w:tcPr>
            <w:tcW w:w="180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受益群体政策知晓度（问卷调查）工作的满意度（问卷调查）是否有效投诉案例</w:t>
            </w:r>
          </w:p>
        </w:tc>
        <w:tc>
          <w:tcPr>
            <w:tcW w:w="3261"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受益群体政策知晓度＝知晓对象/被调查对象*100%（3分）；受益群体对新农合医疗补助工作的满意度＝满意对象/被调查对象*100%（3分）；无有效投诉案例发生（2分）</w:t>
            </w:r>
          </w:p>
        </w:tc>
        <w:tc>
          <w:tcPr>
            <w:tcW w:w="567"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8</w:t>
            </w:r>
          </w:p>
        </w:tc>
        <w:tc>
          <w:tcPr>
            <w:tcW w:w="99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r w:rsidR="00347A63">
        <w:trPr>
          <w:trHeight w:val="745"/>
          <w:jc w:val="center"/>
        </w:trPr>
        <w:tc>
          <w:tcPr>
            <w:tcW w:w="674"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总分</w:t>
            </w:r>
          </w:p>
        </w:tc>
        <w:tc>
          <w:tcPr>
            <w:tcW w:w="576" w:type="dxa"/>
            <w:tcMar>
              <w:top w:w="0" w:type="dxa"/>
              <w:left w:w="57" w:type="dxa"/>
              <w:bottom w:w="0" w:type="dxa"/>
              <w:right w:w="57" w:type="dxa"/>
            </w:tcMar>
            <w:vAlign w:val="center"/>
          </w:tcPr>
          <w:p w:rsidR="00347A63" w:rsidRDefault="00EA146C">
            <w:pPr>
              <w:widowControl/>
              <w:spacing w:line="280" w:lineRule="exact"/>
              <w:jc w:val="righ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621"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576" w:type="dxa"/>
            <w:tcMar>
              <w:top w:w="0" w:type="dxa"/>
              <w:left w:w="57" w:type="dxa"/>
              <w:bottom w:w="0" w:type="dxa"/>
              <w:right w:w="57" w:type="dxa"/>
            </w:tcMar>
            <w:vAlign w:val="center"/>
          </w:tcPr>
          <w:p w:rsidR="00347A63" w:rsidRDefault="00EA146C">
            <w:pPr>
              <w:widowControl/>
              <w:spacing w:line="280" w:lineRule="exact"/>
              <w:jc w:val="righ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270"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576" w:type="dxa"/>
            <w:tcMar>
              <w:top w:w="0" w:type="dxa"/>
              <w:left w:w="57" w:type="dxa"/>
              <w:bottom w:w="0" w:type="dxa"/>
              <w:right w:w="57" w:type="dxa"/>
            </w:tcMar>
            <w:vAlign w:val="center"/>
          </w:tcPr>
          <w:p w:rsidR="00347A63" w:rsidRDefault="00EA146C">
            <w:pPr>
              <w:widowControl/>
              <w:spacing w:line="280" w:lineRule="exact"/>
              <w:jc w:val="righ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100</w:t>
            </w:r>
          </w:p>
        </w:tc>
        <w:tc>
          <w:tcPr>
            <w:tcW w:w="180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3261"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c>
          <w:tcPr>
            <w:tcW w:w="567" w:type="dxa"/>
            <w:tcMar>
              <w:top w:w="0" w:type="dxa"/>
              <w:left w:w="57" w:type="dxa"/>
              <w:bottom w:w="0" w:type="dxa"/>
              <w:right w:w="57" w:type="dxa"/>
            </w:tcMar>
            <w:vAlign w:val="center"/>
          </w:tcPr>
          <w:p w:rsidR="00347A63" w:rsidRDefault="00EA146C">
            <w:pPr>
              <w:widowControl/>
              <w:spacing w:line="280" w:lineRule="exact"/>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96</w:t>
            </w:r>
          </w:p>
        </w:tc>
        <w:tc>
          <w:tcPr>
            <w:tcW w:w="992" w:type="dxa"/>
            <w:tcMar>
              <w:top w:w="0" w:type="dxa"/>
              <w:left w:w="57" w:type="dxa"/>
              <w:bottom w:w="0" w:type="dxa"/>
              <w:right w:w="57" w:type="dxa"/>
            </w:tcMar>
            <w:vAlign w:val="center"/>
          </w:tcPr>
          <w:p w:rsidR="00347A63" w:rsidRDefault="00EA146C">
            <w:pPr>
              <w:widowControl/>
              <w:spacing w:line="280" w:lineRule="exac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 xml:space="preserve">　</w:t>
            </w:r>
          </w:p>
        </w:tc>
      </w:tr>
    </w:tbl>
    <w:p w:rsidR="00347A63" w:rsidRDefault="00347A63">
      <w:pPr>
        <w:spacing w:line="600" w:lineRule="exact"/>
        <w:ind w:right="640" w:firstLineChars="150" w:firstLine="315"/>
        <w:jc w:val="center"/>
        <w:rPr>
          <w:color w:val="000000" w:themeColor="text1"/>
        </w:rPr>
      </w:pPr>
    </w:p>
    <w:sectPr w:rsidR="00347A63" w:rsidSect="00347A63">
      <w:headerReference w:type="default" r:id="rId9"/>
      <w:footerReference w:type="default" r:id="rId10"/>
      <w:pgSz w:w="11906" w:h="16838"/>
      <w:pgMar w:top="1701" w:right="1587" w:bottom="1701"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A57" w:rsidRDefault="009D1A57" w:rsidP="00347A63">
      <w:r>
        <w:separator/>
      </w:r>
    </w:p>
  </w:endnote>
  <w:endnote w:type="continuationSeparator" w:id="0">
    <w:p w:rsidR="009D1A57" w:rsidRDefault="009D1A57" w:rsidP="00347A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80E0000" w:usb2="00000000" w:usb3="00000000" w:csb0="00040000" w:csb1="00000000"/>
  </w:font>
  <w:font w:name="楷体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A63" w:rsidRDefault="00C03DD4">
    <w:pPr>
      <w:pStyle w:val="a5"/>
    </w:pPr>
    <w:r>
      <w:pict>
        <v:shapetype id="_x0000_t202" coordsize="21600,21600" o:spt="202" path="m,l,21600r21600,l21600,xe">
          <v:stroke joinstyle="miter"/>
          <v:path gradientshapeok="t" o:connecttype="rect"/>
        </v:shapetype>
        <v:shape id="_x0000_s1027" type="#_x0000_t202" style="position:absolute;margin-left:0;margin-top:0;width:2in;height:2in;z-index:251659264;mso-wrap-style:none;mso-position-horizontal:center;mso-position-horizontal-relative:margin" filled="f" stroked="f">
          <v:textbox style="mso-fit-shape-to-text:t" inset="0,0,0,0">
            <w:txbxContent>
              <w:p w:rsidR="00347A63" w:rsidRDefault="00C03DD4">
                <w:pPr>
                  <w:pStyle w:val="a5"/>
                </w:pPr>
                <w:r>
                  <w:rPr>
                    <w:rFonts w:hint="eastAsia"/>
                  </w:rPr>
                  <w:fldChar w:fldCharType="begin"/>
                </w:r>
                <w:r w:rsidR="00EA146C">
                  <w:rPr>
                    <w:rFonts w:hint="eastAsia"/>
                  </w:rPr>
                  <w:instrText xml:space="preserve"> PAGE  \* MERGEFORMAT </w:instrText>
                </w:r>
                <w:r>
                  <w:rPr>
                    <w:rFonts w:hint="eastAsia"/>
                  </w:rPr>
                  <w:fldChar w:fldCharType="separate"/>
                </w:r>
                <w:r w:rsidR="0086514D">
                  <w:rPr>
                    <w:noProof/>
                  </w:rPr>
                  <w:t>16</w:t>
                </w:r>
                <w:r>
                  <w:rPr>
                    <w:rFonts w:hint="eastAsia"/>
                  </w:rPr>
                  <w:fldChar w:fldCharType="end"/>
                </w:r>
              </w:p>
            </w:txbxContent>
          </v:textbox>
          <w10:wrap anchorx="margin"/>
        </v:shape>
      </w:pict>
    </w:r>
    <w:r>
      <w:pict>
        <v:shape id="_x0000_s1026" type="#_x0000_t202" style="position:absolute;margin-left:0;margin-top:0;width:9.05pt;height:12.05pt;z-index:251658240;mso-wrap-style:none;mso-position-horizontal:center;mso-position-horizontal-relative:margin"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QVPmtAAAAADAQAADwAAAAAAAAABACAAAAAiAAAAZHJzL2Rvd25yZXYueG1sUEsBAhQAFAAAAAgA&#10;h07iQI+dEG27AQAAUgMAAA4AAAAAAAAAAQAgAAAAHwEAAGRycy9lMm9Eb2MueG1sUEsFBgAAAAAG&#10;AAYAWQEAAEwFAAAAAA==&#10;" filled="f" stroked="f">
          <v:textbox style="mso-fit-shape-to-text:t" inset="0,0,0,0">
            <w:txbxContent>
              <w:p w:rsidR="00347A63" w:rsidRDefault="00347A63"/>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A57" w:rsidRDefault="009D1A57" w:rsidP="00347A63">
      <w:r>
        <w:separator/>
      </w:r>
    </w:p>
  </w:footnote>
  <w:footnote w:type="continuationSeparator" w:id="0">
    <w:p w:rsidR="009D1A57" w:rsidRDefault="009D1A57" w:rsidP="00347A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A63" w:rsidRDefault="00347A63">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CD11AFA"/>
    <w:rsid w:val="000B6B4C"/>
    <w:rsid w:val="000F5927"/>
    <w:rsid w:val="001360AA"/>
    <w:rsid w:val="00163BD3"/>
    <w:rsid w:val="00181D05"/>
    <w:rsid w:val="002F2410"/>
    <w:rsid w:val="00303C98"/>
    <w:rsid w:val="0033062F"/>
    <w:rsid w:val="00347A63"/>
    <w:rsid w:val="00352FA3"/>
    <w:rsid w:val="003615B6"/>
    <w:rsid w:val="003968CA"/>
    <w:rsid w:val="00440A6F"/>
    <w:rsid w:val="00483782"/>
    <w:rsid w:val="00496163"/>
    <w:rsid w:val="004B0D66"/>
    <w:rsid w:val="004D6367"/>
    <w:rsid w:val="0053739B"/>
    <w:rsid w:val="00590E3D"/>
    <w:rsid w:val="005B55AE"/>
    <w:rsid w:val="005F3A25"/>
    <w:rsid w:val="00627520"/>
    <w:rsid w:val="006D42AC"/>
    <w:rsid w:val="00700287"/>
    <w:rsid w:val="00746F0D"/>
    <w:rsid w:val="00751813"/>
    <w:rsid w:val="008145F5"/>
    <w:rsid w:val="0086514D"/>
    <w:rsid w:val="009229D4"/>
    <w:rsid w:val="00952FD6"/>
    <w:rsid w:val="00963FB4"/>
    <w:rsid w:val="009A6191"/>
    <w:rsid w:val="009C0ECC"/>
    <w:rsid w:val="009D1A57"/>
    <w:rsid w:val="009F01AB"/>
    <w:rsid w:val="00A30A24"/>
    <w:rsid w:val="00AC1DD2"/>
    <w:rsid w:val="00B41802"/>
    <w:rsid w:val="00B44F19"/>
    <w:rsid w:val="00B72E23"/>
    <w:rsid w:val="00BA0E36"/>
    <w:rsid w:val="00BB1733"/>
    <w:rsid w:val="00C03DD4"/>
    <w:rsid w:val="00C86F30"/>
    <w:rsid w:val="00D00619"/>
    <w:rsid w:val="00D5048B"/>
    <w:rsid w:val="00DA4B6E"/>
    <w:rsid w:val="00E276ED"/>
    <w:rsid w:val="00E31652"/>
    <w:rsid w:val="00E968AA"/>
    <w:rsid w:val="00EA146C"/>
    <w:rsid w:val="00EA6017"/>
    <w:rsid w:val="00EF0FCF"/>
    <w:rsid w:val="00F82D61"/>
    <w:rsid w:val="00F92BEB"/>
    <w:rsid w:val="01ED5F46"/>
    <w:rsid w:val="039B32D2"/>
    <w:rsid w:val="048B27DC"/>
    <w:rsid w:val="0D7F044A"/>
    <w:rsid w:val="18D66D72"/>
    <w:rsid w:val="1CD11AFA"/>
    <w:rsid w:val="1FF75DC1"/>
    <w:rsid w:val="246C4FE8"/>
    <w:rsid w:val="28687460"/>
    <w:rsid w:val="2A984429"/>
    <w:rsid w:val="2E5670DF"/>
    <w:rsid w:val="30B12A66"/>
    <w:rsid w:val="316F35F1"/>
    <w:rsid w:val="31E6556A"/>
    <w:rsid w:val="31FC14FD"/>
    <w:rsid w:val="324034E7"/>
    <w:rsid w:val="327D0FDA"/>
    <w:rsid w:val="3E30259F"/>
    <w:rsid w:val="3E7C2DA2"/>
    <w:rsid w:val="41E75C5C"/>
    <w:rsid w:val="43646F54"/>
    <w:rsid w:val="446F5E64"/>
    <w:rsid w:val="44872A54"/>
    <w:rsid w:val="49F27378"/>
    <w:rsid w:val="4F75179A"/>
    <w:rsid w:val="59DC53F7"/>
    <w:rsid w:val="5EAE7BE6"/>
    <w:rsid w:val="64503D7C"/>
    <w:rsid w:val="66903B06"/>
    <w:rsid w:val="6BE56782"/>
    <w:rsid w:val="6CD4591C"/>
    <w:rsid w:val="6D4859E8"/>
    <w:rsid w:val="6D535020"/>
    <w:rsid w:val="6FA5082E"/>
    <w:rsid w:val="74DC2811"/>
    <w:rsid w:val="759D3B0B"/>
    <w:rsid w:val="76400E23"/>
    <w:rsid w:val="76B777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7A63"/>
    <w:pPr>
      <w:widowControl w:val="0"/>
      <w:jc w:val="both"/>
    </w:pPr>
    <w:rPr>
      <w:rFonts w:ascii="Times New Roman" w:hAnsi="Times New Roman"/>
      <w:kern w:val="2"/>
      <w:sz w:val="21"/>
      <w:szCs w:val="24"/>
    </w:rPr>
  </w:style>
  <w:style w:type="paragraph" w:styleId="2">
    <w:name w:val="heading 2"/>
    <w:basedOn w:val="a"/>
    <w:next w:val="a"/>
    <w:qFormat/>
    <w:rsid w:val="00347A63"/>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347A63"/>
    <w:pPr>
      <w:ind w:leftChars="2500" w:left="100"/>
    </w:pPr>
  </w:style>
  <w:style w:type="paragraph" w:styleId="a4">
    <w:name w:val="Balloon Text"/>
    <w:basedOn w:val="a"/>
    <w:link w:val="Char0"/>
    <w:qFormat/>
    <w:rsid w:val="00347A63"/>
    <w:rPr>
      <w:sz w:val="18"/>
      <w:szCs w:val="18"/>
    </w:rPr>
  </w:style>
  <w:style w:type="paragraph" w:styleId="a5">
    <w:name w:val="footer"/>
    <w:basedOn w:val="a"/>
    <w:qFormat/>
    <w:rsid w:val="00347A63"/>
    <w:pPr>
      <w:tabs>
        <w:tab w:val="center" w:pos="4153"/>
        <w:tab w:val="right" w:pos="8306"/>
      </w:tabs>
      <w:snapToGrid w:val="0"/>
      <w:jc w:val="left"/>
    </w:pPr>
    <w:rPr>
      <w:sz w:val="18"/>
    </w:rPr>
  </w:style>
  <w:style w:type="paragraph" w:styleId="a6">
    <w:name w:val="header"/>
    <w:basedOn w:val="a"/>
    <w:qFormat/>
    <w:rsid w:val="00347A6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nhideWhenUsed/>
    <w:qFormat/>
    <w:rsid w:val="00347A63"/>
    <w:pPr>
      <w:spacing w:before="100" w:beforeAutospacing="1" w:after="100" w:afterAutospacing="1"/>
      <w:jc w:val="left"/>
    </w:pPr>
    <w:rPr>
      <w:kern w:val="0"/>
      <w:sz w:val="24"/>
      <w:szCs w:val="20"/>
    </w:rPr>
  </w:style>
  <w:style w:type="table" w:styleId="a8">
    <w:name w:val="Table Grid"/>
    <w:basedOn w:val="a1"/>
    <w:qFormat/>
    <w:rsid w:val="00347A6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347A63"/>
    <w:pPr>
      <w:widowControl/>
    </w:pPr>
    <w:rPr>
      <w:kern w:val="0"/>
      <w:szCs w:val="21"/>
    </w:rPr>
  </w:style>
  <w:style w:type="character" w:customStyle="1" w:styleId="Char">
    <w:name w:val="日期 Char"/>
    <w:basedOn w:val="a0"/>
    <w:link w:val="a3"/>
    <w:qFormat/>
    <w:rsid w:val="00347A63"/>
    <w:rPr>
      <w:rFonts w:ascii="Times New Roman" w:hAnsi="Times New Roman"/>
      <w:kern w:val="2"/>
      <w:sz w:val="21"/>
      <w:szCs w:val="24"/>
    </w:rPr>
  </w:style>
  <w:style w:type="character" w:customStyle="1" w:styleId="font01">
    <w:name w:val="font01"/>
    <w:basedOn w:val="a0"/>
    <w:qFormat/>
    <w:rsid w:val="00347A63"/>
    <w:rPr>
      <w:rFonts w:ascii="宋体" w:eastAsia="宋体" w:hAnsi="宋体" w:cs="宋体" w:hint="eastAsia"/>
      <w:color w:val="000000"/>
      <w:sz w:val="20"/>
      <w:szCs w:val="20"/>
      <w:u w:val="none"/>
    </w:rPr>
  </w:style>
  <w:style w:type="character" w:customStyle="1" w:styleId="font21">
    <w:name w:val="font21"/>
    <w:basedOn w:val="a0"/>
    <w:qFormat/>
    <w:rsid w:val="00347A63"/>
    <w:rPr>
      <w:rFonts w:ascii="仿宋_GB2312" w:eastAsia="仿宋_GB2312" w:cs="仿宋_GB2312" w:hint="default"/>
      <w:color w:val="000000"/>
      <w:sz w:val="20"/>
      <w:szCs w:val="20"/>
      <w:u w:val="none"/>
    </w:rPr>
  </w:style>
  <w:style w:type="character" w:customStyle="1" w:styleId="font51">
    <w:name w:val="font51"/>
    <w:basedOn w:val="a0"/>
    <w:qFormat/>
    <w:rsid w:val="00347A63"/>
    <w:rPr>
      <w:rFonts w:ascii="仿宋_GB2312" w:eastAsia="仿宋_GB2312" w:cs="仿宋_GB2312" w:hint="default"/>
      <w:color w:val="000000"/>
      <w:sz w:val="18"/>
      <w:szCs w:val="18"/>
      <w:u w:val="none"/>
    </w:rPr>
  </w:style>
  <w:style w:type="character" w:customStyle="1" w:styleId="font61">
    <w:name w:val="font61"/>
    <w:basedOn w:val="a0"/>
    <w:qFormat/>
    <w:rsid w:val="00347A63"/>
    <w:rPr>
      <w:rFonts w:ascii="Times New Roman" w:hAnsi="Times New Roman" w:cs="Times New Roman" w:hint="default"/>
      <w:color w:val="000000"/>
      <w:sz w:val="18"/>
      <w:szCs w:val="18"/>
      <w:u w:val="none"/>
    </w:rPr>
  </w:style>
  <w:style w:type="character" w:customStyle="1" w:styleId="Char0">
    <w:name w:val="批注框文本 Char"/>
    <w:basedOn w:val="a0"/>
    <w:link w:val="a4"/>
    <w:qFormat/>
    <w:rsid w:val="00347A63"/>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textRotate="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C43059-72A3-4A7A-B79D-E89F434B4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3</TotalTime>
  <Pages>48</Pages>
  <Words>3956</Words>
  <Characters>22551</Characters>
  <Application>Microsoft Office Word</Application>
  <DocSecurity>0</DocSecurity>
  <Lines>187</Lines>
  <Paragraphs>52</Paragraphs>
  <ScaleCrop>false</ScaleCrop>
  <Company>微软中国</Company>
  <LinksUpToDate>false</LinksUpToDate>
  <CharactersWithSpaces>26455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幸</dc:creator>
  <cp:lastModifiedBy>Administrator</cp:lastModifiedBy>
  <cp:revision>4</cp:revision>
  <cp:lastPrinted>2019-05-27T01:51:00Z</cp:lastPrinted>
  <dcterms:created xsi:type="dcterms:W3CDTF">2020-07-29T08:11:00Z</dcterms:created>
  <dcterms:modified xsi:type="dcterms:W3CDTF">2020-09-03T02:12:00Z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