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10E0" w:rsidRDefault="00F33E79">
      <w:pPr>
        <w:jc w:val="center"/>
        <w:rPr>
          <w:rFonts w:ascii="方正小标宋简体" w:eastAsia="方正小标宋简体" w:hAnsi="方正小标宋简体" w:cs="方正小标宋简体"/>
          <w:color w:val="FF0000"/>
          <w:spacing w:val="-23"/>
          <w:w w:val="51"/>
          <w:sz w:val="112"/>
          <w:szCs w:val="112"/>
        </w:rPr>
      </w:pPr>
      <w:r>
        <w:rPr>
          <w:rFonts w:ascii="方正小标宋简体" w:eastAsia="方正小标宋简体" w:hAnsi="方正小标宋简体" w:cs="方正小标宋简体" w:hint="eastAsia"/>
          <w:color w:val="FF0000"/>
          <w:spacing w:val="-23"/>
          <w:w w:val="51"/>
          <w:sz w:val="112"/>
          <w:szCs w:val="112"/>
        </w:rPr>
        <w:t>芷江侗族自治县大树坳乡人民政府文件</w:t>
      </w:r>
    </w:p>
    <w:p w:rsidR="008F10E0" w:rsidRDefault="008F10E0"/>
    <w:p w:rsidR="008F10E0" w:rsidRDefault="008F10E0"/>
    <w:p w:rsidR="008F10E0" w:rsidRDefault="00F33E79">
      <w:pPr>
        <w:ind w:firstLineChars="50" w:firstLine="140"/>
        <w:jc w:val="center"/>
        <w:rPr>
          <w:rFonts w:ascii="楷体_GB2312" w:eastAsia="楷体_GB2312" w:hAnsi="楷体_GB2312" w:cs="楷体_GB2312"/>
          <w:sz w:val="28"/>
          <w:szCs w:val="32"/>
        </w:rPr>
      </w:pPr>
      <w:r>
        <w:rPr>
          <w:rFonts w:ascii="楷体_GB2312" w:eastAsia="楷体_GB2312" w:hAnsi="楷体_GB2312" w:cs="楷体_GB2312" w:hint="eastAsia"/>
          <w:sz w:val="28"/>
          <w:szCs w:val="32"/>
        </w:rPr>
        <w:t>树政发【2021】29号</w:t>
      </w:r>
    </w:p>
    <w:p w:rsidR="008F10E0" w:rsidRDefault="00390522">
      <w:pPr>
        <w:tabs>
          <w:tab w:val="right" w:pos="9072"/>
        </w:tabs>
        <w:spacing w:line="400" w:lineRule="exact"/>
      </w:pPr>
      <w:r w:rsidRPr="00390522">
        <w:rPr>
          <w:color w:val="FF0000"/>
        </w:rPr>
        <w:pict>
          <v:line id="直接连接符 1" o:spid="_x0000_s1027" style="position:absolute;left:0;text-align:left;z-index:251659264" from="10.5pt,7.8pt" to="445.75pt,8.5pt" o:gfxdata="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dEwpTUAAAABgEAAA8AAAAAAAAA&#10;AQAgAAAAIgAAAGRycy9kb3ducmV2LnhtbFBLAQIUABQAAAAIAIdO4kDkt/EC3AEAAJcDAAAOAAAA&#10;AAAAAAEAIAAAACMBAABkcnMvZTJvRG9jLnhtbFBLBQYAAAAABgAGAFkBAABxBQAAAAA=&#10;" strokecolor="red" strokeweight="2.25pt"/>
        </w:pict>
      </w:r>
      <w:r w:rsidR="00F33E79">
        <w:rPr>
          <w:rFonts w:hint="eastAsia"/>
        </w:rPr>
        <w:tab/>
      </w:r>
    </w:p>
    <w:p w:rsidR="008F10E0" w:rsidRDefault="00F33E79">
      <w:pPr>
        <w:spacing w:line="560" w:lineRule="exact"/>
        <w:jc w:val="center"/>
        <w:rPr>
          <w:rFonts w:eastAsia="方正小标宋简体"/>
          <w:sz w:val="44"/>
          <w:szCs w:val="44"/>
        </w:rPr>
      </w:pPr>
      <w:r>
        <w:rPr>
          <w:rFonts w:eastAsia="方正小标宋简体" w:hint="eastAsia"/>
          <w:sz w:val="44"/>
          <w:szCs w:val="44"/>
        </w:rPr>
        <w:t>芷江侗族自治县大树坳乡人民政府</w:t>
      </w:r>
    </w:p>
    <w:p w:rsidR="008F10E0" w:rsidRDefault="00F33E79">
      <w:pPr>
        <w:spacing w:line="560" w:lineRule="exact"/>
        <w:jc w:val="center"/>
        <w:rPr>
          <w:rFonts w:eastAsia="方正小标宋简体"/>
          <w:sz w:val="44"/>
          <w:szCs w:val="44"/>
        </w:rPr>
      </w:pPr>
      <w:r>
        <w:rPr>
          <w:rFonts w:eastAsia="方正小标宋简体" w:hint="eastAsia"/>
          <w:sz w:val="44"/>
          <w:szCs w:val="44"/>
        </w:rPr>
        <w:t>2020</w:t>
      </w:r>
      <w:r>
        <w:rPr>
          <w:rFonts w:eastAsia="方正小标宋简体" w:hint="eastAsia"/>
          <w:sz w:val="44"/>
          <w:szCs w:val="44"/>
        </w:rPr>
        <w:t>年度部门整体支出绩效自评报告</w:t>
      </w:r>
    </w:p>
    <w:p w:rsidR="008F10E0" w:rsidRDefault="008F10E0">
      <w:pPr>
        <w:spacing w:line="560" w:lineRule="exact"/>
        <w:jc w:val="center"/>
        <w:rPr>
          <w:b/>
          <w:sz w:val="36"/>
          <w:szCs w:val="36"/>
        </w:rPr>
      </w:pPr>
    </w:p>
    <w:p w:rsidR="008F10E0" w:rsidRDefault="00F33E79">
      <w:pPr>
        <w:spacing w:line="560" w:lineRule="exact"/>
        <w:ind w:firstLineChars="200" w:firstLine="640"/>
        <w:rPr>
          <w:sz w:val="28"/>
          <w:szCs w:val="28"/>
        </w:rPr>
      </w:pPr>
      <w:r>
        <w:rPr>
          <w:rFonts w:eastAsia="仿宋_GB2312"/>
          <w:sz w:val="32"/>
          <w:szCs w:val="32"/>
        </w:rPr>
        <w:t>根据《预算法》有关</w:t>
      </w:r>
      <w:r>
        <w:rPr>
          <w:rFonts w:eastAsia="仿宋_GB2312"/>
          <w:sz w:val="32"/>
          <w:szCs w:val="32"/>
        </w:rPr>
        <w:t>“</w:t>
      </w:r>
      <w:r>
        <w:rPr>
          <w:rFonts w:eastAsia="仿宋_GB2312"/>
          <w:sz w:val="32"/>
          <w:szCs w:val="32"/>
        </w:rPr>
        <w:t>各级政府、各部门、各单位应当对预算支出情况开展绩效评价</w:t>
      </w:r>
      <w:r>
        <w:rPr>
          <w:rFonts w:eastAsia="仿宋_GB2312"/>
          <w:sz w:val="32"/>
          <w:szCs w:val="32"/>
        </w:rPr>
        <w:t>”</w:t>
      </w:r>
      <w:r>
        <w:rPr>
          <w:rFonts w:eastAsia="仿宋_GB2312"/>
          <w:sz w:val="32"/>
          <w:szCs w:val="32"/>
        </w:rPr>
        <w:t>的规定及县财政局《</w:t>
      </w:r>
      <w:r>
        <w:rPr>
          <w:rFonts w:eastAsia="仿宋_GB2312" w:hint="eastAsia"/>
          <w:sz w:val="32"/>
          <w:szCs w:val="32"/>
        </w:rPr>
        <w:t>关于开展</w:t>
      </w:r>
      <w:r>
        <w:rPr>
          <w:rFonts w:eastAsia="仿宋_GB2312" w:hint="eastAsia"/>
          <w:sz w:val="32"/>
          <w:szCs w:val="32"/>
        </w:rPr>
        <w:t>2020</w:t>
      </w:r>
      <w:r>
        <w:rPr>
          <w:rFonts w:eastAsia="仿宋_GB2312" w:hint="eastAsia"/>
          <w:sz w:val="32"/>
          <w:szCs w:val="32"/>
        </w:rPr>
        <w:t>年度财政资金绩效评价工作的通知</w:t>
      </w:r>
      <w:r>
        <w:rPr>
          <w:rFonts w:eastAsia="仿宋_GB2312"/>
          <w:sz w:val="32"/>
          <w:szCs w:val="32"/>
        </w:rPr>
        <w:t>》（芷财绩</w:t>
      </w:r>
      <w:r>
        <w:rPr>
          <w:rFonts w:eastAsia="仿宋_GB2312"/>
          <w:sz w:val="32"/>
          <w:szCs w:val="32"/>
        </w:rPr>
        <w:t>[20</w:t>
      </w:r>
      <w:r>
        <w:rPr>
          <w:rFonts w:eastAsia="仿宋_GB2312" w:hint="eastAsia"/>
          <w:sz w:val="32"/>
          <w:szCs w:val="32"/>
        </w:rPr>
        <w:t>21</w:t>
      </w:r>
      <w:r>
        <w:rPr>
          <w:rFonts w:eastAsia="仿宋_GB2312"/>
          <w:sz w:val="32"/>
          <w:szCs w:val="32"/>
        </w:rPr>
        <w:t>]</w:t>
      </w:r>
      <w:r>
        <w:rPr>
          <w:rFonts w:hint="eastAsia"/>
          <w:sz w:val="32"/>
          <w:szCs w:val="32"/>
        </w:rPr>
        <w:t>1</w:t>
      </w:r>
      <w:r>
        <w:rPr>
          <w:rFonts w:eastAsia="仿宋_GB2312"/>
          <w:sz w:val="32"/>
          <w:szCs w:val="32"/>
        </w:rPr>
        <w:t>号）文件精神，我单位对部门整体支出进行了绩效评价</w:t>
      </w:r>
      <w:r>
        <w:rPr>
          <w:rFonts w:eastAsia="仿宋_GB2312"/>
          <w:sz w:val="32"/>
          <w:szCs w:val="32"/>
        </w:rPr>
        <w:t>,</w:t>
      </w:r>
      <w:r>
        <w:rPr>
          <w:rFonts w:eastAsia="仿宋_GB2312"/>
          <w:sz w:val="32"/>
          <w:szCs w:val="32"/>
        </w:rPr>
        <w:t>现将有关情况报告如下：</w:t>
      </w:r>
    </w:p>
    <w:p w:rsidR="008F10E0" w:rsidRDefault="00F33E79">
      <w:pPr>
        <w:spacing w:line="560" w:lineRule="exact"/>
        <w:ind w:firstLineChars="196" w:firstLine="627"/>
        <w:rPr>
          <w:rFonts w:eastAsia="黑体"/>
          <w:sz w:val="32"/>
          <w:szCs w:val="32"/>
        </w:rPr>
      </w:pPr>
      <w:r>
        <w:rPr>
          <w:rFonts w:eastAsia="黑体" w:hint="eastAsia"/>
          <w:sz w:val="32"/>
          <w:szCs w:val="32"/>
        </w:rPr>
        <w:t xml:space="preserve"> </w:t>
      </w:r>
      <w:r>
        <w:rPr>
          <w:rFonts w:eastAsia="黑体" w:hint="eastAsia"/>
          <w:sz w:val="32"/>
          <w:szCs w:val="32"/>
        </w:rPr>
        <w:t>一、部门概况</w:t>
      </w:r>
    </w:p>
    <w:p w:rsidR="008F10E0" w:rsidRDefault="00F33E79" w:rsidP="008548B9">
      <w:pPr>
        <w:spacing w:line="560" w:lineRule="exact"/>
        <w:ind w:firstLineChars="200" w:firstLine="640"/>
        <w:rPr>
          <w:rFonts w:eastAsia="楷体_GB2312"/>
          <w:b/>
          <w:sz w:val="32"/>
          <w:szCs w:val="32"/>
        </w:rPr>
      </w:pPr>
      <w:r>
        <w:rPr>
          <w:rFonts w:eastAsia="楷体_GB2312" w:hint="eastAsia"/>
          <w:b/>
          <w:sz w:val="32"/>
          <w:szCs w:val="32"/>
        </w:rPr>
        <w:t>（一）部门基本情况</w:t>
      </w:r>
    </w:p>
    <w:p w:rsidR="008F10E0" w:rsidRDefault="00F33E79" w:rsidP="008548B9">
      <w:pPr>
        <w:spacing w:line="560" w:lineRule="exact"/>
        <w:ind w:firstLineChars="200" w:firstLine="640"/>
        <w:rPr>
          <w:rFonts w:eastAsia="仿宋_GB2312"/>
          <w:b/>
          <w:sz w:val="32"/>
          <w:szCs w:val="32"/>
        </w:rPr>
      </w:pPr>
      <w:r>
        <w:rPr>
          <w:rFonts w:eastAsia="仿宋_GB2312"/>
          <w:b/>
          <w:sz w:val="32"/>
          <w:szCs w:val="32"/>
        </w:rPr>
        <w:t>1.</w:t>
      </w:r>
      <w:r>
        <w:rPr>
          <w:rFonts w:eastAsia="仿宋_GB2312"/>
          <w:b/>
          <w:sz w:val="32"/>
          <w:szCs w:val="32"/>
        </w:rPr>
        <w:t>主要职能及工作计划</w:t>
      </w:r>
    </w:p>
    <w:p w:rsidR="008F10E0" w:rsidRDefault="00F33E79">
      <w:pPr>
        <w:spacing w:line="560" w:lineRule="exact"/>
        <w:ind w:firstLineChars="200" w:firstLine="640"/>
        <w:rPr>
          <w:rFonts w:eastAsia="仿宋_GB2312"/>
          <w:bCs/>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bCs/>
          <w:sz w:val="32"/>
          <w:szCs w:val="32"/>
        </w:rPr>
        <w:t>贯彻执行上级的各项方针政策，保障公民享有宪法规定的经济、政治和文化权利；</w:t>
      </w:r>
    </w:p>
    <w:p w:rsidR="008F10E0" w:rsidRDefault="00F33E79">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）加强综合治理，维护社会稳定，妥善处理突发性、群体性事件，调节和处理好各种利益矛盾和纠分；</w:t>
      </w:r>
    </w:p>
    <w:p w:rsidR="008F10E0" w:rsidRDefault="00F33E79">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）组织制定本乡</w:t>
      </w:r>
      <w:r>
        <w:rPr>
          <w:rFonts w:eastAsia="仿宋_GB2312" w:hint="eastAsia"/>
          <w:bCs/>
          <w:sz w:val="32"/>
          <w:szCs w:val="32"/>
        </w:rPr>
        <w:t>乡</w:t>
      </w:r>
      <w:r>
        <w:rPr>
          <w:rFonts w:eastAsia="仿宋_GB2312"/>
          <w:bCs/>
          <w:sz w:val="32"/>
          <w:szCs w:val="32"/>
        </w:rPr>
        <w:t>产业发展规划，指导产业结构调整，形成地域产业特色；</w:t>
      </w:r>
    </w:p>
    <w:p w:rsidR="008F10E0" w:rsidRDefault="00F33E79">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）组织营造良好的投资环境，包括政策环境、硬件环境、</w:t>
      </w:r>
      <w:r>
        <w:rPr>
          <w:rFonts w:eastAsia="仿宋_GB2312"/>
          <w:bCs/>
          <w:sz w:val="32"/>
          <w:szCs w:val="32"/>
        </w:rPr>
        <w:lastRenderedPageBreak/>
        <w:t>社会环境，加大招商引资力度；</w:t>
      </w:r>
    </w:p>
    <w:p w:rsidR="008F10E0" w:rsidRDefault="00F33E79">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5</w:t>
      </w:r>
      <w:r>
        <w:rPr>
          <w:rFonts w:eastAsia="仿宋_GB2312"/>
          <w:bCs/>
          <w:sz w:val="32"/>
          <w:szCs w:val="32"/>
        </w:rPr>
        <w:t>）加强信息服务，密切本地农产品的市场衔接，促进农业新技术的推广。</w:t>
      </w:r>
    </w:p>
    <w:p w:rsidR="008F10E0" w:rsidRDefault="00F33E79">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6</w:t>
      </w:r>
      <w:r>
        <w:rPr>
          <w:rFonts w:eastAsia="仿宋_GB2312"/>
          <w:bCs/>
          <w:sz w:val="32"/>
          <w:szCs w:val="32"/>
        </w:rPr>
        <w:t>）普及义务教育，计划生育，积极发展农村卫生事业，繁荣农村文化，建立农村社会保障制度，加强社会公德建设，加强农民思想道德教育，倡导健康文明新风尚等。</w:t>
      </w:r>
    </w:p>
    <w:p w:rsidR="008F10E0" w:rsidRDefault="00F33E79">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7</w:t>
      </w:r>
      <w:r>
        <w:rPr>
          <w:rFonts w:eastAsia="仿宋_GB2312"/>
          <w:bCs/>
          <w:sz w:val="32"/>
          <w:szCs w:val="32"/>
        </w:rPr>
        <w:t>）抓好农村党组织建设，包括乡</w:t>
      </w:r>
      <w:r>
        <w:rPr>
          <w:rFonts w:eastAsia="仿宋_GB2312" w:hint="eastAsia"/>
          <w:bCs/>
          <w:sz w:val="32"/>
          <w:szCs w:val="32"/>
        </w:rPr>
        <w:t>乡</w:t>
      </w:r>
      <w:r>
        <w:rPr>
          <w:rFonts w:eastAsia="仿宋_GB2312"/>
          <w:bCs/>
          <w:sz w:val="32"/>
          <w:szCs w:val="32"/>
        </w:rPr>
        <w:t>党委、村党支部领导班子的推荐与选配，农村党员的发展和管理，党员干部队伍思想作风建设等；</w:t>
      </w:r>
    </w:p>
    <w:p w:rsidR="008F10E0" w:rsidRDefault="00F33E79">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8</w:t>
      </w:r>
      <w:r>
        <w:rPr>
          <w:rFonts w:eastAsia="仿宋_GB2312"/>
          <w:bCs/>
          <w:sz w:val="32"/>
          <w:szCs w:val="32"/>
        </w:rPr>
        <w:t>）抓好村委会班子建设，依法指导和帮助组织好乡村基层组织和社区自治，为落实公民在选举、决策、管理和监督等方面的民主权利创造条件；</w:t>
      </w:r>
    </w:p>
    <w:p w:rsidR="008F10E0" w:rsidRDefault="00F33E79">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9</w:t>
      </w:r>
      <w:r>
        <w:rPr>
          <w:rFonts w:eastAsia="仿宋_GB2312"/>
          <w:bCs/>
          <w:sz w:val="32"/>
          <w:szCs w:val="32"/>
        </w:rPr>
        <w:t>）抓好农村思想建设，加强农村思想政治工作和社会主义精神文明建设，倡导乡村社会文明新风；</w:t>
      </w:r>
    </w:p>
    <w:p w:rsidR="008F10E0" w:rsidRDefault="00F33E79">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10</w:t>
      </w:r>
      <w:r>
        <w:rPr>
          <w:rFonts w:eastAsia="仿宋_GB2312"/>
          <w:bCs/>
          <w:sz w:val="32"/>
          <w:szCs w:val="32"/>
        </w:rPr>
        <w:t>）抓好民主集中制建设，敞开群众表达意愿的渠道，建立民主决策、科学决策的程序和机制。此外，乡</w:t>
      </w:r>
      <w:r>
        <w:rPr>
          <w:rFonts w:eastAsia="仿宋_GB2312" w:hint="eastAsia"/>
          <w:bCs/>
          <w:sz w:val="32"/>
          <w:szCs w:val="32"/>
        </w:rPr>
        <w:t>乡</w:t>
      </w:r>
      <w:r>
        <w:rPr>
          <w:rFonts w:eastAsia="仿宋_GB2312"/>
          <w:bCs/>
          <w:sz w:val="32"/>
          <w:szCs w:val="32"/>
        </w:rPr>
        <w:t>政府还应在打造</w:t>
      </w:r>
      <w:r>
        <w:rPr>
          <w:rFonts w:eastAsia="仿宋_GB2312"/>
          <w:bCs/>
          <w:sz w:val="32"/>
          <w:szCs w:val="32"/>
        </w:rPr>
        <w:t>“</w:t>
      </w:r>
      <w:r>
        <w:rPr>
          <w:rFonts w:eastAsia="仿宋_GB2312"/>
          <w:bCs/>
          <w:sz w:val="32"/>
          <w:szCs w:val="32"/>
        </w:rPr>
        <w:t>信用政府</w:t>
      </w:r>
      <w:r>
        <w:rPr>
          <w:rFonts w:eastAsia="仿宋_GB2312"/>
          <w:bCs/>
          <w:sz w:val="32"/>
          <w:szCs w:val="32"/>
        </w:rPr>
        <w:t>”</w:t>
      </w:r>
      <w:r>
        <w:rPr>
          <w:rFonts w:eastAsia="仿宋_GB2312"/>
          <w:bCs/>
          <w:sz w:val="32"/>
          <w:szCs w:val="32"/>
        </w:rPr>
        <w:t>、</w:t>
      </w:r>
      <w:r>
        <w:rPr>
          <w:rFonts w:eastAsia="仿宋_GB2312"/>
          <w:bCs/>
          <w:sz w:val="32"/>
          <w:szCs w:val="32"/>
        </w:rPr>
        <w:t>“</w:t>
      </w:r>
      <w:r>
        <w:rPr>
          <w:rFonts w:eastAsia="仿宋_GB2312"/>
          <w:bCs/>
          <w:sz w:val="32"/>
          <w:szCs w:val="32"/>
        </w:rPr>
        <w:t>效率政府</w:t>
      </w:r>
      <w:r>
        <w:rPr>
          <w:rFonts w:eastAsia="仿宋_GB2312"/>
          <w:bCs/>
          <w:sz w:val="32"/>
          <w:szCs w:val="32"/>
        </w:rPr>
        <w:t>”</w:t>
      </w:r>
      <w:r>
        <w:rPr>
          <w:rFonts w:eastAsia="仿宋_GB2312"/>
          <w:bCs/>
          <w:sz w:val="32"/>
          <w:szCs w:val="32"/>
        </w:rPr>
        <w:t>、</w:t>
      </w:r>
      <w:r>
        <w:rPr>
          <w:rFonts w:eastAsia="仿宋_GB2312"/>
          <w:bCs/>
          <w:sz w:val="32"/>
          <w:szCs w:val="32"/>
        </w:rPr>
        <w:t>“</w:t>
      </w:r>
      <w:r>
        <w:rPr>
          <w:rFonts w:eastAsia="仿宋_GB2312"/>
          <w:bCs/>
          <w:sz w:val="32"/>
          <w:szCs w:val="32"/>
        </w:rPr>
        <w:t>廉洁政府</w:t>
      </w:r>
      <w:r>
        <w:rPr>
          <w:rFonts w:eastAsia="仿宋_GB2312"/>
          <w:bCs/>
          <w:sz w:val="32"/>
          <w:szCs w:val="32"/>
        </w:rPr>
        <w:t>”</w:t>
      </w:r>
      <w:r>
        <w:rPr>
          <w:rFonts w:eastAsia="仿宋_GB2312"/>
          <w:bCs/>
          <w:sz w:val="32"/>
          <w:szCs w:val="32"/>
        </w:rPr>
        <w:t>上下功夫。</w:t>
      </w:r>
    </w:p>
    <w:p w:rsidR="008F10E0" w:rsidRDefault="00F33E79" w:rsidP="008548B9">
      <w:pPr>
        <w:spacing w:line="560" w:lineRule="exact"/>
        <w:ind w:firstLineChars="200" w:firstLine="640"/>
        <w:rPr>
          <w:rFonts w:eastAsia="仿宋_GB2312"/>
          <w:b/>
          <w:sz w:val="32"/>
          <w:szCs w:val="32"/>
        </w:rPr>
      </w:pPr>
      <w:r>
        <w:rPr>
          <w:rFonts w:eastAsia="仿宋_GB2312"/>
          <w:b/>
          <w:sz w:val="32"/>
          <w:szCs w:val="32"/>
        </w:rPr>
        <w:t>2.</w:t>
      </w:r>
      <w:r>
        <w:rPr>
          <w:rFonts w:eastAsia="仿宋_GB2312"/>
          <w:b/>
          <w:sz w:val="32"/>
          <w:szCs w:val="32"/>
        </w:rPr>
        <w:t>机构设置</w:t>
      </w:r>
    </w:p>
    <w:p w:rsidR="008F10E0" w:rsidRDefault="00F33E79">
      <w:pPr>
        <w:spacing w:line="560" w:lineRule="exact"/>
        <w:ind w:firstLineChars="200" w:firstLine="640"/>
        <w:rPr>
          <w:rFonts w:eastAsia="仿宋_GB2312"/>
          <w:sz w:val="32"/>
          <w:szCs w:val="32"/>
        </w:rPr>
      </w:pPr>
      <w:r>
        <w:rPr>
          <w:rFonts w:eastAsia="仿宋_GB2312"/>
          <w:sz w:val="32"/>
          <w:szCs w:val="32"/>
        </w:rPr>
        <w:t>本单位内设</w:t>
      </w:r>
      <w:r>
        <w:rPr>
          <w:rFonts w:eastAsia="仿宋_GB2312"/>
          <w:sz w:val="32"/>
          <w:szCs w:val="32"/>
        </w:rPr>
        <w:t>1</w:t>
      </w:r>
      <w:r>
        <w:rPr>
          <w:rFonts w:eastAsia="仿宋_GB2312" w:hint="eastAsia"/>
          <w:sz w:val="32"/>
          <w:szCs w:val="32"/>
        </w:rPr>
        <w:t>2</w:t>
      </w:r>
      <w:r>
        <w:rPr>
          <w:rFonts w:eastAsia="仿宋_GB2312"/>
          <w:sz w:val="32"/>
          <w:szCs w:val="32"/>
        </w:rPr>
        <w:t>个机构，其中包括行政机构</w:t>
      </w:r>
      <w:r>
        <w:rPr>
          <w:rFonts w:eastAsia="仿宋_GB2312" w:hint="eastAsia"/>
          <w:sz w:val="32"/>
          <w:szCs w:val="32"/>
        </w:rPr>
        <w:t>8</w:t>
      </w:r>
      <w:r>
        <w:rPr>
          <w:rFonts w:eastAsia="仿宋_GB2312"/>
          <w:sz w:val="32"/>
          <w:szCs w:val="32"/>
        </w:rPr>
        <w:t>个，事业机构</w:t>
      </w:r>
      <w:r>
        <w:rPr>
          <w:rFonts w:eastAsia="仿宋_GB2312" w:hint="eastAsia"/>
          <w:sz w:val="32"/>
          <w:szCs w:val="32"/>
        </w:rPr>
        <w:t>4</w:t>
      </w:r>
      <w:r>
        <w:rPr>
          <w:rFonts w:eastAsia="仿宋_GB2312"/>
          <w:sz w:val="32"/>
          <w:szCs w:val="32"/>
        </w:rPr>
        <w:t>个，分别为：</w:t>
      </w:r>
      <w:r>
        <w:rPr>
          <w:rFonts w:eastAsia="仿宋_GB2312" w:hint="eastAsia"/>
          <w:sz w:val="32"/>
          <w:szCs w:val="32"/>
        </w:rPr>
        <w:t>党政综合办公室，经济发展办公室，基层党建办公室，社会事务办公室，自然资源和生态环境办公室，社会治安和应急管理办公室，农业综合服务中心，财政所，社会事务综合服务中心，政务服务中心，综合行政执法大队，退役军人事务服务站</w:t>
      </w:r>
      <w:r>
        <w:rPr>
          <w:rFonts w:eastAsia="仿宋_GB2312"/>
          <w:sz w:val="32"/>
          <w:szCs w:val="32"/>
        </w:rPr>
        <w:t>。</w:t>
      </w:r>
    </w:p>
    <w:p w:rsidR="008F10E0" w:rsidRDefault="00F33E79" w:rsidP="008548B9">
      <w:pPr>
        <w:spacing w:line="560" w:lineRule="exact"/>
        <w:ind w:firstLineChars="200" w:firstLine="640"/>
        <w:rPr>
          <w:rFonts w:eastAsia="仿宋_GB2312"/>
          <w:b/>
          <w:sz w:val="32"/>
          <w:szCs w:val="32"/>
        </w:rPr>
      </w:pPr>
      <w:r>
        <w:rPr>
          <w:rFonts w:eastAsia="仿宋_GB2312"/>
          <w:b/>
          <w:sz w:val="32"/>
          <w:szCs w:val="32"/>
        </w:rPr>
        <w:lastRenderedPageBreak/>
        <w:t>3.</w:t>
      </w:r>
      <w:r>
        <w:rPr>
          <w:rFonts w:eastAsia="仿宋_GB2312"/>
          <w:b/>
          <w:sz w:val="32"/>
          <w:szCs w:val="32"/>
        </w:rPr>
        <w:t>在职人员情况</w:t>
      </w:r>
    </w:p>
    <w:p w:rsidR="008F10E0" w:rsidRDefault="00F33E79">
      <w:pPr>
        <w:spacing w:line="560" w:lineRule="exact"/>
        <w:ind w:firstLineChars="200" w:firstLine="640"/>
        <w:rPr>
          <w:rFonts w:eastAsia="仿宋_GB2312"/>
          <w:sz w:val="32"/>
          <w:szCs w:val="32"/>
        </w:rPr>
      </w:pPr>
      <w:r>
        <w:rPr>
          <w:rFonts w:eastAsia="仿宋_GB2312"/>
          <w:sz w:val="32"/>
          <w:szCs w:val="32"/>
        </w:rPr>
        <w:t>截止</w:t>
      </w:r>
      <w:r>
        <w:rPr>
          <w:rFonts w:eastAsia="仿宋_GB2312"/>
          <w:sz w:val="32"/>
          <w:szCs w:val="32"/>
        </w:rPr>
        <w:t>20</w:t>
      </w:r>
      <w:r>
        <w:rPr>
          <w:rFonts w:eastAsia="仿宋_GB2312" w:hint="eastAsia"/>
          <w:sz w:val="32"/>
          <w:szCs w:val="32"/>
        </w:rPr>
        <w:t>20</w:t>
      </w:r>
      <w:r>
        <w:rPr>
          <w:rFonts w:eastAsia="仿宋_GB2312"/>
          <w:sz w:val="32"/>
          <w:szCs w:val="32"/>
        </w:rPr>
        <w:t>年</w:t>
      </w:r>
      <w:r>
        <w:rPr>
          <w:rFonts w:eastAsia="仿宋_GB2312" w:hint="eastAsia"/>
          <w:sz w:val="32"/>
          <w:szCs w:val="32"/>
        </w:rPr>
        <w:t>12</w:t>
      </w:r>
      <w:r>
        <w:rPr>
          <w:rFonts w:eastAsia="仿宋_GB2312"/>
          <w:sz w:val="32"/>
          <w:szCs w:val="32"/>
        </w:rPr>
        <w:t>月</w:t>
      </w:r>
      <w:r>
        <w:rPr>
          <w:rFonts w:eastAsia="仿宋_GB2312" w:hint="eastAsia"/>
          <w:sz w:val="32"/>
          <w:szCs w:val="32"/>
        </w:rPr>
        <w:t>31</w:t>
      </w:r>
      <w:r>
        <w:rPr>
          <w:rFonts w:eastAsia="仿宋_GB2312"/>
          <w:sz w:val="32"/>
          <w:szCs w:val="32"/>
        </w:rPr>
        <w:t>日，本单位经县编委核定的编制人数为</w:t>
      </w:r>
      <w:r>
        <w:rPr>
          <w:rFonts w:eastAsia="仿宋_GB2312" w:hint="eastAsia"/>
          <w:sz w:val="32"/>
          <w:szCs w:val="32"/>
        </w:rPr>
        <w:t>44</w:t>
      </w:r>
      <w:r>
        <w:rPr>
          <w:rFonts w:eastAsia="仿宋_GB2312"/>
          <w:sz w:val="32"/>
          <w:szCs w:val="32"/>
        </w:rPr>
        <w:t>人（其中行政编制</w:t>
      </w:r>
      <w:r>
        <w:rPr>
          <w:rFonts w:eastAsia="仿宋_GB2312" w:hint="eastAsia"/>
          <w:sz w:val="32"/>
          <w:szCs w:val="32"/>
        </w:rPr>
        <w:t>19</w:t>
      </w:r>
      <w:r>
        <w:rPr>
          <w:rFonts w:eastAsia="仿宋_GB2312"/>
          <w:sz w:val="32"/>
          <w:szCs w:val="32"/>
        </w:rPr>
        <w:t>人，事业编制</w:t>
      </w:r>
      <w:r>
        <w:rPr>
          <w:rFonts w:eastAsia="仿宋_GB2312" w:hint="eastAsia"/>
          <w:sz w:val="32"/>
          <w:szCs w:val="32"/>
        </w:rPr>
        <w:t>25</w:t>
      </w:r>
      <w:r>
        <w:rPr>
          <w:rFonts w:eastAsia="仿宋_GB2312"/>
          <w:sz w:val="32"/>
          <w:szCs w:val="32"/>
        </w:rPr>
        <w:t>人）。年末实有人数</w:t>
      </w:r>
      <w:r>
        <w:rPr>
          <w:rFonts w:eastAsia="仿宋_GB2312" w:hint="eastAsia"/>
          <w:sz w:val="32"/>
          <w:szCs w:val="32"/>
        </w:rPr>
        <w:t>36</w:t>
      </w:r>
      <w:r>
        <w:rPr>
          <w:rFonts w:eastAsia="仿宋_GB2312"/>
          <w:sz w:val="32"/>
          <w:szCs w:val="32"/>
        </w:rPr>
        <w:t>人（行政编制</w:t>
      </w:r>
      <w:r>
        <w:rPr>
          <w:rFonts w:eastAsia="仿宋_GB2312" w:hint="eastAsia"/>
          <w:sz w:val="32"/>
          <w:szCs w:val="32"/>
        </w:rPr>
        <w:t>16</w:t>
      </w:r>
      <w:r>
        <w:rPr>
          <w:rFonts w:eastAsia="仿宋_GB2312"/>
          <w:sz w:val="32"/>
          <w:szCs w:val="32"/>
        </w:rPr>
        <w:t>人，事业编制</w:t>
      </w:r>
      <w:r>
        <w:rPr>
          <w:rFonts w:eastAsia="仿宋_GB2312" w:hint="eastAsia"/>
          <w:sz w:val="32"/>
          <w:szCs w:val="32"/>
        </w:rPr>
        <w:t>20</w:t>
      </w:r>
      <w:r>
        <w:rPr>
          <w:rFonts w:eastAsia="仿宋_GB2312"/>
          <w:sz w:val="32"/>
          <w:szCs w:val="32"/>
        </w:rPr>
        <w:t>人）。</w:t>
      </w:r>
    </w:p>
    <w:p w:rsidR="008F10E0" w:rsidRDefault="00F33E79" w:rsidP="008548B9">
      <w:pPr>
        <w:spacing w:line="560" w:lineRule="exact"/>
        <w:ind w:firstLineChars="200" w:firstLine="616"/>
        <w:rPr>
          <w:rFonts w:eastAsia="楷体_GB2312"/>
          <w:b/>
          <w:spacing w:val="-6"/>
          <w:sz w:val="32"/>
          <w:szCs w:val="32"/>
        </w:rPr>
      </w:pPr>
      <w:r>
        <w:rPr>
          <w:rFonts w:eastAsia="楷体_GB2312" w:hint="eastAsia"/>
          <w:b/>
          <w:spacing w:val="-6"/>
          <w:sz w:val="32"/>
          <w:szCs w:val="32"/>
        </w:rPr>
        <w:t>（二）部门整体支出规模、使用方向和主要内容、涉及范围</w:t>
      </w:r>
    </w:p>
    <w:p w:rsidR="008F10E0" w:rsidRDefault="00F33E79">
      <w:pPr>
        <w:spacing w:line="560" w:lineRule="exact"/>
        <w:ind w:firstLineChars="200" w:firstLine="640"/>
        <w:rPr>
          <w:rFonts w:eastAsia="仿宋_GB2312"/>
          <w:sz w:val="32"/>
          <w:szCs w:val="32"/>
        </w:rPr>
      </w:pPr>
      <w:r>
        <w:rPr>
          <w:rFonts w:eastAsia="仿宋_GB2312" w:hint="eastAsia"/>
          <w:sz w:val="32"/>
          <w:szCs w:val="32"/>
        </w:rPr>
        <w:t>2020</w:t>
      </w:r>
      <w:r>
        <w:rPr>
          <w:rFonts w:eastAsia="仿宋_GB2312"/>
          <w:sz w:val="32"/>
          <w:szCs w:val="32"/>
        </w:rPr>
        <w:t>年度部门整体支出规模为</w:t>
      </w:r>
      <w:r>
        <w:rPr>
          <w:rFonts w:eastAsia="仿宋_GB2312" w:hint="eastAsia"/>
          <w:sz w:val="32"/>
          <w:szCs w:val="32"/>
        </w:rPr>
        <w:t>1024.45</w:t>
      </w:r>
      <w:r>
        <w:rPr>
          <w:rFonts w:eastAsia="仿宋_GB2312"/>
          <w:sz w:val="32"/>
          <w:szCs w:val="32"/>
        </w:rPr>
        <w:t>万元</w:t>
      </w:r>
      <w:r>
        <w:rPr>
          <w:rFonts w:eastAsia="仿宋_GB2312" w:hint="eastAsia"/>
          <w:sz w:val="32"/>
          <w:szCs w:val="32"/>
        </w:rPr>
        <w:t>，</w:t>
      </w:r>
      <w:r>
        <w:rPr>
          <w:rFonts w:eastAsia="仿宋_GB2312"/>
          <w:sz w:val="32"/>
          <w:szCs w:val="32"/>
        </w:rPr>
        <w:t>主要内容为：工资福利支出</w:t>
      </w:r>
      <w:r>
        <w:rPr>
          <w:rFonts w:eastAsia="仿宋_GB2312" w:hint="eastAsia"/>
          <w:sz w:val="32"/>
          <w:szCs w:val="32"/>
        </w:rPr>
        <w:t>345.42</w:t>
      </w:r>
      <w:r>
        <w:rPr>
          <w:rFonts w:eastAsia="仿宋_GB2312"/>
          <w:sz w:val="32"/>
          <w:szCs w:val="32"/>
        </w:rPr>
        <w:t>元；商品和服务支出为</w:t>
      </w:r>
      <w:r>
        <w:rPr>
          <w:rFonts w:eastAsia="仿宋_GB2312" w:hint="eastAsia"/>
          <w:sz w:val="32"/>
          <w:szCs w:val="32"/>
        </w:rPr>
        <w:t>313.67</w:t>
      </w:r>
      <w:r>
        <w:rPr>
          <w:rFonts w:eastAsia="仿宋_GB2312"/>
          <w:sz w:val="32"/>
          <w:szCs w:val="32"/>
        </w:rPr>
        <w:t>万元；对个人和家庭的补助</w:t>
      </w:r>
      <w:r>
        <w:rPr>
          <w:rFonts w:eastAsia="仿宋_GB2312" w:hint="eastAsia"/>
          <w:sz w:val="32"/>
          <w:szCs w:val="32"/>
        </w:rPr>
        <w:t>365.36</w:t>
      </w:r>
      <w:r>
        <w:rPr>
          <w:rFonts w:eastAsia="仿宋_GB2312"/>
          <w:sz w:val="32"/>
          <w:szCs w:val="32"/>
        </w:rPr>
        <w:t>万元</w:t>
      </w:r>
      <w:r>
        <w:rPr>
          <w:rFonts w:eastAsia="仿宋_GB2312" w:hint="eastAsia"/>
          <w:sz w:val="32"/>
          <w:szCs w:val="32"/>
        </w:rPr>
        <w:t>。</w:t>
      </w:r>
    </w:p>
    <w:p w:rsidR="008F10E0" w:rsidRDefault="00F33E79">
      <w:pPr>
        <w:spacing w:line="560" w:lineRule="exact"/>
        <w:ind w:firstLineChars="196" w:firstLine="627"/>
        <w:rPr>
          <w:rFonts w:eastAsia="黑体"/>
          <w:sz w:val="32"/>
          <w:szCs w:val="32"/>
        </w:rPr>
      </w:pPr>
      <w:r>
        <w:rPr>
          <w:rFonts w:eastAsia="黑体" w:hint="eastAsia"/>
          <w:sz w:val="32"/>
          <w:szCs w:val="32"/>
        </w:rPr>
        <w:t>二、部门整体支出管理及使用情况</w:t>
      </w:r>
    </w:p>
    <w:p w:rsidR="008F10E0" w:rsidRDefault="00F33E79" w:rsidP="008548B9">
      <w:pPr>
        <w:spacing w:line="560" w:lineRule="exact"/>
        <w:ind w:firstLineChars="200" w:firstLine="640"/>
        <w:rPr>
          <w:rFonts w:eastAsia="楷体_GB2312"/>
          <w:b/>
          <w:sz w:val="32"/>
          <w:szCs w:val="32"/>
        </w:rPr>
      </w:pPr>
      <w:r>
        <w:rPr>
          <w:rFonts w:eastAsia="楷体_GB2312" w:hint="eastAsia"/>
          <w:b/>
          <w:sz w:val="32"/>
          <w:szCs w:val="32"/>
        </w:rPr>
        <w:t>（一）基本支出</w:t>
      </w:r>
    </w:p>
    <w:p w:rsidR="008F10E0" w:rsidRDefault="00F33E79">
      <w:pPr>
        <w:spacing w:line="560" w:lineRule="exact"/>
        <w:ind w:firstLineChars="200" w:firstLine="640"/>
        <w:rPr>
          <w:rFonts w:eastAsia="仿宋_GB2312"/>
          <w:sz w:val="32"/>
          <w:szCs w:val="32"/>
        </w:rPr>
      </w:pPr>
      <w:r>
        <w:rPr>
          <w:rFonts w:eastAsia="仿宋_GB2312"/>
          <w:sz w:val="32"/>
          <w:szCs w:val="32"/>
        </w:rPr>
        <w:t>基本支出主要用于发放人员工资、办公行政、公务接待、公务用车运行维护、生活补助、电费等日常支出。</w:t>
      </w:r>
      <w:r>
        <w:rPr>
          <w:rFonts w:eastAsia="仿宋_GB2312" w:hint="eastAsia"/>
          <w:sz w:val="32"/>
          <w:szCs w:val="32"/>
        </w:rPr>
        <w:t>2020</w:t>
      </w:r>
      <w:r>
        <w:rPr>
          <w:rFonts w:eastAsia="仿宋_GB2312"/>
          <w:sz w:val="32"/>
          <w:szCs w:val="32"/>
        </w:rPr>
        <w:t>年度部门整体支出规模为</w:t>
      </w:r>
      <w:r>
        <w:rPr>
          <w:rFonts w:eastAsia="仿宋_GB2312" w:hint="eastAsia"/>
          <w:sz w:val="32"/>
          <w:szCs w:val="32"/>
        </w:rPr>
        <w:t>1024.45</w:t>
      </w:r>
      <w:r>
        <w:rPr>
          <w:rFonts w:eastAsia="仿宋_GB2312"/>
          <w:sz w:val="32"/>
          <w:szCs w:val="32"/>
        </w:rPr>
        <w:t>万元</w:t>
      </w:r>
      <w:r>
        <w:rPr>
          <w:rFonts w:eastAsia="仿宋_GB2312" w:hint="eastAsia"/>
          <w:sz w:val="32"/>
          <w:szCs w:val="32"/>
        </w:rPr>
        <w:t>，</w:t>
      </w:r>
      <w:r>
        <w:rPr>
          <w:rFonts w:eastAsia="仿宋_GB2312"/>
          <w:sz w:val="32"/>
          <w:szCs w:val="32"/>
        </w:rPr>
        <w:t>主要内容为：工资福利支出</w:t>
      </w:r>
      <w:r>
        <w:rPr>
          <w:rFonts w:eastAsia="仿宋_GB2312" w:hint="eastAsia"/>
          <w:sz w:val="32"/>
          <w:szCs w:val="32"/>
        </w:rPr>
        <w:t>345.42</w:t>
      </w:r>
      <w:r>
        <w:rPr>
          <w:rFonts w:eastAsia="仿宋_GB2312"/>
          <w:sz w:val="32"/>
          <w:szCs w:val="32"/>
        </w:rPr>
        <w:t>元；商品和服务支出为</w:t>
      </w:r>
      <w:r>
        <w:rPr>
          <w:rFonts w:eastAsia="仿宋_GB2312" w:hint="eastAsia"/>
          <w:sz w:val="32"/>
          <w:szCs w:val="32"/>
        </w:rPr>
        <w:t>313.67</w:t>
      </w:r>
      <w:r>
        <w:rPr>
          <w:rFonts w:eastAsia="仿宋_GB2312"/>
          <w:sz w:val="32"/>
          <w:szCs w:val="32"/>
        </w:rPr>
        <w:t>万元；对个人和家庭的补助</w:t>
      </w:r>
      <w:r>
        <w:rPr>
          <w:rFonts w:eastAsia="仿宋_GB2312" w:hint="eastAsia"/>
          <w:sz w:val="32"/>
          <w:szCs w:val="32"/>
        </w:rPr>
        <w:t>365.36</w:t>
      </w:r>
      <w:r>
        <w:rPr>
          <w:rFonts w:eastAsia="仿宋_GB2312"/>
          <w:sz w:val="32"/>
          <w:szCs w:val="32"/>
        </w:rPr>
        <w:t>万元</w:t>
      </w:r>
      <w:r>
        <w:rPr>
          <w:rFonts w:eastAsia="仿宋_GB2312" w:hint="eastAsia"/>
          <w:sz w:val="32"/>
          <w:szCs w:val="32"/>
        </w:rPr>
        <w:t>。</w:t>
      </w:r>
    </w:p>
    <w:p w:rsidR="008F10E0" w:rsidRDefault="00F33E79">
      <w:pPr>
        <w:spacing w:line="560" w:lineRule="exact"/>
        <w:ind w:firstLineChars="200" w:firstLine="640"/>
        <w:rPr>
          <w:rFonts w:eastAsia="仿宋_GB2312"/>
          <w:sz w:val="32"/>
          <w:szCs w:val="32"/>
        </w:rPr>
      </w:pPr>
      <w:r>
        <w:rPr>
          <w:rFonts w:eastAsia="仿宋_GB2312" w:hint="eastAsia"/>
          <w:sz w:val="32"/>
          <w:szCs w:val="32"/>
        </w:rPr>
        <w:t>2020</w:t>
      </w:r>
      <w:r>
        <w:rPr>
          <w:rFonts w:eastAsia="仿宋_GB2312"/>
          <w:sz w:val="32"/>
          <w:szCs w:val="32"/>
        </w:rPr>
        <w:t>年</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经费预算控制数</w:t>
      </w:r>
      <w:r>
        <w:rPr>
          <w:rFonts w:eastAsia="仿宋_GB2312" w:hint="eastAsia"/>
          <w:sz w:val="32"/>
          <w:szCs w:val="32"/>
        </w:rPr>
        <w:t>25</w:t>
      </w:r>
      <w:r>
        <w:rPr>
          <w:rFonts w:eastAsia="仿宋_GB2312"/>
          <w:sz w:val="32"/>
          <w:szCs w:val="32"/>
        </w:rPr>
        <w:t>万元，其中：公务接待费</w:t>
      </w:r>
      <w:r>
        <w:rPr>
          <w:rFonts w:eastAsia="仿宋_GB2312" w:hint="eastAsia"/>
          <w:sz w:val="32"/>
          <w:szCs w:val="32"/>
        </w:rPr>
        <w:t>12</w:t>
      </w:r>
      <w:r>
        <w:rPr>
          <w:rFonts w:eastAsia="仿宋_GB2312"/>
          <w:sz w:val="32"/>
          <w:szCs w:val="32"/>
        </w:rPr>
        <w:t>万元，公务用车运行维护费</w:t>
      </w:r>
      <w:r>
        <w:rPr>
          <w:rFonts w:eastAsia="仿宋_GB2312" w:hint="eastAsia"/>
          <w:sz w:val="32"/>
          <w:szCs w:val="32"/>
        </w:rPr>
        <w:t>15</w:t>
      </w:r>
      <w:r>
        <w:rPr>
          <w:rFonts w:eastAsia="仿宋_GB2312"/>
          <w:sz w:val="32"/>
          <w:szCs w:val="32"/>
        </w:rPr>
        <w:t>万元。</w:t>
      </w:r>
    </w:p>
    <w:p w:rsidR="008F10E0" w:rsidRDefault="00F33E79">
      <w:pPr>
        <w:spacing w:line="560" w:lineRule="exact"/>
        <w:ind w:firstLineChars="200" w:firstLine="640"/>
        <w:rPr>
          <w:sz w:val="32"/>
          <w:szCs w:val="32"/>
        </w:rPr>
      </w:pPr>
      <w:r>
        <w:rPr>
          <w:rFonts w:eastAsia="仿宋_GB2312" w:hint="eastAsia"/>
          <w:sz w:val="32"/>
          <w:szCs w:val="32"/>
        </w:rPr>
        <w:t>2020</w:t>
      </w:r>
      <w:r>
        <w:rPr>
          <w:rFonts w:eastAsia="仿宋_GB2312"/>
          <w:sz w:val="32"/>
          <w:szCs w:val="32"/>
        </w:rPr>
        <w:t>年</w:t>
      </w:r>
      <w:r>
        <w:rPr>
          <w:rFonts w:eastAsia="仿宋_GB2312"/>
          <w:sz w:val="32"/>
          <w:szCs w:val="32"/>
        </w:rPr>
        <w:t>“</w:t>
      </w:r>
      <w:r>
        <w:rPr>
          <w:rFonts w:eastAsia="仿宋_GB2312"/>
          <w:sz w:val="32"/>
          <w:szCs w:val="32"/>
        </w:rPr>
        <w:t>三公</w:t>
      </w:r>
      <w:r>
        <w:rPr>
          <w:rFonts w:eastAsia="仿宋_GB2312" w:hint="eastAsia"/>
          <w:sz w:val="32"/>
          <w:szCs w:val="32"/>
        </w:rPr>
        <w:t>”</w:t>
      </w:r>
      <w:r>
        <w:rPr>
          <w:rFonts w:eastAsia="仿宋_GB2312"/>
          <w:sz w:val="32"/>
          <w:szCs w:val="32"/>
        </w:rPr>
        <w:t>经费总额实际支出</w:t>
      </w:r>
      <w:r>
        <w:rPr>
          <w:rFonts w:eastAsia="仿宋_GB2312" w:hint="eastAsia"/>
          <w:sz w:val="32"/>
          <w:szCs w:val="32"/>
        </w:rPr>
        <w:t>7.91</w:t>
      </w:r>
      <w:r>
        <w:rPr>
          <w:rFonts w:eastAsia="仿宋_GB2312"/>
          <w:sz w:val="32"/>
          <w:szCs w:val="32"/>
        </w:rPr>
        <w:t>万元，其中：公务接待费</w:t>
      </w:r>
      <w:r>
        <w:rPr>
          <w:rFonts w:eastAsia="仿宋_GB2312" w:hint="eastAsia"/>
          <w:sz w:val="32"/>
          <w:szCs w:val="32"/>
        </w:rPr>
        <w:t>2.09</w:t>
      </w:r>
      <w:r>
        <w:rPr>
          <w:rFonts w:eastAsia="仿宋_GB2312"/>
          <w:sz w:val="32"/>
          <w:szCs w:val="32"/>
        </w:rPr>
        <w:t>万元，公务用车运行维护费</w:t>
      </w:r>
      <w:r>
        <w:rPr>
          <w:rFonts w:eastAsia="仿宋_GB2312" w:hint="eastAsia"/>
          <w:sz w:val="32"/>
          <w:szCs w:val="32"/>
        </w:rPr>
        <w:t>5.82</w:t>
      </w:r>
      <w:r>
        <w:rPr>
          <w:rFonts w:eastAsia="仿宋_GB2312"/>
          <w:sz w:val="32"/>
          <w:szCs w:val="32"/>
        </w:rPr>
        <w:t>万元。</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经费未超过年初预算控制数</w:t>
      </w:r>
      <w:r>
        <w:rPr>
          <w:rFonts w:hint="eastAsia"/>
          <w:sz w:val="32"/>
          <w:szCs w:val="32"/>
        </w:rPr>
        <w:t>。</w:t>
      </w:r>
    </w:p>
    <w:p w:rsidR="008F10E0" w:rsidRDefault="00F33E79">
      <w:pPr>
        <w:spacing w:line="560" w:lineRule="exact"/>
        <w:ind w:firstLineChars="200" w:firstLine="640"/>
        <w:rPr>
          <w:rFonts w:eastAsia="仿宋_GB2312"/>
          <w:sz w:val="32"/>
          <w:szCs w:val="32"/>
        </w:rPr>
      </w:pPr>
      <w:r>
        <w:rPr>
          <w:rFonts w:eastAsia="仿宋_GB2312"/>
          <w:sz w:val="32"/>
          <w:szCs w:val="32"/>
        </w:rPr>
        <w:t>201</w:t>
      </w:r>
      <w:r>
        <w:rPr>
          <w:rFonts w:eastAsia="仿宋_GB2312" w:hint="eastAsia"/>
          <w:sz w:val="32"/>
          <w:szCs w:val="32"/>
        </w:rPr>
        <w:t>9</w:t>
      </w:r>
      <w:r>
        <w:rPr>
          <w:rFonts w:eastAsia="仿宋_GB2312"/>
          <w:sz w:val="32"/>
          <w:szCs w:val="32"/>
        </w:rPr>
        <w:t>年三公经费总额</w:t>
      </w:r>
      <w:r>
        <w:rPr>
          <w:rFonts w:eastAsia="仿宋_GB2312" w:hint="eastAsia"/>
          <w:sz w:val="32"/>
          <w:szCs w:val="32"/>
        </w:rPr>
        <w:t>15.17</w:t>
      </w:r>
      <w:r>
        <w:rPr>
          <w:rFonts w:eastAsia="仿宋_GB2312"/>
          <w:sz w:val="32"/>
          <w:szCs w:val="32"/>
        </w:rPr>
        <w:t>万元，其中公务接待费</w:t>
      </w:r>
      <w:r>
        <w:rPr>
          <w:rFonts w:eastAsia="仿宋_GB2312" w:hint="eastAsia"/>
          <w:sz w:val="32"/>
          <w:szCs w:val="32"/>
        </w:rPr>
        <w:t>0.79</w:t>
      </w:r>
      <w:r>
        <w:rPr>
          <w:rFonts w:eastAsia="仿宋_GB2312"/>
          <w:sz w:val="32"/>
          <w:szCs w:val="32"/>
        </w:rPr>
        <w:t>万元，公务用车运行维护费</w:t>
      </w:r>
      <w:r>
        <w:rPr>
          <w:rFonts w:eastAsia="仿宋_GB2312" w:hint="eastAsia"/>
          <w:sz w:val="32"/>
          <w:szCs w:val="32"/>
        </w:rPr>
        <w:t>14.38</w:t>
      </w:r>
      <w:r>
        <w:rPr>
          <w:rFonts w:eastAsia="仿宋_GB2312"/>
          <w:sz w:val="32"/>
          <w:szCs w:val="32"/>
        </w:rPr>
        <w:t>万元。</w:t>
      </w:r>
    </w:p>
    <w:p w:rsidR="008F10E0" w:rsidRDefault="00F33E79" w:rsidP="008548B9">
      <w:pPr>
        <w:spacing w:line="560" w:lineRule="exact"/>
        <w:ind w:firstLineChars="200" w:firstLine="640"/>
        <w:rPr>
          <w:rFonts w:eastAsia="楷体_GB2312"/>
          <w:b/>
          <w:sz w:val="32"/>
          <w:szCs w:val="32"/>
        </w:rPr>
      </w:pPr>
      <w:r>
        <w:rPr>
          <w:rFonts w:eastAsia="楷体_GB2312" w:hint="eastAsia"/>
          <w:b/>
          <w:sz w:val="32"/>
          <w:szCs w:val="32"/>
        </w:rPr>
        <w:t>（二）项目支出</w:t>
      </w:r>
    </w:p>
    <w:p w:rsidR="008F10E0" w:rsidRDefault="00F33E79">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020</w:t>
      </w:r>
      <w:r>
        <w:rPr>
          <w:rFonts w:eastAsia="仿宋_GB2312"/>
          <w:sz w:val="32"/>
          <w:szCs w:val="32"/>
        </w:rPr>
        <w:t>年本单位由财政</w:t>
      </w:r>
      <w:r>
        <w:rPr>
          <w:rFonts w:eastAsia="仿宋_GB2312" w:hint="eastAsia"/>
          <w:sz w:val="32"/>
          <w:szCs w:val="32"/>
        </w:rPr>
        <w:t>预算</w:t>
      </w:r>
      <w:r>
        <w:rPr>
          <w:rFonts w:eastAsia="仿宋_GB2312"/>
          <w:sz w:val="32"/>
          <w:szCs w:val="32"/>
        </w:rPr>
        <w:t>拨款安排</w:t>
      </w:r>
      <w:r>
        <w:rPr>
          <w:rFonts w:eastAsia="仿宋_GB2312" w:hint="eastAsia"/>
          <w:sz w:val="32"/>
          <w:szCs w:val="32"/>
        </w:rPr>
        <w:t>项目</w:t>
      </w:r>
      <w:r>
        <w:rPr>
          <w:rFonts w:eastAsia="仿宋_GB2312"/>
          <w:sz w:val="32"/>
          <w:szCs w:val="32"/>
        </w:rPr>
        <w:t>支出</w:t>
      </w:r>
      <w:r>
        <w:rPr>
          <w:rFonts w:eastAsia="仿宋_GB2312" w:hint="eastAsia"/>
          <w:sz w:val="32"/>
          <w:szCs w:val="32"/>
        </w:rPr>
        <w:t>43.85</w:t>
      </w:r>
      <w:r>
        <w:rPr>
          <w:rFonts w:eastAsia="仿宋_GB2312"/>
          <w:sz w:val="32"/>
          <w:szCs w:val="32"/>
        </w:rPr>
        <w:t>万元。其</w:t>
      </w:r>
      <w:r>
        <w:rPr>
          <w:rFonts w:eastAsia="仿宋_GB2312"/>
          <w:sz w:val="32"/>
          <w:szCs w:val="32"/>
        </w:rPr>
        <w:lastRenderedPageBreak/>
        <w:t>中包括：</w:t>
      </w:r>
      <w:r>
        <w:rPr>
          <w:rFonts w:eastAsia="仿宋_GB2312" w:hint="eastAsia"/>
          <w:sz w:val="32"/>
          <w:szCs w:val="32"/>
        </w:rPr>
        <w:t>提高乡镇干部职工待遇专项经费</w:t>
      </w:r>
      <w:r>
        <w:rPr>
          <w:rFonts w:eastAsia="仿宋_GB2312" w:hint="eastAsia"/>
          <w:sz w:val="32"/>
          <w:szCs w:val="32"/>
        </w:rPr>
        <w:t>16.5</w:t>
      </w:r>
      <w:r>
        <w:rPr>
          <w:rFonts w:eastAsia="仿宋_GB2312" w:hint="eastAsia"/>
          <w:sz w:val="32"/>
          <w:szCs w:val="32"/>
        </w:rPr>
        <w:t>万元，</w:t>
      </w:r>
      <w:r>
        <w:rPr>
          <w:rFonts w:eastAsia="仿宋_GB2312"/>
          <w:sz w:val="32"/>
          <w:szCs w:val="32"/>
        </w:rPr>
        <w:t>健康教育进万家活动专项经费</w:t>
      </w:r>
      <w:r>
        <w:rPr>
          <w:rFonts w:eastAsia="仿宋_GB2312"/>
          <w:sz w:val="32"/>
          <w:szCs w:val="32"/>
        </w:rPr>
        <w:t>0.5</w:t>
      </w:r>
      <w:r>
        <w:rPr>
          <w:rFonts w:eastAsia="仿宋_GB2312"/>
          <w:sz w:val="32"/>
          <w:szCs w:val="32"/>
        </w:rPr>
        <w:t>万元，食品药品安全专项经费</w:t>
      </w:r>
      <w:r>
        <w:rPr>
          <w:rFonts w:eastAsia="仿宋_GB2312"/>
          <w:sz w:val="32"/>
          <w:szCs w:val="32"/>
        </w:rPr>
        <w:t>0.2</w:t>
      </w:r>
      <w:r>
        <w:rPr>
          <w:rFonts w:eastAsia="仿宋_GB2312"/>
          <w:sz w:val="32"/>
          <w:szCs w:val="32"/>
        </w:rPr>
        <w:t>万元，交通事业费（公路养护）</w:t>
      </w:r>
      <w:r>
        <w:rPr>
          <w:rFonts w:eastAsia="仿宋_GB2312" w:hint="eastAsia"/>
          <w:sz w:val="32"/>
          <w:szCs w:val="32"/>
        </w:rPr>
        <w:t>0.67</w:t>
      </w:r>
      <w:r>
        <w:rPr>
          <w:rFonts w:eastAsia="仿宋_GB2312"/>
          <w:sz w:val="32"/>
          <w:szCs w:val="32"/>
        </w:rPr>
        <w:t>万元，计生指导员工资</w:t>
      </w:r>
      <w:r>
        <w:rPr>
          <w:rFonts w:eastAsia="仿宋_GB2312" w:hint="eastAsia"/>
          <w:sz w:val="32"/>
          <w:szCs w:val="32"/>
        </w:rPr>
        <w:t>1.98</w:t>
      </w:r>
      <w:r>
        <w:rPr>
          <w:rFonts w:eastAsia="仿宋_GB2312"/>
          <w:sz w:val="32"/>
          <w:szCs w:val="32"/>
        </w:rPr>
        <w:t>万元，防汛经费</w:t>
      </w:r>
      <w:r>
        <w:rPr>
          <w:rFonts w:eastAsia="仿宋_GB2312"/>
          <w:sz w:val="32"/>
          <w:szCs w:val="32"/>
        </w:rPr>
        <w:t>2</w:t>
      </w:r>
      <w:r>
        <w:rPr>
          <w:rFonts w:eastAsia="仿宋_GB2312"/>
          <w:sz w:val="32"/>
          <w:szCs w:val="32"/>
        </w:rPr>
        <w:t>万元，</w:t>
      </w:r>
      <w:r>
        <w:rPr>
          <w:rFonts w:eastAsia="仿宋_GB2312" w:hint="eastAsia"/>
          <w:sz w:val="32"/>
          <w:szCs w:val="32"/>
        </w:rPr>
        <w:t>乡镇</w:t>
      </w:r>
      <w:r>
        <w:rPr>
          <w:rFonts w:eastAsia="仿宋_GB2312"/>
          <w:sz w:val="32"/>
          <w:szCs w:val="32"/>
        </w:rPr>
        <w:t>人大、政协、妇联、团委</w:t>
      </w:r>
      <w:r>
        <w:rPr>
          <w:rFonts w:eastAsia="仿宋_GB2312" w:hint="eastAsia"/>
          <w:sz w:val="32"/>
          <w:szCs w:val="32"/>
        </w:rPr>
        <w:t>、工会</w:t>
      </w:r>
      <w:r>
        <w:rPr>
          <w:rFonts w:eastAsia="仿宋_GB2312"/>
          <w:sz w:val="32"/>
          <w:szCs w:val="32"/>
        </w:rPr>
        <w:t>专项经费</w:t>
      </w:r>
      <w:r>
        <w:rPr>
          <w:rFonts w:eastAsia="仿宋_GB2312" w:hint="eastAsia"/>
          <w:sz w:val="32"/>
          <w:szCs w:val="32"/>
        </w:rPr>
        <w:t>（各</w:t>
      </w:r>
      <w:r>
        <w:rPr>
          <w:rFonts w:eastAsia="仿宋_GB2312" w:hint="eastAsia"/>
          <w:sz w:val="32"/>
          <w:szCs w:val="32"/>
        </w:rPr>
        <w:t>2</w:t>
      </w:r>
      <w:r>
        <w:rPr>
          <w:rFonts w:eastAsia="仿宋_GB2312" w:hint="eastAsia"/>
          <w:sz w:val="32"/>
          <w:szCs w:val="32"/>
        </w:rPr>
        <w:t>万）</w:t>
      </w:r>
      <w:r>
        <w:rPr>
          <w:rFonts w:eastAsia="仿宋_GB2312" w:hint="eastAsia"/>
          <w:sz w:val="32"/>
          <w:szCs w:val="32"/>
        </w:rPr>
        <w:t>10</w:t>
      </w:r>
      <w:r>
        <w:rPr>
          <w:rFonts w:eastAsia="仿宋_GB2312"/>
          <w:sz w:val="32"/>
          <w:szCs w:val="32"/>
        </w:rPr>
        <w:t>万元，</w:t>
      </w:r>
      <w:r>
        <w:rPr>
          <w:rFonts w:eastAsia="仿宋_GB2312" w:hint="eastAsia"/>
          <w:sz w:val="32"/>
          <w:szCs w:val="32"/>
        </w:rPr>
        <w:t>党建、扶贫、动物防疫、森林防火、河长制、综合执法专项经费、应急等专项经费</w:t>
      </w:r>
      <w:r>
        <w:rPr>
          <w:rFonts w:eastAsia="仿宋_GB2312" w:hint="eastAsia"/>
          <w:sz w:val="32"/>
          <w:szCs w:val="32"/>
        </w:rPr>
        <w:t>12</w:t>
      </w:r>
      <w:r>
        <w:rPr>
          <w:rFonts w:eastAsia="仿宋_GB2312"/>
          <w:sz w:val="32"/>
          <w:szCs w:val="32"/>
        </w:rPr>
        <w:t>万元</w:t>
      </w:r>
      <w:r>
        <w:rPr>
          <w:rFonts w:eastAsia="仿宋_GB2312" w:hint="eastAsia"/>
          <w:sz w:val="32"/>
          <w:szCs w:val="32"/>
        </w:rPr>
        <w:t>。</w:t>
      </w:r>
    </w:p>
    <w:p w:rsidR="008F10E0" w:rsidRDefault="00F33E79">
      <w:pPr>
        <w:spacing w:line="560" w:lineRule="exact"/>
        <w:ind w:firstLineChars="200" w:firstLine="640"/>
        <w:rPr>
          <w:rFonts w:eastAsia="黑体"/>
          <w:sz w:val="32"/>
          <w:szCs w:val="32"/>
        </w:rPr>
      </w:pPr>
      <w:r>
        <w:rPr>
          <w:rFonts w:eastAsia="黑体" w:hint="eastAsia"/>
          <w:sz w:val="32"/>
          <w:szCs w:val="32"/>
        </w:rPr>
        <w:t>三、部门专项组织实施情况</w:t>
      </w:r>
    </w:p>
    <w:p w:rsidR="008F10E0" w:rsidRDefault="00F33E79">
      <w:pPr>
        <w:spacing w:line="560" w:lineRule="exact"/>
        <w:ind w:firstLineChars="200" w:firstLine="640"/>
        <w:rPr>
          <w:rFonts w:eastAsia="仿宋_GB2312"/>
          <w:sz w:val="32"/>
          <w:szCs w:val="32"/>
        </w:rPr>
      </w:pPr>
      <w:r>
        <w:rPr>
          <w:rFonts w:eastAsia="仿宋_GB2312"/>
          <w:sz w:val="32"/>
          <w:szCs w:val="32"/>
        </w:rPr>
        <w:t>我</w:t>
      </w:r>
      <w:r>
        <w:rPr>
          <w:rFonts w:eastAsia="仿宋_GB2312" w:hint="eastAsia"/>
          <w:sz w:val="32"/>
          <w:szCs w:val="32"/>
        </w:rPr>
        <w:t>乡</w:t>
      </w:r>
      <w:r>
        <w:rPr>
          <w:rFonts w:eastAsia="仿宋_GB2312"/>
          <w:sz w:val="32"/>
          <w:szCs w:val="32"/>
        </w:rPr>
        <w:t>制定了一系列的管理制度规范了本单位专项资金的管理，保证专项资金专款专用，从工程开始到验收结转都严格监督。工程开始，要经过立项程序，符合招投标要求的严格按招投标程序进行，施工方确认后进行项目公示，公示期满，根据工程量的大小决定是否需要经过财政投资评审中心进行评审（</w:t>
      </w:r>
      <w:r>
        <w:rPr>
          <w:sz w:val="32"/>
          <w:szCs w:val="32"/>
        </w:rPr>
        <w:t>五</w:t>
      </w:r>
      <w:r>
        <w:rPr>
          <w:rFonts w:eastAsia="仿宋_GB2312"/>
          <w:sz w:val="32"/>
          <w:szCs w:val="32"/>
        </w:rPr>
        <w:t>十万以上工程需向财政投资评审中心报备计划，进行决算；</w:t>
      </w:r>
      <w:r>
        <w:rPr>
          <w:sz w:val="32"/>
          <w:szCs w:val="32"/>
        </w:rPr>
        <w:t>五</w:t>
      </w:r>
      <w:r>
        <w:rPr>
          <w:rFonts w:eastAsia="仿宋_GB2312"/>
          <w:sz w:val="32"/>
          <w:szCs w:val="32"/>
        </w:rPr>
        <w:t>十万以上工程需向财政投资评审中心报预算，进行决算），工程期间会进行工程检查是否严格按照合同要求施工，工程结束进行验收，验收合格后直接支付工程款给施工方单位或施工方个人。</w:t>
      </w:r>
    </w:p>
    <w:p w:rsidR="008F10E0" w:rsidRDefault="00F33E79">
      <w:pPr>
        <w:spacing w:line="560" w:lineRule="exact"/>
        <w:ind w:firstLineChars="200" w:firstLine="640"/>
        <w:rPr>
          <w:rFonts w:eastAsia="黑体"/>
          <w:sz w:val="32"/>
          <w:szCs w:val="32"/>
        </w:rPr>
      </w:pPr>
      <w:r>
        <w:rPr>
          <w:rFonts w:eastAsia="黑体" w:hint="eastAsia"/>
          <w:sz w:val="32"/>
          <w:szCs w:val="32"/>
        </w:rPr>
        <w:t>四、资产管理情况</w:t>
      </w:r>
    </w:p>
    <w:p w:rsidR="008F10E0" w:rsidRDefault="00F33E79">
      <w:pPr>
        <w:spacing w:line="560" w:lineRule="exact"/>
        <w:ind w:firstLineChars="200" w:firstLine="640"/>
        <w:rPr>
          <w:rFonts w:eastAsia="仿宋_GB2312"/>
          <w:sz w:val="32"/>
          <w:szCs w:val="32"/>
        </w:rPr>
      </w:pPr>
      <w:r>
        <w:rPr>
          <w:rFonts w:eastAsia="仿宋_GB2312"/>
          <w:sz w:val="32"/>
          <w:szCs w:val="32"/>
        </w:rPr>
        <w:t>为规范固定资产管理，实现固定资产的优化配置，我乡</w:t>
      </w:r>
      <w:r>
        <w:rPr>
          <w:rFonts w:eastAsia="仿宋_GB2312" w:hint="eastAsia"/>
          <w:sz w:val="32"/>
          <w:szCs w:val="32"/>
        </w:rPr>
        <w:t>乡</w:t>
      </w:r>
      <w:r>
        <w:rPr>
          <w:rFonts w:eastAsia="仿宋_GB2312"/>
          <w:sz w:val="32"/>
          <w:szCs w:val="32"/>
        </w:rPr>
        <w:t>制定了固定资产管理制度，统一管理，责任到人，及时登记账目，科学使用，对固定资产进行定期清查与盘点，固定资产的调出、处置、报废、报损严格执行国家有关规定的审批程序办理。</w:t>
      </w:r>
    </w:p>
    <w:p w:rsidR="008F10E0" w:rsidRDefault="00F33E79">
      <w:pPr>
        <w:spacing w:line="560" w:lineRule="exact"/>
        <w:ind w:firstLineChars="200" w:firstLine="640"/>
        <w:rPr>
          <w:rFonts w:eastAsia="仿宋_GB2312"/>
          <w:sz w:val="32"/>
          <w:szCs w:val="32"/>
        </w:rPr>
      </w:pPr>
      <w:r>
        <w:rPr>
          <w:rFonts w:eastAsia="仿宋_GB2312" w:hint="eastAsia"/>
          <w:sz w:val="32"/>
          <w:szCs w:val="32"/>
        </w:rPr>
        <w:t>大树坳乡</w:t>
      </w:r>
      <w:r>
        <w:rPr>
          <w:rFonts w:eastAsia="仿宋_GB2312"/>
          <w:sz w:val="32"/>
          <w:szCs w:val="32"/>
        </w:rPr>
        <w:t>政府</w:t>
      </w:r>
      <w:r>
        <w:rPr>
          <w:rFonts w:eastAsia="仿宋_GB2312" w:hint="eastAsia"/>
          <w:sz w:val="32"/>
          <w:szCs w:val="32"/>
        </w:rPr>
        <w:t>2020</w:t>
      </w:r>
      <w:r>
        <w:rPr>
          <w:rFonts w:eastAsia="仿宋_GB2312"/>
          <w:sz w:val="32"/>
          <w:szCs w:val="32"/>
        </w:rPr>
        <w:t>年底资产共计</w:t>
      </w:r>
      <w:r>
        <w:rPr>
          <w:rFonts w:eastAsia="仿宋_GB2312" w:hint="eastAsia"/>
          <w:sz w:val="32"/>
          <w:szCs w:val="32"/>
        </w:rPr>
        <w:t>301.54</w:t>
      </w:r>
      <w:r>
        <w:rPr>
          <w:rFonts w:eastAsia="仿宋_GB2312"/>
          <w:sz w:val="32"/>
          <w:szCs w:val="32"/>
        </w:rPr>
        <w:t>万元，其中银行存款等流动资</w:t>
      </w:r>
      <w:r>
        <w:rPr>
          <w:rFonts w:eastAsia="仿宋_GB2312" w:hint="eastAsia"/>
          <w:sz w:val="32"/>
          <w:szCs w:val="32"/>
        </w:rPr>
        <w:t>产</w:t>
      </w:r>
      <w:r>
        <w:rPr>
          <w:rFonts w:eastAsia="仿宋_GB2312" w:hint="eastAsia"/>
          <w:sz w:val="32"/>
          <w:szCs w:val="32"/>
        </w:rPr>
        <w:t>122.51</w:t>
      </w:r>
      <w:r>
        <w:rPr>
          <w:rFonts w:eastAsia="仿宋_GB2312"/>
          <w:sz w:val="32"/>
          <w:szCs w:val="32"/>
        </w:rPr>
        <w:t>万元，固定资产</w:t>
      </w:r>
      <w:r>
        <w:rPr>
          <w:rFonts w:eastAsia="仿宋_GB2312" w:hint="eastAsia"/>
          <w:sz w:val="32"/>
          <w:szCs w:val="32"/>
        </w:rPr>
        <w:t>159.52</w:t>
      </w:r>
      <w:r>
        <w:rPr>
          <w:rFonts w:eastAsia="仿宋_GB2312"/>
          <w:sz w:val="32"/>
          <w:szCs w:val="32"/>
        </w:rPr>
        <w:t>万元</w:t>
      </w:r>
      <w:r>
        <w:rPr>
          <w:rFonts w:eastAsia="仿宋_GB2312"/>
          <w:sz w:val="32"/>
          <w:szCs w:val="32"/>
        </w:rPr>
        <w:t>,</w:t>
      </w:r>
      <w:r>
        <w:rPr>
          <w:rFonts w:eastAsia="仿宋_GB2312"/>
          <w:sz w:val="32"/>
          <w:szCs w:val="32"/>
        </w:rPr>
        <w:t>公共基础设施</w:t>
      </w:r>
      <w:r>
        <w:rPr>
          <w:rFonts w:eastAsia="仿宋_GB2312" w:hint="eastAsia"/>
          <w:sz w:val="32"/>
          <w:szCs w:val="32"/>
        </w:rPr>
        <w:t>19.51</w:t>
      </w:r>
      <w:r>
        <w:rPr>
          <w:rFonts w:eastAsia="仿宋_GB2312"/>
          <w:sz w:val="32"/>
          <w:szCs w:val="32"/>
        </w:rPr>
        <w:t>万元</w:t>
      </w:r>
      <w:r>
        <w:rPr>
          <w:rFonts w:eastAsia="仿宋_GB2312" w:hint="eastAsia"/>
          <w:sz w:val="32"/>
          <w:szCs w:val="32"/>
        </w:rPr>
        <w:t>，</w:t>
      </w:r>
      <w:r>
        <w:rPr>
          <w:rFonts w:eastAsia="仿宋_GB2312"/>
          <w:sz w:val="32"/>
          <w:szCs w:val="32"/>
        </w:rPr>
        <w:t>负债合计</w:t>
      </w:r>
      <w:r>
        <w:rPr>
          <w:rFonts w:eastAsia="仿宋_GB2312" w:hint="eastAsia"/>
          <w:sz w:val="32"/>
          <w:szCs w:val="32"/>
        </w:rPr>
        <w:t>93.93</w:t>
      </w:r>
      <w:r>
        <w:rPr>
          <w:rFonts w:eastAsia="仿宋_GB2312"/>
          <w:sz w:val="32"/>
          <w:szCs w:val="32"/>
        </w:rPr>
        <w:t>万元</w:t>
      </w:r>
      <w:r>
        <w:rPr>
          <w:rFonts w:eastAsia="仿宋_GB2312" w:hint="eastAsia"/>
          <w:sz w:val="32"/>
          <w:szCs w:val="32"/>
        </w:rPr>
        <w:t>，</w:t>
      </w:r>
      <w:r>
        <w:rPr>
          <w:rFonts w:eastAsia="仿宋_GB2312"/>
          <w:sz w:val="32"/>
          <w:szCs w:val="32"/>
        </w:rPr>
        <w:t>净资产合计</w:t>
      </w:r>
      <w:r>
        <w:rPr>
          <w:rFonts w:eastAsia="仿宋_GB2312" w:hint="eastAsia"/>
          <w:sz w:val="32"/>
          <w:szCs w:val="32"/>
        </w:rPr>
        <w:t>207.61</w:t>
      </w:r>
      <w:r>
        <w:rPr>
          <w:rFonts w:eastAsia="仿宋_GB2312"/>
          <w:sz w:val="32"/>
          <w:szCs w:val="32"/>
        </w:rPr>
        <w:t>万元。</w:t>
      </w:r>
    </w:p>
    <w:p w:rsidR="008F10E0" w:rsidRDefault="00F33E79">
      <w:pPr>
        <w:numPr>
          <w:ilvl w:val="0"/>
          <w:numId w:val="1"/>
        </w:numPr>
        <w:spacing w:line="560" w:lineRule="exact"/>
        <w:ind w:firstLineChars="196" w:firstLine="627"/>
        <w:rPr>
          <w:rFonts w:eastAsia="黑体"/>
          <w:sz w:val="32"/>
          <w:szCs w:val="32"/>
        </w:rPr>
      </w:pPr>
      <w:r>
        <w:rPr>
          <w:rFonts w:eastAsia="黑体" w:hint="eastAsia"/>
          <w:sz w:val="32"/>
          <w:szCs w:val="32"/>
        </w:rPr>
        <w:lastRenderedPageBreak/>
        <w:t>部门整体支出绩效情况</w:t>
      </w:r>
    </w:p>
    <w:p w:rsidR="008F10E0" w:rsidRDefault="00F33E79">
      <w:pPr>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2020年，在县委、县政府的正确领导下，大树坳乡政府以习近平新时代中国特色社会主义思想为指引，认真落实习近平总书记重要讲话精神，严格落实中央、省、市、县系列决策部署，带领全乡党员干部团结一心、众志成城，坚决打赢疫情阻击战、统筹发展、促进全乡发展再上新台阶，现将工作开展情况工作如下：</w:t>
      </w:r>
    </w:p>
    <w:p w:rsidR="008F10E0" w:rsidRDefault="00F33E79" w:rsidP="008548B9">
      <w:pPr>
        <w:spacing w:line="5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（一）众志成城，坚决打赢疫情阻击战</w:t>
      </w:r>
    </w:p>
    <w:p w:rsidR="008F10E0" w:rsidRDefault="00F33E79" w:rsidP="008548B9">
      <w:pPr>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sz w:val="32"/>
          <w:szCs w:val="32"/>
        </w:rPr>
        <w:t>统一部署，打赢疫情防控战斗。</w:t>
      </w:r>
      <w:r>
        <w:rPr>
          <w:rFonts w:ascii="仿宋_GB2312" w:eastAsia="仿宋_GB2312" w:hAnsi="仿宋_GB2312" w:cs="仿宋_GB2312" w:hint="eastAsia"/>
          <w:bCs/>
          <w:sz w:val="32"/>
          <w:szCs w:val="32"/>
        </w:rPr>
        <w:t>第一时间成立疫情防控指挥部，出台应对突发公共卫生事件的《大树坳乡疫情防控工作方案》，明确分工和责任，统一领导、统一指挥、统一调度，同时，迅速组织乡村干部，全力排查湖北等重点区域返乡人员，按照上级统一部署，做好“一人一户一专班”管控和监测。从春节开始，按照乡党委政府统一部署，人员全部到位，迅速从休假模式转为战斗模式，全力做好疫情防控排查、加强监测，同时进行广泛宣传，确保广大人民群众健康与生命安全。</w:t>
      </w:r>
    </w:p>
    <w:p w:rsidR="008F10E0" w:rsidRDefault="00F33E79" w:rsidP="008548B9">
      <w:pPr>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rPr>
        <w:t>2、群防群控，织密疫情防控网络。</w:t>
      </w:r>
      <w:r>
        <w:rPr>
          <w:rFonts w:ascii="仿宋_GB2312" w:eastAsia="仿宋_GB2312" w:hAnsi="仿宋_GB2312" w:cs="仿宋_GB2312" w:hint="eastAsia"/>
          <w:bCs/>
          <w:sz w:val="32"/>
          <w:szCs w:val="32"/>
        </w:rPr>
        <w:t>乡政府加大宣传力度，通过横幅标语、流动宣传车、村村响、村级微信群等载体，加大疫情防控宣传力度，同时，积极动员群众主动参与疫情防控，群防群控，同舟共济。</w:t>
      </w:r>
    </w:p>
    <w:p w:rsidR="008F10E0" w:rsidRDefault="00F33E79" w:rsidP="008548B9">
      <w:pPr>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sz w:val="32"/>
          <w:szCs w:val="32"/>
        </w:rPr>
        <w:t>突出重点，做好疫情防控排查。</w:t>
      </w:r>
      <w:r>
        <w:rPr>
          <w:rFonts w:ascii="仿宋_GB2312" w:eastAsia="仿宋_GB2312" w:hAnsi="仿宋_GB2312" w:cs="仿宋_GB2312" w:hint="eastAsia"/>
          <w:bCs/>
          <w:sz w:val="32"/>
          <w:szCs w:val="32"/>
        </w:rPr>
        <w:t>根据上级统一部署安排，从最早防止湖北地区疫情输入，到防止复工复产复学疫情风险，再到内防反弹、外防境外疫情输入，我乡构建起了村级交通口岸、咨询服务点等防控联动，实现重点人群全面筛查、重点环节全面管控。为做好关口前移，实现“早发现、早报告、早诊断、早隔离、早治疗”，重点落实湖北返乡人员排查与监测，湖北籍等车辆排查，境外及港澳台地区人员排查与跟踪，发热门诊人员、购买咳嗽退</w:t>
      </w:r>
      <w:r>
        <w:rPr>
          <w:rFonts w:ascii="仿宋_GB2312" w:eastAsia="仿宋_GB2312" w:hAnsi="仿宋_GB2312" w:cs="仿宋_GB2312" w:hint="eastAsia"/>
          <w:bCs/>
          <w:sz w:val="32"/>
          <w:szCs w:val="32"/>
        </w:rPr>
        <w:lastRenderedPageBreak/>
        <w:t>热药品人员情况跟踪了解，学校学生健康监测，对集贸市场、超市等重点区域加强市场监管等，联动村组干部、村级护卫队、志愿者等，全面部署对返乡人员进行“网格化”、“地毯式”、“回头看”排查，做到不留漏点、不留死角。</w:t>
      </w:r>
    </w:p>
    <w:p w:rsidR="008F10E0" w:rsidRDefault="00F33E79" w:rsidP="008548B9">
      <w:pPr>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rPr>
        <w:t>4、因势而谋，推进复工复学复产。</w:t>
      </w:r>
      <w:r>
        <w:rPr>
          <w:rFonts w:ascii="仿宋_GB2312" w:eastAsia="仿宋_GB2312" w:hAnsi="仿宋_GB2312" w:cs="仿宋_GB2312" w:hint="eastAsia"/>
          <w:bCs/>
          <w:sz w:val="32"/>
          <w:szCs w:val="32"/>
        </w:rPr>
        <w:t>在上级部门的领导下，我乡一手抓疫情防控，一手抓复工复学复产，逐步恢复正常生产生活秩序，保证了大树坳社会大局安全稳定。</w:t>
      </w:r>
      <w:r>
        <w:rPr>
          <w:rFonts w:ascii="仿宋_GB2312" w:eastAsia="仿宋_GB2312" w:hAnsi="仿宋_GB2312" w:cs="仿宋_GB2312" w:hint="eastAsia"/>
          <w:b/>
          <w:sz w:val="32"/>
          <w:szCs w:val="32"/>
        </w:rPr>
        <w:t>一是</w:t>
      </w:r>
      <w:r>
        <w:rPr>
          <w:rFonts w:ascii="仿宋_GB2312" w:eastAsia="仿宋_GB2312" w:hAnsi="仿宋_GB2312" w:cs="仿宋_GB2312" w:hint="eastAsia"/>
          <w:bCs/>
          <w:sz w:val="32"/>
          <w:szCs w:val="32"/>
        </w:rPr>
        <w:t>作为高山刺葡萄之乡，我乡积极组织广大葡萄种植户有序恢复生产，发放肥料约60吨，提供指导、做好葡萄管理，同时，联合芷江国强特色水果专业合作社，发放有机化肥等春耕物资，助推产业品改提质增收。</w:t>
      </w:r>
      <w:r>
        <w:rPr>
          <w:rFonts w:ascii="仿宋_GB2312" w:eastAsia="仿宋_GB2312" w:hAnsi="仿宋_GB2312" w:cs="仿宋_GB2312" w:hint="eastAsia"/>
          <w:b/>
          <w:sz w:val="32"/>
          <w:szCs w:val="32"/>
        </w:rPr>
        <w:t>二是</w:t>
      </w:r>
      <w:r>
        <w:rPr>
          <w:rFonts w:ascii="仿宋_GB2312" w:eastAsia="仿宋_GB2312" w:hAnsi="仿宋_GB2312" w:cs="仿宋_GB2312" w:hint="eastAsia"/>
          <w:bCs/>
          <w:sz w:val="32"/>
          <w:szCs w:val="32"/>
        </w:rPr>
        <w:t>大力宣传罗旧工业园就业招聘，结合劳动力就业意愿，有针对性宣传引导。</w:t>
      </w:r>
      <w:r>
        <w:rPr>
          <w:rFonts w:ascii="仿宋_GB2312" w:eastAsia="仿宋_GB2312" w:hAnsi="仿宋_GB2312" w:cs="仿宋_GB2312" w:hint="eastAsia"/>
          <w:b/>
          <w:sz w:val="32"/>
          <w:szCs w:val="32"/>
        </w:rPr>
        <w:t>三是</w:t>
      </w:r>
      <w:r>
        <w:rPr>
          <w:rFonts w:ascii="仿宋_GB2312" w:eastAsia="仿宋_GB2312" w:hAnsi="仿宋_GB2312" w:cs="仿宋_GB2312" w:hint="eastAsia"/>
          <w:bCs/>
          <w:sz w:val="32"/>
          <w:szCs w:val="32"/>
        </w:rPr>
        <w:t>积极宣传健康码。截至5月，我乡纸质档健康证明开具1300余份，电子档健康码注册率达96.74%，有效推动复工复学复产。</w:t>
      </w:r>
    </w:p>
    <w:p w:rsidR="008F10E0" w:rsidRDefault="00F33E79" w:rsidP="008548B9">
      <w:pPr>
        <w:numPr>
          <w:ilvl w:val="0"/>
          <w:numId w:val="2"/>
        </w:numPr>
        <w:spacing w:line="5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与时俱进加强党的建设，推动从严治党纵深发展</w:t>
      </w:r>
    </w:p>
    <w:p w:rsidR="008F10E0" w:rsidRDefault="00F33E79" w:rsidP="008548B9">
      <w:pPr>
        <w:spacing w:line="52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1、严格落实基层党建主体责任。</w:t>
      </w:r>
      <w:r>
        <w:rPr>
          <w:rStyle w:val="NormalCharacter"/>
          <w:rFonts w:ascii="仿宋_GB2312" w:eastAsia="仿宋_GB2312" w:hAnsi="仿宋_GB2312" w:cs="仿宋_GB2312" w:hint="eastAsia"/>
          <w:color w:val="000000"/>
          <w:sz w:val="32"/>
          <w:szCs w:val="32"/>
        </w:rPr>
        <w:t>乡党委严格履行主体责任，专题研究基层党建工作13次，解决村支部书记和村主任“一肩挑”及村干部队伍优化提升、发展壮大村集体经济和基层公共服务（一门式）全覆盖等重点问题28个。主持党委中心组学习12次，座谈会3次，开展谈心谈话40余人次，每月召开1次党建例会，全面完成了上级安排部署的各项目标任务。</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sz w:val="32"/>
          <w:szCs w:val="32"/>
        </w:rPr>
        <w:t>坚持理论武装，加强意识形态工作，筑牢思想防线。</w:t>
      </w:r>
      <w:r>
        <w:rPr>
          <w:rFonts w:ascii="仿宋_GB2312" w:eastAsia="仿宋_GB2312" w:hAnsi="仿宋_GB2312" w:cs="仿宋_GB2312" w:hint="eastAsia"/>
          <w:sz w:val="32"/>
          <w:szCs w:val="32"/>
        </w:rPr>
        <w:t>乡党委始终把思想政治建设摆在党建工作的首位，推进学习教育常态化，把学好用好党的十九大精神、习近平新时代中国特色社会主义思想作为必修课，</w:t>
      </w:r>
      <w:r>
        <w:rPr>
          <w:rFonts w:ascii="仿宋_GB2312" w:eastAsia="仿宋_GB2312" w:hAnsi="仿宋_GB2312" w:cs="仿宋_GB2312" w:hint="eastAsia"/>
          <w:bCs/>
          <w:sz w:val="32"/>
          <w:szCs w:val="32"/>
        </w:rPr>
        <w:t>落实意识形态工作责任制、网络意识形态工作责任，全年完成中心组集中学习12 次，落实“十个纳入”并研究</w:t>
      </w:r>
      <w:r>
        <w:rPr>
          <w:rFonts w:ascii="仿宋_GB2312" w:eastAsia="仿宋_GB2312" w:hAnsi="仿宋_GB2312" w:cs="仿宋_GB2312" w:hint="eastAsia"/>
          <w:bCs/>
          <w:sz w:val="32"/>
          <w:szCs w:val="32"/>
        </w:rPr>
        <w:lastRenderedPageBreak/>
        <w:t>部署2次，确定网评员17人，对舆情及时发声4次，多种形式抓好重点宣传，加强宣传思想和精神文件建设工作，在芷江红网、天下芷江、华声在线等新闻媒体发布新闻报道42篇，督促全乡党员干部利用学习强国app平台进行自学，我乡学习强国活跃学员日均90人左右，参与度、人均分值在乡镇中排名前列。</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3、继续巩固深化“不忘初心、牢记使命”主题教育成果，强化基层党组织和党员干部的作用发挥。</w:t>
      </w:r>
      <w:r>
        <w:rPr>
          <w:rFonts w:ascii="仿宋_GB2312" w:eastAsia="仿宋_GB2312" w:hAnsi="仿宋_GB2312" w:cs="仿宋_GB2312" w:hint="eastAsia"/>
          <w:sz w:val="32"/>
          <w:szCs w:val="32"/>
        </w:rPr>
        <w:t>按照党委班子成员包村指导，采取上党课、实地调研和党员座谈等方式，让各村党支部党员充分认识到继续巩固深化“不忘初心、牢记使命”主题教育成果的重大意义，把加强基层组织建设作为首要工作，切实提升基层党组织的凝聚力、向心力、战斗力，充分发挥好基层党组织的战斗堡垒和党员的先锋模范作用，始终保持初心，坚持实事求是，践行群众路线，扎扎实实做好群众工作，以群众满意度作为衡量一切工作成效的标准，并于6月底树立一批政治素质过硬、业务能力和带富能力强的党员典型进行表彰，向全乡推广，以便更好地促进我乡的刺葡萄和甜茶产业发展，打造以茅枞河漂流和新庄龙塘民宿为重点的生态文化旅游靓丽新名片，推动基层党建工作高质量发展。</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4、紧抓党员教育管理，提高发展党员质量。</w:t>
      </w:r>
      <w:r>
        <w:rPr>
          <w:rFonts w:ascii="仿宋_GB2312" w:eastAsia="仿宋_GB2312" w:hAnsi="仿宋_GB2312" w:cs="仿宋_GB2312" w:hint="eastAsia"/>
          <w:sz w:val="32"/>
          <w:szCs w:val="32"/>
        </w:rPr>
        <w:t>为解决我乡农村党员和村干部队伍整体年龄老化、学历不高、能力偏弱和来源不足等突出问题，</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乡党委严格要求各支部开展党员冬春训、双述双评、组织生活会和党员积分制考核，落实“三会一课”制度，每月开展主题党日活动和缴纳党费。通过紧抓党员教育管理，全乡党员的素质得到了进一步提高；</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突出抓好一批年纪较轻、文化水平高、带富能力强、肯在农村扎根奉献和敢于担当的人员发展党员工作，对在疫情防控等重大任务重大斗争中表现突出的入</w:t>
      </w:r>
      <w:r>
        <w:rPr>
          <w:rFonts w:ascii="仿宋_GB2312" w:eastAsia="仿宋_GB2312" w:hAnsi="仿宋_GB2312" w:cs="仿宋_GB2312" w:hint="eastAsia"/>
          <w:sz w:val="32"/>
          <w:szCs w:val="32"/>
        </w:rPr>
        <w:lastRenderedPageBreak/>
        <w:t>党积极分子，单列指标、优先发展，2020年共吸收入党积极分子8人，预备党员按期转正7人，发展党员8人，其中35岁以下年轻党员6人，大专以上学历4人，全乡党员共计354名。</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5、进一步加强工作指导，提升村干部工作能力。一是</w:t>
      </w:r>
      <w:r>
        <w:rPr>
          <w:rFonts w:ascii="仿宋_GB2312" w:eastAsia="仿宋_GB2312" w:hAnsi="仿宋_GB2312" w:cs="仿宋_GB2312" w:hint="eastAsia"/>
          <w:sz w:val="32"/>
          <w:szCs w:val="32"/>
        </w:rPr>
        <w:t>乡党委对各村党建指导员和五化建设指导员再次进行业务知识学习，</w:t>
      </w:r>
      <w:r>
        <w:rPr>
          <w:rStyle w:val="NormalCharacter"/>
          <w:rFonts w:ascii="仿宋_GB2312" w:eastAsia="仿宋_GB2312" w:hAnsi="仿宋_GB2312" w:cs="仿宋_GB2312" w:hint="eastAsia"/>
          <w:color w:val="000000"/>
          <w:sz w:val="32"/>
          <w:szCs w:val="32"/>
        </w:rPr>
        <w:t>先后4次就支部“五化”建设进行专项督查和</w:t>
      </w:r>
      <w:r>
        <w:rPr>
          <w:rFonts w:ascii="仿宋_GB2312" w:eastAsia="仿宋_GB2312" w:hAnsi="仿宋_GB2312" w:cs="仿宋_GB2312" w:hint="eastAsia"/>
          <w:sz w:val="32"/>
          <w:szCs w:val="32"/>
        </w:rPr>
        <w:t>自查自纠，</w:t>
      </w:r>
      <w:r>
        <w:rPr>
          <w:rStyle w:val="NormalCharacter"/>
          <w:rFonts w:ascii="仿宋_GB2312" w:eastAsia="仿宋_GB2312" w:hAnsi="仿宋_GB2312" w:cs="仿宋_GB2312" w:hint="eastAsia"/>
          <w:color w:val="000000"/>
          <w:sz w:val="32"/>
          <w:szCs w:val="32"/>
        </w:rPr>
        <w:t>整改问题14个，1个后进支部通过整顿全面达标，创建先锋支部2个，全市基层党建示范点1个。</w:t>
      </w:r>
      <w:r>
        <w:rPr>
          <w:rStyle w:val="NormalCharacter"/>
          <w:rFonts w:ascii="仿宋_GB2312" w:eastAsia="仿宋_GB2312" w:hAnsi="仿宋_GB2312" w:cs="仿宋_GB2312" w:hint="eastAsia"/>
          <w:b/>
          <w:bCs/>
          <w:color w:val="000000"/>
          <w:sz w:val="32"/>
          <w:szCs w:val="32"/>
        </w:rPr>
        <w:t>二是</w:t>
      </w:r>
      <w:r>
        <w:rPr>
          <w:rFonts w:ascii="仿宋_GB2312" w:eastAsia="仿宋_GB2312" w:hAnsi="仿宋_GB2312" w:cs="仿宋_GB2312" w:hint="eastAsia"/>
          <w:sz w:val="32"/>
          <w:szCs w:val="32"/>
        </w:rPr>
        <w:t>将按照“一支部一图标一清单”的模式对全乡各村进行对照检查，对工作开展成效好的及时总结全乡推广，对于工作开展滞后的及时提醒，现场交办，增加创建先锋支部的数量。</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坚持好党内各项制度，扎实开展“三亮两带一评十大行动”，完善好月工作提醒制度，坚持做好“三会一课”、主题党日、党员积分管理、党费收缴和发展党员等日常工作，严格实行村干部值班代办制度，星期一到星期天全部安排便民服务中心值班代办。</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6、积极推进村“两委”负责人“一肩挑”和换届选举工作。</w:t>
      </w:r>
      <w:r>
        <w:rPr>
          <w:rFonts w:ascii="仿宋_GB2312" w:eastAsia="仿宋_GB2312" w:hAnsi="仿宋_GB2312" w:cs="仿宋_GB2312" w:hint="eastAsia"/>
          <w:sz w:val="32"/>
          <w:szCs w:val="32"/>
        </w:rPr>
        <w:t>按照上级要求，今年9月份，我乡8个村全面实现村“两委”负责人一肩挑，平均年龄44岁，高中及中专以上学历3人，大专以上学历5人。12月份，积极推进做好村“两委”换届工作，按照包村原则对所有村班子现状和村“两委”换届配备人员进行了全面摸底和走访，通过乡党委会议讨论，形成了2021年换届班子配备摸底台账，在返乡创业、退伍和大学生等人才中大力宣传省委关心爱护基层干部“1+5”文件精神，激发他们回乡任职的信心和决心。</w:t>
      </w:r>
    </w:p>
    <w:p w:rsidR="008F10E0" w:rsidRDefault="00F33E79" w:rsidP="008548B9">
      <w:pPr>
        <w:pStyle w:val="a6"/>
        <w:widowControl/>
        <w:shd w:val="clear" w:color="auto" w:fill="FFFFFF"/>
        <w:spacing w:beforeAutospacing="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b/>
          <w:kern w:val="2"/>
          <w:sz w:val="32"/>
          <w:szCs w:val="32"/>
        </w:rPr>
        <w:t>7、持续推进全面从严治党。</w:t>
      </w:r>
      <w:r>
        <w:rPr>
          <w:rFonts w:ascii="仿宋_GB2312" w:eastAsia="仿宋_GB2312" w:hAnsi="仿宋_GB2312" w:cs="仿宋_GB2312" w:hint="eastAsia"/>
          <w:b/>
          <w:bCs/>
          <w:kern w:val="2"/>
          <w:sz w:val="32"/>
          <w:szCs w:val="32"/>
        </w:rPr>
        <w:t>一是</w:t>
      </w:r>
      <w:r>
        <w:rPr>
          <w:rFonts w:ascii="仿宋_GB2312" w:eastAsia="仿宋_GB2312" w:hAnsi="仿宋_GB2312" w:cs="仿宋_GB2312" w:hint="eastAsia"/>
          <w:kern w:val="2"/>
          <w:sz w:val="32"/>
          <w:szCs w:val="32"/>
        </w:rPr>
        <w:t>着力夯实工作基础。坚持从基础工作、基本制度、基本能力入手，扎实推进党支部标准化规范化建设，确保每个支部能够有效开展工作、发挥作用。对照党支部工作条例各项规定，主要看基本组织是否健全、基本队伍是</w:t>
      </w:r>
      <w:r>
        <w:rPr>
          <w:rFonts w:ascii="仿宋_GB2312" w:eastAsia="仿宋_GB2312" w:hAnsi="仿宋_GB2312" w:cs="仿宋_GB2312" w:hint="eastAsia"/>
          <w:kern w:val="2"/>
          <w:sz w:val="32"/>
          <w:szCs w:val="32"/>
        </w:rPr>
        <w:lastRenderedPageBreak/>
        <w:t>否合格、基本制度是否落实、基本活动是否正常、基本保障是否到位。对已达标的，巩固成果、督促提高；对未达标的，精准施策、补齐短板。</w:t>
      </w:r>
      <w:r>
        <w:rPr>
          <w:rFonts w:ascii="仿宋_GB2312" w:eastAsia="仿宋_GB2312" w:hAnsi="仿宋_GB2312" w:cs="仿宋_GB2312" w:hint="eastAsia"/>
          <w:b/>
          <w:bCs/>
          <w:kern w:val="2"/>
          <w:sz w:val="32"/>
          <w:szCs w:val="32"/>
        </w:rPr>
        <w:t>二是</w:t>
      </w:r>
      <w:r>
        <w:rPr>
          <w:rFonts w:ascii="仿宋_GB2312" w:eastAsia="仿宋_GB2312" w:hAnsi="仿宋_GB2312" w:cs="仿宋_GB2312" w:hint="eastAsia"/>
          <w:kern w:val="2"/>
          <w:sz w:val="32"/>
          <w:szCs w:val="32"/>
        </w:rPr>
        <w:t>持之以恒抓好作风建设。坚持从群众观点、群众立场、群众感情和服务群众抓起，从解决“四风”特别是形式主义、官僚主义突</w:t>
      </w:r>
      <w:r>
        <w:rPr>
          <w:rFonts w:ascii="仿宋_GB2312" w:eastAsia="仿宋_GB2312" w:hAnsi="仿宋_GB2312" w:cs="仿宋_GB2312" w:hint="eastAsia"/>
          <w:sz w:val="32"/>
          <w:szCs w:val="32"/>
        </w:rPr>
        <w:t>出问题抓起，从激发党员干部担当作为的自觉抓起，不断强化宗旨意识，持续改进作风，提升服务水平。</w:t>
      </w:r>
    </w:p>
    <w:p w:rsidR="008F10E0" w:rsidRDefault="00F33E79" w:rsidP="008548B9">
      <w:pPr>
        <w:numPr>
          <w:ilvl w:val="0"/>
          <w:numId w:val="2"/>
        </w:numPr>
        <w:spacing w:line="52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结合地方特色，促进产业发展</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1、以新庄民宿为契机，助推生态农业旅游。</w:t>
      </w:r>
      <w:r>
        <w:rPr>
          <w:rFonts w:ascii="仿宋_GB2312" w:eastAsia="仿宋_GB2312" w:hAnsi="仿宋_GB2312" w:cs="仿宋_GB2312" w:hint="eastAsia"/>
          <w:sz w:val="32"/>
          <w:szCs w:val="32"/>
        </w:rPr>
        <w:t>结合大树坳乡产业优势，依托万亩高山葡萄、千亩野生甜茶、绿色生态环境及年均游客量近3万人次的茅丛河漂流休闲体验项目，以新庄村民宿发展为契机，大力发展集观光、游览、品尝、采摘、休闲、度假为一体的“农旅融合新业态”。</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2、进一步引导农业产业品牌建设。</w:t>
      </w:r>
      <w:r>
        <w:rPr>
          <w:rFonts w:ascii="仿宋_GB2312" w:eastAsia="仿宋_GB2312" w:hAnsi="仿宋_GB2312" w:cs="仿宋_GB2312" w:hint="eastAsia"/>
          <w:kern w:val="0"/>
          <w:sz w:val="32"/>
          <w:szCs w:val="32"/>
          <w:shd w:val="clear" w:color="auto" w:fill="FFFFFF"/>
        </w:rPr>
        <w:t>配合县政府申请高山刺葡萄国家地理标志保护产品、甜茶国家地理标志保护产品，</w:t>
      </w:r>
      <w:r>
        <w:rPr>
          <w:rFonts w:ascii="仿宋_GB2312" w:eastAsia="仿宋_GB2312" w:hAnsi="仿宋_GB2312" w:cs="仿宋_GB2312" w:hint="eastAsia"/>
          <w:sz w:val="32"/>
          <w:szCs w:val="32"/>
        </w:rPr>
        <w:t>进一步加强高山葡萄、甜茶品牌建设，大力发展绿色、有机和地理标志优质特色农产品，积极引导农业产业向绿色、持续、高效发展。</w:t>
      </w:r>
    </w:p>
    <w:p w:rsidR="008F10E0" w:rsidRDefault="00F33E79" w:rsidP="008548B9">
      <w:pPr>
        <w:spacing w:line="52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b/>
          <w:bCs/>
          <w:kern w:val="0"/>
          <w:sz w:val="32"/>
          <w:szCs w:val="32"/>
          <w:shd w:val="clear" w:color="auto" w:fill="FFFFFF"/>
        </w:rPr>
        <w:t>3、积极</w:t>
      </w:r>
      <w:r>
        <w:rPr>
          <w:rFonts w:ascii="仿宋_GB2312" w:eastAsia="仿宋_GB2312" w:hAnsi="仿宋_GB2312" w:cs="仿宋_GB2312" w:hint="eastAsia"/>
          <w:b/>
          <w:bCs/>
          <w:sz w:val="32"/>
          <w:szCs w:val="32"/>
        </w:rPr>
        <w:t>发展‘稻+’生态种养</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shd w:val="clear" w:color="auto" w:fill="FFFFFF"/>
        </w:rPr>
        <w:t>依托大树坳乡拥有海拔高、温差大、水质好的自然优势，正积极筹划在大树坳村的高山组建立“优质稻+稻花鱼”示范点，以点带面，推进稻田效益综合发展。</w:t>
      </w:r>
    </w:p>
    <w:p w:rsidR="008F10E0" w:rsidRDefault="00F33E79" w:rsidP="008548B9">
      <w:pPr>
        <w:numPr>
          <w:ilvl w:val="0"/>
          <w:numId w:val="2"/>
        </w:numPr>
        <w:spacing w:line="52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强化责任，不断巩固脱贫攻坚成果</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1、脱贫攻坚组织保障进一步强化</w:t>
      </w:r>
      <w:r>
        <w:rPr>
          <w:rFonts w:ascii="仿宋_GB2312" w:eastAsia="仿宋_GB2312" w:hAnsi="仿宋_GB2312" w:cs="仿宋_GB2312" w:hint="eastAsia"/>
          <w:sz w:val="32"/>
          <w:szCs w:val="32"/>
        </w:rPr>
        <w:t>。坚持抓党建促脱贫攻坚，加强干部队伍建设和作风建设。</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强化脱贫攻坚领导责任制。建立脱贫攻坚责任制，落实各级各部门脱贫攻坚责任。实行脱贫攻坚一把手负责制。</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发挥基层党组织战斗堡垒作用。选好配强村级领导班子，突出抓好村党组织带头人队伍建设，充分发挥共产党员的先锋模范作用。</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建设与脱贫攻坚要求相适应的工</w:t>
      </w:r>
      <w:r>
        <w:rPr>
          <w:rFonts w:ascii="仿宋_GB2312" w:eastAsia="仿宋_GB2312" w:hAnsi="仿宋_GB2312" w:cs="仿宋_GB2312" w:hint="eastAsia"/>
          <w:sz w:val="32"/>
          <w:szCs w:val="32"/>
        </w:rPr>
        <w:lastRenderedPageBreak/>
        <w:t>作队伍。进一步加强扶贫干部思想作风建设，全面提升扶贫干部队伍能力水平。</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2、脱贫攻坚成效得到进一步巩固。一是</w:t>
      </w:r>
      <w:r>
        <w:rPr>
          <w:rFonts w:ascii="仿宋_GB2312" w:eastAsia="仿宋_GB2312" w:hAnsi="仿宋_GB2312" w:cs="仿宋_GB2312" w:hint="eastAsia"/>
          <w:sz w:val="32"/>
          <w:szCs w:val="32"/>
        </w:rPr>
        <w:t>脱贫人口脱贫得到进一步巩固。按照“两不愁三保障”标准，2020年高质量实现 19户39名贫困人口年人均纯收入稳定超过国家贫困标准，全部实现吃穿不愁、饮水安全达标、义务教育、基本医疗、住房安全有保障。</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贫困村退出成果得到进一步巩固。按照“一个确保、两个完善”标准，全乡8个村共648户2273人全部实现稳定脱贫，贫困村基础设施明显改善，基本公共服务水平进一步提高。</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结合脱贫质量“回头看”工作，对全乡所有贫困户进行全面排查走访，结合“一超过两不愁三保障”标准，全面查摆，对疑似存在的问题已全面整改到位。</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3、充分发挥好“四支队伍集村部、网格管理抓落实”工作机制作用。</w:t>
      </w:r>
      <w:r>
        <w:rPr>
          <w:rFonts w:ascii="仿宋_GB2312" w:eastAsia="仿宋_GB2312" w:hAnsi="仿宋_GB2312" w:cs="仿宋_GB2312" w:hint="eastAsia"/>
          <w:sz w:val="32"/>
          <w:szCs w:val="32"/>
        </w:rPr>
        <w:t>按照县委工作安排，我乡充分发挥好“四支队伍集村部、网格管理抓落实”工作机制作用。每月召开专题工作研讨会议会，通过开展批评与自我批评查摆思想作风问题的根源、脱贫攻坚中的问题、提高脱贫攻坚的站位；乡镇、村、联合支部书记、驻村工作队、网格小组成员对辖区内的所有问题逐项、逐户清理排查，建立问题清单，制定整改措施，对发现的问题逐一整改。</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4、结合环境问题整改工作继续做好环境卫生清理和农户的清爽行动。</w:t>
      </w:r>
      <w:r>
        <w:rPr>
          <w:rFonts w:ascii="仿宋_GB2312" w:eastAsia="仿宋_GB2312" w:hAnsi="仿宋_GB2312" w:cs="仿宋_GB2312" w:hint="eastAsia"/>
          <w:sz w:val="32"/>
          <w:szCs w:val="32"/>
        </w:rPr>
        <w:t>结合“四支队伍集村部”工作机制，每周统计通报清爽行动情况，对于公共区域环境差的地方，在会议上强调公共卫生区域环境卫生保持并由组干部安排人员进行清扫，整改；对欠清洁户逐一落实专人整改，并上传前后对比照片。通过责任化治理，全乡清爽行动取得阶段性成效。</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5、强化排查整改进一步提升脱贫质量。</w:t>
      </w:r>
      <w:r>
        <w:rPr>
          <w:rFonts w:ascii="仿宋_GB2312" w:eastAsia="仿宋_GB2312" w:hAnsi="仿宋_GB2312" w:cs="仿宋_GB2312" w:hint="eastAsia"/>
          <w:sz w:val="32"/>
          <w:szCs w:val="32"/>
        </w:rPr>
        <w:t>对照省、市、县及乡</w:t>
      </w:r>
      <w:r>
        <w:rPr>
          <w:rFonts w:ascii="仿宋_GB2312" w:eastAsia="仿宋_GB2312" w:hAnsi="仿宋_GB2312" w:cs="仿宋_GB2312" w:hint="eastAsia"/>
          <w:sz w:val="32"/>
          <w:szCs w:val="32"/>
        </w:rPr>
        <w:lastRenderedPageBreak/>
        <w:t>镇自查反馈问题，召开会议研究整改措施，举一反三进行全面梳理排查抓整改，要求各村切实落实整改方案，抓实整改成效。在监督各村整改问题的同时，并结合“四支队伍集村部”活动，各村深刻反思自身存在的不足，分析问题产生的原因，做到举一反三、查缺补漏，确保脱贫攻坚排查整改工作取得实实在在的效果。</w:t>
      </w:r>
    </w:p>
    <w:p w:rsidR="008F10E0" w:rsidRDefault="00F33E79" w:rsidP="008548B9">
      <w:pPr>
        <w:spacing w:line="5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（五）积极动员，开展耕地抛荒治理</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落实指示精神，根据上级“耕地抛荒”治理文件精神，制定《大树坳乡耕地抛荒治理方案》，并对下步治理工作进行了具体安排，要求切实加强对所驻村耕地抛荒治理工作的督导工作，各村全面摸清底数共计234亩，已复耕复种整改到位；</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加大宣传工作力度，利用专题会议、宣传车辆、横幅等方式，充分调动群众参与抛荒治理，推动生产的积极性和主动性，因地制宜大力发展粮食生产，确保粮食供给安全。</w:t>
      </w:r>
    </w:p>
    <w:p w:rsidR="008F10E0" w:rsidRDefault="00F33E79" w:rsidP="008548B9">
      <w:pPr>
        <w:spacing w:line="5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（六）生态保护措施有力</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1、不断推进环境综合整治。</w:t>
      </w:r>
      <w:r>
        <w:rPr>
          <w:rFonts w:ascii="仿宋_GB2312" w:eastAsia="仿宋_GB2312" w:hAnsi="仿宋_GB2312" w:cs="仿宋_GB2312" w:hint="eastAsia"/>
          <w:sz w:val="32"/>
          <w:szCs w:val="32"/>
        </w:rPr>
        <w:t>紧盯乡内非法畜禽养殖及排污等情况，整治非法矿点和非法占用耕地现象，对卫片航拍发现的违规点进行开展及时排查。</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2、全面深化“河长制”工作</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加强乡内河流的巡河工作，确保每条河流有人管护，杜绝“四乱”现象；</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对部分重点流域实行清污、清漂、清淤、清障、清违，加大河流的保护力度，有效恢复水生生物资源，加快水域生态环境修护，做到宣传、巡查有效，营造河畅、水清、岸绿、景美的良好水生态环境。三是结合全县“禁捕退捕”工作全面展开，我乡第一时间召开禁捕退捕工作部署会议，在全乡范围内通过张贴海报、宣传横幅、微信群转发禁捕通知等方式积极宣传禁捕工作，开展常规性禁捕退捕巡河300余人次，同时，乡河长办、农业综合服务中心、执法大队等部门</w:t>
      </w:r>
      <w:r>
        <w:rPr>
          <w:rFonts w:ascii="仿宋_GB2312" w:eastAsia="仿宋_GB2312" w:hAnsi="仿宋_GB2312" w:cs="仿宋_GB2312" w:hint="eastAsia"/>
          <w:sz w:val="32"/>
          <w:szCs w:val="32"/>
        </w:rPr>
        <w:lastRenderedPageBreak/>
        <w:t>联合对本乡内重点水域开展非法捕捞专项整治行动2次，共缴获渔网3副，</w:t>
      </w:r>
      <w:r>
        <w:rPr>
          <w:rFonts w:ascii="仿宋_GB2312" w:eastAsia="仿宋_GB2312" w:hAnsi="仿宋_GB2312" w:cs="仿宋_GB2312" w:hint="eastAsia"/>
          <w:color w:val="000000"/>
          <w:kern w:val="0"/>
          <w:sz w:val="32"/>
          <w:szCs w:val="32"/>
          <w:shd w:val="clear" w:color="auto" w:fill="FFFFFF"/>
        </w:rPr>
        <w:t>有力打击了天然水域违法捕捞行为，给全乡</w:t>
      </w:r>
      <w:r>
        <w:rPr>
          <w:rFonts w:ascii="仿宋_GB2312" w:eastAsia="仿宋_GB2312" w:hAnsi="仿宋_GB2312" w:cs="仿宋_GB2312" w:hint="eastAsia"/>
          <w:color w:val="000000"/>
          <w:sz w:val="32"/>
          <w:szCs w:val="32"/>
          <w:shd w:val="clear" w:color="auto" w:fill="FFFFFF"/>
        </w:rPr>
        <w:t>禁捕退捕</w:t>
      </w:r>
      <w:r>
        <w:rPr>
          <w:rFonts w:ascii="仿宋_GB2312" w:eastAsia="仿宋_GB2312" w:hAnsi="仿宋_GB2312" w:cs="仿宋_GB2312" w:hint="eastAsia"/>
          <w:color w:val="000000"/>
          <w:kern w:val="0"/>
          <w:sz w:val="32"/>
          <w:szCs w:val="32"/>
          <w:shd w:val="clear" w:color="auto" w:fill="FFFFFF"/>
        </w:rPr>
        <w:t>工作顺利推进起到了震慑，打开了良好的局面，</w:t>
      </w:r>
      <w:r>
        <w:rPr>
          <w:rFonts w:ascii="仿宋_GB2312" w:eastAsia="仿宋_GB2312" w:hAnsi="仿宋_GB2312" w:cs="仿宋_GB2312" w:hint="eastAsia"/>
          <w:sz w:val="32"/>
          <w:szCs w:val="32"/>
        </w:rPr>
        <w:t>推动大树坳河道管理与保护、加强水环境治理起到了良好的作用。</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3、生态优先守好森林资源。</w:t>
      </w:r>
      <w:r>
        <w:rPr>
          <w:rFonts w:ascii="仿宋_GB2312" w:eastAsia="仿宋_GB2312" w:hAnsi="仿宋_GB2312" w:cs="仿宋_GB2312" w:hint="eastAsia"/>
          <w:color w:val="000000"/>
          <w:kern w:val="0"/>
          <w:sz w:val="32"/>
          <w:szCs w:val="32"/>
          <w:shd w:val="clear" w:color="auto" w:fill="FFFFFF"/>
        </w:rPr>
        <w:t>全乡林地面积123165亩，其中有林地面积106000亩，公益林面积13525.1亩，森林覆盖率75.59 %。</w:t>
      </w:r>
      <w:r>
        <w:rPr>
          <w:rFonts w:ascii="仿宋_GB2312" w:eastAsia="仿宋_GB2312" w:hAnsi="仿宋_GB2312" w:cs="仿宋_GB2312" w:hint="eastAsia"/>
          <w:b/>
          <w:bCs/>
          <w:color w:val="000000"/>
          <w:kern w:val="0"/>
          <w:sz w:val="32"/>
          <w:szCs w:val="32"/>
          <w:shd w:val="clear" w:color="auto" w:fill="FFFFFF"/>
        </w:rPr>
        <w:t>一是</w:t>
      </w:r>
      <w:r>
        <w:rPr>
          <w:rFonts w:ascii="仿宋_GB2312" w:eastAsia="仿宋_GB2312" w:hAnsi="仿宋_GB2312" w:cs="仿宋_GB2312" w:hint="eastAsia"/>
          <w:color w:val="000000"/>
          <w:kern w:val="0"/>
          <w:sz w:val="32"/>
          <w:szCs w:val="32"/>
          <w:shd w:val="clear" w:color="auto" w:fill="FFFFFF"/>
        </w:rPr>
        <w:t>加强森林防火、森林资源管理与保护，提倡文明祭祀，严防山火发生，在清明节期间设置临时检查站，护林员队伍强化巡护，半专业扑火队随时待命，确保不发生森林火灾，保护我乡生态安全；开展野生动物保护专项执法行动，完成预防松材线虫病普查，主要林业有害生物无公害防治率达100%；</w:t>
      </w:r>
      <w:r>
        <w:rPr>
          <w:rFonts w:ascii="仿宋_GB2312" w:eastAsia="仿宋_GB2312" w:hAnsi="仿宋_GB2312" w:cs="仿宋_GB2312" w:hint="eastAsia"/>
          <w:b/>
          <w:bCs/>
          <w:color w:val="000000"/>
          <w:kern w:val="0"/>
          <w:sz w:val="32"/>
          <w:szCs w:val="32"/>
          <w:shd w:val="clear" w:color="auto" w:fill="FFFFFF"/>
        </w:rPr>
        <w:t>二是</w:t>
      </w:r>
      <w:r>
        <w:rPr>
          <w:rFonts w:ascii="仿宋_GB2312" w:eastAsia="仿宋_GB2312" w:hAnsi="仿宋_GB2312" w:cs="仿宋_GB2312" w:hint="eastAsia"/>
          <w:color w:val="000000"/>
          <w:kern w:val="0"/>
          <w:sz w:val="32"/>
          <w:szCs w:val="32"/>
          <w:shd w:val="clear" w:color="auto" w:fill="FFFFFF"/>
        </w:rPr>
        <w:t>加强资源培育与发展，2020年全乡完成造林面积240余亩，植树30000余株，幼林抚育面积3500亩，绿化率76.3%，严厉打击乱砍滥伐和非法破坏林地的行为。</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4、农村人居环境得到大改观</w:t>
      </w:r>
      <w:r>
        <w:rPr>
          <w:rFonts w:ascii="仿宋_GB2312" w:eastAsia="仿宋_GB2312" w:hAnsi="仿宋_GB2312" w:cs="仿宋_GB2312" w:hint="eastAsia"/>
          <w:sz w:val="32"/>
          <w:szCs w:val="32"/>
        </w:rPr>
        <w:t>。我乡始终坚持“绿水青山就是金山银山”的发展理念，以打造“美丽大树坳、幸福大树坳”为目标，把环境整治作为污染防治攻坚战的一项重要内容，结合城乡清洁、河长制、畜禽养殖场整治等常态化工作，深入开展环境综合治理工作，扭转农村“脏乱差”现象。</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在上级部门的指导下，为全面提升推进农村无害化卫生户厕建设和改造，提高粪便无害化处理水平，全面提高公共厕所卫生水平。我乡今年完成农村厕所革命改造97口，累计完成197口，农户满意度达到100%，我乡新庄村、扎牛坪村、大思乐村等3个村稳步推进农村厕所集中改造，有效改善全乡人居环境。</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深入开展生活垃圾、生活污水治理，健全保洁队伍体系。在村民集中区域修建垃圾池110座，制定卫生公约和奖惩制度，坚持开展农户卫生检查评比工作，使村民的</w:t>
      </w:r>
      <w:r>
        <w:rPr>
          <w:rFonts w:ascii="仿宋_GB2312" w:eastAsia="仿宋_GB2312" w:hAnsi="仿宋_GB2312" w:cs="仿宋_GB2312" w:hint="eastAsia"/>
          <w:sz w:val="32"/>
          <w:szCs w:val="32"/>
        </w:rPr>
        <w:lastRenderedPageBreak/>
        <w:t>健康卫生意识得到提高；制定了《大树坳乡集镇污水处理专项规划》，为有效改善农村人居环境，提升农村居民生活质量提供了重要引领；公益性岗位人员保洁员护路员39人、扶贫特岗人员13人、集镇专职保洁员3人，实行一天一清扫，垃圾做到日产日清。全员参与做好全乡环境卫生保洁、收集、管理等工作，积极推进农村道路沿线、沟渠河塘、水面坡岸等公共区域保洁。</w:t>
      </w:r>
    </w:p>
    <w:p w:rsidR="008F10E0" w:rsidRDefault="00F33E79" w:rsidP="008548B9">
      <w:pPr>
        <w:spacing w:line="5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（七）社会治理成效显著</w:t>
      </w:r>
    </w:p>
    <w:p w:rsidR="008F10E0" w:rsidRDefault="00F33E79" w:rsidP="008548B9">
      <w:pPr>
        <w:widowControl/>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1、综治维稳强治安</w:t>
      </w:r>
      <w:r>
        <w:rPr>
          <w:rFonts w:ascii="仿宋_GB2312" w:eastAsia="仿宋_GB2312" w:hAnsi="仿宋_GB2312" w:cs="仿宋_GB2312" w:hint="eastAsia"/>
          <w:sz w:val="32"/>
          <w:szCs w:val="32"/>
        </w:rPr>
        <w:t>。乡党委政府紧绷稳定这根弦，把维稳工作贯穿于中心工作的始终，坚持超前预防稳定，夯实基层基础，加了工作力度，在加强领导、落实责任、规范制度、完善机制、强化队伍、基础建设等方面都采取了有力措施，确保维稳工作有效贯彻落实。</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乡村调解中心建设进一步规范，信访网络进一步完善，特别是对吸毒人员管理和矫正，做好他们的教育转化工作，真正把问题解决在基层、在初始阶段、在萌芽状态，保证社会大局稳定，实现维稳目标。</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通过下村走访、赶集日接访、自查自纠等方式及时发现涉及民生领域的信访民情，做到政策工作耐心解释、案情线索逐一排查、侵害民生坚决处理，形成良好的政风、乡风。</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加强网络信息安全排查与管理，特别是对网络病毒的防范，及时跟进8次网络信访件的处置工作，并得到妥善解决。</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2、禁毒工作见成效。</w:t>
      </w:r>
      <w:r>
        <w:rPr>
          <w:rFonts w:ascii="仿宋_GB2312" w:eastAsia="仿宋_GB2312" w:hAnsi="仿宋_GB2312" w:cs="仿宋_GB2312" w:hint="eastAsia"/>
          <w:sz w:val="32"/>
          <w:szCs w:val="32"/>
        </w:rPr>
        <w:t>本年度累计开展禁毒宣传活动10余次，做到进村、进校园、进家庭，进一步加大了毒品预防宣传教育力度，营造良好的全民禁毒氛围；开展吸毒人员底数排查工作。</w:t>
      </w:r>
    </w:p>
    <w:p w:rsidR="008F10E0" w:rsidRDefault="00F33E79" w:rsidP="008548B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3、安全生产排隐患。一是</w:t>
      </w:r>
      <w:r>
        <w:rPr>
          <w:rFonts w:ascii="仿宋_GB2312" w:eastAsia="仿宋_GB2312" w:hAnsi="仿宋_GB2312" w:cs="仿宋_GB2312" w:hint="eastAsia"/>
          <w:sz w:val="32"/>
          <w:szCs w:val="32"/>
        </w:rPr>
        <w:t>开展节前大排查。定期召开专题会议，在春节、清明、“五一”、“十一”等节假日前后开展节前大排查7次，保证全乡大局稳定。</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切实落实防汛责任，严格落实24小</w:t>
      </w:r>
      <w:r>
        <w:rPr>
          <w:rFonts w:ascii="仿宋_GB2312" w:eastAsia="仿宋_GB2312" w:hAnsi="仿宋_GB2312" w:cs="仿宋_GB2312" w:hint="eastAsia"/>
          <w:sz w:val="32"/>
          <w:szCs w:val="32"/>
        </w:rPr>
        <w:lastRenderedPageBreak/>
        <w:t>时值班制度，乡村干部、村辅警、山塘水库管护员全面排查燕子溪、庵塘坳等10座山塘水库以及2处地质灾害隐患点200余次，确保第一时间发现安全隐患并整改到位。</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持续开展“马路市场”交通问题顽瘴痼疾集中整治行动，在赶集日应急办、执法大队联合村辅警开展交通问题专项整治行动30余次，切实提高广大群众的守法意识，强化了交通安全宣传教育力度，保障了客车安全持续稳定，巩固了我乡良好的交通安全环境。</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开展专项排查。重点对乡内交通安全、食品安全、烟花爆竹销售点等领域开展专项排查20余次，及时消除隐患，保持全乡安全稳定。</w:t>
      </w:r>
    </w:p>
    <w:p w:rsidR="008F10E0" w:rsidRDefault="00F33E79" w:rsidP="008548B9">
      <w:pPr>
        <w:spacing w:line="5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（八）其他工作统筹推进</w:t>
      </w:r>
    </w:p>
    <w:p w:rsidR="008F10E0" w:rsidRDefault="00F33E79">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人口普查、统计、民政等工作进一步加强。国防教育深入开展，完成民兵整组工作。社团工作顺利开展，团委、工会、妇联、关工委、科协、统战、宗教等工作取得了新成绩。</w:t>
      </w:r>
    </w:p>
    <w:p w:rsidR="008F10E0" w:rsidRDefault="00F33E79">
      <w:pPr>
        <w:numPr>
          <w:ilvl w:val="0"/>
          <w:numId w:val="3"/>
        </w:numPr>
        <w:spacing w:line="52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下一步工作打算</w:t>
      </w:r>
    </w:p>
    <w:p w:rsidR="008F10E0" w:rsidRDefault="00F33E79">
      <w:pPr>
        <w:pStyle w:val="2"/>
        <w:spacing w:after="0" w:line="520" w:lineRule="exact"/>
        <w:ind w:leftChars="0" w:left="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2021年，我乡将重点抓好以下方面的工作：</w:t>
      </w:r>
    </w:p>
    <w:p w:rsidR="008F10E0" w:rsidRDefault="00F33E79" w:rsidP="008548B9">
      <w:pPr>
        <w:pStyle w:val="2"/>
        <w:spacing w:after="0" w:line="520" w:lineRule="exact"/>
        <w:ind w:leftChars="0" w:left="0" w:firstLine="640"/>
        <w:rPr>
          <w:rFonts w:ascii="仿宋_GB2312" w:eastAsia="仿宋_GB2312" w:hAnsi="仿宋_GB2312" w:cs="仿宋_GB2312"/>
          <w:kern w:val="0"/>
          <w:sz w:val="32"/>
          <w:szCs w:val="32"/>
        </w:rPr>
      </w:pPr>
      <w:r>
        <w:rPr>
          <w:rFonts w:ascii="仿宋_GB2312" w:eastAsia="仿宋_GB2312" w:hAnsi="仿宋_GB2312" w:cs="仿宋_GB2312" w:hint="eastAsia"/>
          <w:b/>
          <w:bCs/>
          <w:sz w:val="32"/>
          <w:szCs w:val="32"/>
        </w:rPr>
        <w:t>（一）抓实新冠疫情常态化防控。</w:t>
      </w:r>
      <w:r>
        <w:rPr>
          <w:rFonts w:ascii="仿宋_GB2312" w:eastAsia="仿宋_GB2312" w:hAnsi="仿宋_GB2312" w:cs="仿宋_GB2312" w:hint="eastAsia"/>
          <w:kern w:val="0"/>
          <w:sz w:val="32"/>
          <w:szCs w:val="32"/>
        </w:rPr>
        <w:t>认真贯彻落实习总书记重要指示精神和省、市、县各项决策部署，继续围绕防、控两个环节，织密疫情防控网，紧跟当前疫情防控形势，做好全面部署和准备，保持头脑清醒，做到慎终如始，把常态化疫情防控抓紧抓实抓细，不麻痹、不厌战、不松劲，为全乡社会秩序正常运行提供保障。</w:t>
      </w:r>
    </w:p>
    <w:p w:rsidR="008F10E0" w:rsidRDefault="00F33E79" w:rsidP="008548B9">
      <w:pPr>
        <w:pStyle w:val="2"/>
        <w:spacing w:after="0" w:line="52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（二）抓好特色产业发展，积极推动乡村振兴。</w:t>
      </w:r>
      <w:r>
        <w:rPr>
          <w:rFonts w:ascii="仿宋_GB2312" w:eastAsia="仿宋_GB2312" w:hAnsi="仿宋_GB2312" w:cs="仿宋_GB2312" w:hint="eastAsia"/>
          <w:sz w:val="32"/>
          <w:szCs w:val="32"/>
        </w:rPr>
        <w:t>围绕我乡农产品等优势资源，延伸产业链条，大力推进高山葡萄、甜茶、绿壳蛋等产业深加工，提高农产品附加值。</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实施避雨栽培等种植方式，使我乡葡萄品质得到整体提升，同时引进葡萄酒厂，推进“企业+合作社+农户”模式，解决部分种植户后顾之忧，强化品牌</w:t>
      </w:r>
      <w:r>
        <w:rPr>
          <w:rFonts w:ascii="仿宋_GB2312" w:eastAsia="仿宋_GB2312" w:hAnsi="仿宋_GB2312" w:cs="仿宋_GB2312" w:hint="eastAsia"/>
          <w:sz w:val="32"/>
          <w:szCs w:val="32"/>
        </w:rPr>
        <w:lastRenderedPageBreak/>
        <w:t>意识，培育大树坳优质、有机葡萄优势，让大树坳葡萄更具吸引力，成为名副其实的“南方葡萄沟”。</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加快野生甜茶科技攻关进度，推进大树坳野生甜茶产业快速发展。</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加大烤烟宣传发展力度，扩大烤烟种植面积，得到烟草公司的更多项目支持。</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加快绿壳蛋鸡产业的发展，扩大养殖规模，形成以电商销售为主，合作社统一品牌，统一标准的新的模式。</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推进文化旅游产业发展，充分利用山清水秀的优势和县旅游环线规划的契机，积极与县域旅游平台对接，形成侗乡风情、采摘农业、农家乐、漂流探险、民宿等多位一体的旅游带。</w:t>
      </w:r>
    </w:p>
    <w:p w:rsidR="008F10E0" w:rsidRDefault="00F33E79" w:rsidP="008548B9">
      <w:pPr>
        <w:pStyle w:val="2"/>
        <w:spacing w:after="0" w:line="520" w:lineRule="exact"/>
        <w:ind w:leftChars="0" w:left="0" w:firstLine="640"/>
        <w:rPr>
          <w:rFonts w:ascii="仿宋_GB2312" w:eastAsia="仿宋_GB2312" w:hAnsi="仿宋_GB2312" w:cs="仿宋_GB2312"/>
          <w:kern w:val="0"/>
          <w:sz w:val="32"/>
          <w:szCs w:val="32"/>
        </w:rPr>
      </w:pPr>
      <w:r>
        <w:rPr>
          <w:rFonts w:ascii="仿宋_GB2312" w:eastAsia="仿宋_GB2312" w:hAnsi="仿宋_GB2312" w:cs="仿宋_GB2312" w:hint="eastAsia"/>
          <w:b/>
          <w:bCs/>
          <w:sz w:val="32"/>
          <w:szCs w:val="32"/>
        </w:rPr>
        <w:t>（三）全力夯实发展基础，切实保障民生民情。</w:t>
      </w:r>
      <w:r>
        <w:rPr>
          <w:rFonts w:ascii="仿宋_GB2312" w:eastAsia="仿宋_GB2312" w:hAnsi="仿宋_GB2312" w:cs="仿宋_GB2312" w:hint="eastAsia"/>
          <w:kern w:val="0"/>
          <w:sz w:val="32"/>
          <w:szCs w:val="32"/>
        </w:rPr>
        <w:t>继续围绕群众关切的农村道路、水利设施、兜底保障、医保宣传、卫生医疗等民生热点，办好一批民生实事。</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优先发展农田水利，根据我乡水利工程普查摸底情况，加强对全乡所有小I、小II型水库的维修加固、全面治理，抓好全乡范围内的水渠整治，持续推进“河长制”工作，保护好大树坳的青山绿水蓝天，同时加强高标准农田建设，遏制抛荒增量，守住耕地红线，确保永久基本农田数量不减少、质量不下降，确保粮食增产增收。</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重点发展交通，优化路网结构，改善全乡交通、运输条件，争取上级项目资金和社会各界的支持，实施好公路加宽改造工程，进一步推进组级公路硬化，做到能改尽改，进一步完善全乡通组通村道路路网建设，加大对道路的绿化、亮化工程建设支持力度，加大农村公路养护力度，推动“四好农村路”示范创建提质扩面，确保全乡群众安全出行、葡萄产业发展需要。</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加快集镇建设步伐，完善集镇市场、街道基础设施建设，实现街道绿化亮化美化。</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加强信息网络建设，实现全乡范围内光纤网络和第四代移动通信网络全覆盖。积极争取上级项目，力争全乡8个行政村109个村民小组实现通</w:t>
      </w:r>
      <w:r>
        <w:rPr>
          <w:rFonts w:ascii="仿宋_GB2312" w:eastAsia="仿宋_GB2312" w:hAnsi="仿宋_GB2312" w:cs="仿宋_GB2312" w:hint="eastAsia"/>
          <w:sz w:val="32"/>
          <w:szCs w:val="32"/>
        </w:rPr>
        <w:lastRenderedPageBreak/>
        <w:t>信网络全覆盖，全面提升信息网络质量。</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关注困难群众。严格规范实施民政低保政策，继续重点帮扶五保户、特困群众、残疾和孤寡老人，在低保评定、社会救助等保障机制中切实保护困难群众和弱势群体的合法权益，维护社会公平正义。</w:t>
      </w:r>
      <w:r>
        <w:rPr>
          <w:rFonts w:ascii="仿宋_GB2312" w:eastAsia="仿宋_GB2312" w:hAnsi="仿宋_GB2312" w:cs="仿宋_GB2312" w:hint="eastAsia"/>
          <w:b/>
          <w:bCs/>
          <w:sz w:val="32"/>
          <w:szCs w:val="32"/>
        </w:rPr>
        <w:t>六是</w:t>
      </w:r>
      <w:r>
        <w:rPr>
          <w:rFonts w:ascii="仿宋_GB2312" w:eastAsia="仿宋_GB2312" w:hAnsi="仿宋_GB2312" w:cs="仿宋_GB2312" w:hint="eastAsia"/>
          <w:kern w:val="0"/>
          <w:sz w:val="32"/>
          <w:szCs w:val="32"/>
        </w:rPr>
        <w:t>加强生态文明建设，强化环境污染治理。</w:t>
      </w:r>
      <w:r>
        <w:rPr>
          <w:rFonts w:ascii="仿宋_GB2312" w:eastAsia="仿宋_GB2312" w:hAnsi="仿宋_GB2312" w:cs="仿宋_GB2312" w:hint="eastAsia"/>
          <w:b/>
          <w:bCs/>
          <w:sz w:val="32"/>
          <w:szCs w:val="32"/>
        </w:rPr>
        <w:t>七是</w:t>
      </w:r>
      <w:r>
        <w:rPr>
          <w:rFonts w:ascii="仿宋_GB2312" w:eastAsia="仿宋_GB2312" w:hAnsi="仿宋_GB2312" w:cs="仿宋_GB2312" w:hint="eastAsia"/>
          <w:kern w:val="0"/>
          <w:sz w:val="32"/>
          <w:szCs w:val="32"/>
        </w:rPr>
        <w:t>维护社会和谐稳定，深入开展全民禁毒，持续推进“扫黑除恶”，抓好安全生产、道路交通、公共卫生等的监管和马路市场整治。</w:t>
      </w:r>
    </w:p>
    <w:p w:rsidR="008F10E0" w:rsidRDefault="00F33E79" w:rsidP="008548B9">
      <w:pPr>
        <w:spacing w:line="520" w:lineRule="exact"/>
        <w:ind w:firstLineChars="200" w:firstLine="640"/>
      </w:pPr>
      <w:r>
        <w:rPr>
          <w:rFonts w:ascii="仿宋_GB2312" w:eastAsia="仿宋_GB2312" w:hAnsi="仿宋_GB2312" w:cs="仿宋_GB2312" w:hint="eastAsia"/>
          <w:b/>
          <w:bCs/>
          <w:sz w:val="32"/>
          <w:szCs w:val="32"/>
        </w:rPr>
        <w:t>（四）驰而不息抓作风建设。</w:t>
      </w:r>
      <w:r>
        <w:rPr>
          <w:rFonts w:ascii="仿宋_GB2312" w:eastAsia="仿宋_GB2312" w:hAnsi="仿宋_GB2312" w:cs="仿宋_GB2312" w:hint="eastAsia"/>
          <w:sz w:val="32"/>
          <w:szCs w:val="32"/>
        </w:rPr>
        <w:t>抓“四风”不放松，</w:t>
      </w:r>
      <w:r>
        <w:rPr>
          <w:rFonts w:ascii="仿宋_GB2312" w:eastAsia="仿宋_GB2312" w:hAnsi="仿宋_GB2312" w:cs="仿宋_GB2312" w:hint="eastAsia"/>
          <w:kern w:val="0"/>
          <w:sz w:val="32"/>
          <w:szCs w:val="32"/>
        </w:rPr>
        <w:t>推进全面从严治党，强化党内政治生活，切实抓好党的基层组织、党风廉政等方面建设，</w:t>
      </w:r>
      <w:r>
        <w:rPr>
          <w:rFonts w:ascii="仿宋_GB2312" w:eastAsia="仿宋_GB2312" w:hAnsi="仿宋_GB2312" w:cs="仿宋_GB2312" w:hint="eastAsia"/>
          <w:sz w:val="32"/>
          <w:szCs w:val="32"/>
        </w:rPr>
        <w:t>特别是涉及扶贫领域腐败问题，常抓不懈，并通过下村走访、赶集日接访、自查自纠等方式及时发现涉及民生领域的信访民情， 做到政策工作耐心解释、案情线索逐一排查、侵害民生坚决处理，形成良好的政风、乡风。</w:t>
      </w:r>
    </w:p>
    <w:p w:rsidR="008F10E0" w:rsidRDefault="00F33E79">
      <w:pPr>
        <w:spacing w:line="560" w:lineRule="exact"/>
        <w:ind w:firstLineChars="200" w:firstLine="640"/>
        <w:rPr>
          <w:rFonts w:eastAsia="黑体"/>
          <w:sz w:val="32"/>
          <w:szCs w:val="32"/>
        </w:rPr>
      </w:pPr>
      <w:r>
        <w:rPr>
          <w:rFonts w:eastAsia="黑体" w:hint="eastAsia"/>
          <w:sz w:val="32"/>
          <w:szCs w:val="32"/>
        </w:rPr>
        <w:t>六、部门整体支出绩效自评结果</w:t>
      </w:r>
    </w:p>
    <w:p w:rsidR="008F10E0" w:rsidRDefault="00F33E79">
      <w:pPr>
        <w:spacing w:line="560" w:lineRule="exact"/>
        <w:ind w:firstLineChars="200" w:firstLine="640"/>
        <w:rPr>
          <w:rFonts w:eastAsia="仿宋_GB2312"/>
          <w:sz w:val="32"/>
          <w:szCs w:val="32"/>
        </w:rPr>
      </w:pPr>
      <w:r>
        <w:rPr>
          <w:rFonts w:eastAsia="仿宋_GB2312" w:hint="eastAsia"/>
          <w:sz w:val="32"/>
          <w:szCs w:val="32"/>
        </w:rPr>
        <w:t>我乡部门整体支出绩效评价指标得分</w:t>
      </w:r>
      <w:r>
        <w:rPr>
          <w:rFonts w:eastAsia="仿宋_GB2312" w:hint="eastAsia"/>
          <w:sz w:val="32"/>
          <w:szCs w:val="32"/>
        </w:rPr>
        <w:t>95</w:t>
      </w:r>
      <w:r>
        <w:rPr>
          <w:rFonts w:eastAsia="仿宋_GB2312" w:hint="eastAsia"/>
          <w:sz w:val="32"/>
          <w:szCs w:val="32"/>
        </w:rPr>
        <w:t>分，评价为优。</w:t>
      </w:r>
    </w:p>
    <w:p w:rsidR="008F10E0" w:rsidRDefault="00F33E79">
      <w:pPr>
        <w:spacing w:line="560" w:lineRule="exact"/>
        <w:ind w:firstLineChars="200" w:firstLine="640"/>
        <w:rPr>
          <w:rFonts w:eastAsia="仿宋_GB2312"/>
          <w:sz w:val="32"/>
          <w:szCs w:val="32"/>
        </w:rPr>
      </w:pPr>
      <w:r>
        <w:rPr>
          <w:rFonts w:eastAsia="仿宋_GB2312" w:hint="eastAsia"/>
          <w:sz w:val="32"/>
          <w:szCs w:val="32"/>
        </w:rPr>
        <w:t>扣分方面：预算控制数超出本年年初预算数</w:t>
      </w:r>
      <w:r>
        <w:rPr>
          <w:rFonts w:eastAsia="仿宋_GB2312" w:hint="eastAsia"/>
          <w:sz w:val="32"/>
          <w:szCs w:val="32"/>
        </w:rPr>
        <w:t>30%</w:t>
      </w:r>
      <w:r>
        <w:rPr>
          <w:rFonts w:eastAsia="仿宋_GB2312" w:hint="eastAsia"/>
          <w:sz w:val="32"/>
          <w:szCs w:val="32"/>
        </w:rPr>
        <w:t>以上，故该项不得分。</w:t>
      </w:r>
    </w:p>
    <w:p w:rsidR="008F10E0" w:rsidRDefault="00F33E79">
      <w:pPr>
        <w:spacing w:line="560" w:lineRule="exact"/>
        <w:ind w:firstLineChars="200" w:firstLine="640"/>
        <w:rPr>
          <w:rFonts w:eastAsia="黑体"/>
          <w:sz w:val="32"/>
          <w:szCs w:val="32"/>
        </w:rPr>
      </w:pPr>
      <w:r>
        <w:rPr>
          <w:rFonts w:eastAsia="黑体" w:hint="eastAsia"/>
          <w:sz w:val="32"/>
          <w:szCs w:val="32"/>
        </w:rPr>
        <w:t>七、存在的主要问题</w:t>
      </w:r>
    </w:p>
    <w:p w:rsidR="008F10E0" w:rsidRDefault="00F33E79">
      <w:pPr>
        <w:spacing w:line="560" w:lineRule="exact"/>
        <w:ind w:firstLineChars="200" w:firstLine="640"/>
        <w:rPr>
          <w:rFonts w:eastAsia="仿宋_GB2312"/>
          <w:sz w:val="32"/>
          <w:szCs w:val="32"/>
        </w:rPr>
      </w:pPr>
      <w:r>
        <w:rPr>
          <w:rFonts w:eastAsia="仿宋_GB2312"/>
          <w:sz w:val="32"/>
          <w:szCs w:val="32"/>
        </w:rPr>
        <w:t>（一）经济发展力度不够。</w:t>
      </w:r>
      <w:r>
        <w:rPr>
          <w:rFonts w:eastAsia="仿宋_GB2312"/>
          <w:bCs/>
          <w:sz w:val="32"/>
          <w:szCs w:val="32"/>
        </w:rPr>
        <w:t>全</w:t>
      </w:r>
      <w:r>
        <w:rPr>
          <w:rFonts w:eastAsia="仿宋_GB2312" w:hint="eastAsia"/>
          <w:bCs/>
          <w:sz w:val="32"/>
          <w:szCs w:val="32"/>
        </w:rPr>
        <w:t>乡</w:t>
      </w:r>
      <w:r>
        <w:rPr>
          <w:rFonts w:eastAsia="仿宋_GB2312"/>
          <w:bCs/>
          <w:sz w:val="32"/>
          <w:szCs w:val="32"/>
        </w:rPr>
        <w:t>经济综合实力不够强，产业结构单一，特色农产品销售有待提升</w:t>
      </w:r>
    </w:p>
    <w:p w:rsidR="008F10E0" w:rsidRDefault="00F33E79">
      <w:pPr>
        <w:spacing w:line="560" w:lineRule="exact"/>
        <w:ind w:firstLineChars="200" w:firstLine="640"/>
        <w:rPr>
          <w:rFonts w:eastAsia="仿宋_GB2312"/>
          <w:sz w:val="32"/>
          <w:szCs w:val="32"/>
        </w:rPr>
      </w:pPr>
      <w:r>
        <w:rPr>
          <w:rFonts w:eastAsia="仿宋_GB2312"/>
          <w:sz w:val="32"/>
          <w:szCs w:val="32"/>
        </w:rPr>
        <w:t>（二）财政工作水平有待提高，财务规章制度仍然不够完善，财政工作缺乏创新，在精度和深度上欠缺，还需要进一步完善，充分领悟制度、文件精神，进一步严格政府采购、固定资产管理工作。</w:t>
      </w:r>
    </w:p>
    <w:p w:rsidR="008F10E0" w:rsidRDefault="00F33E79">
      <w:pPr>
        <w:spacing w:line="560" w:lineRule="exact"/>
        <w:ind w:firstLineChars="200" w:firstLine="600"/>
        <w:rPr>
          <w:rFonts w:eastAsia="仿宋_GB2312"/>
          <w:sz w:val="32"/>
          <w:szCs w:val="32"/>
        </w:rPr>
      </w:pPr>
      <w:r>
        <w:rPr>
          <w:rFonts w:eastAsia="仿宋_GB2312"/>
          <w:kern w:val="0"/>
          <w:sz w:val="30"/>
          <w:szCs w:val="30"/>
        </w:rPr>
        <w:t>（</w:t>
      </w:r>
      <w:r>
        <w:rPr>
          <w:rFonts w:eastAsia="仿宋_GB2312"/>
          <w:sz w:val="32"/>
          <w:szCs w:val="32"/>
        </w:rPr>
        <w:t>三）本年预算配置控制不到位。年中追加经费多，导致预算</w:t>
      </w:r>
      <w:r>
        <w:rPr>
          <w:rFonts w:eastAsia="仿宋_GB2312"/>
          <w:sz w:val="32"/>
          <w:szCs w:val="32"/>
        </w:rPr>
        <w:lastRenderedPageBreak/>
        <w:t>控制率较低。</w:t>
      </w:r>
    </w:p>
    <w:p w:rsidR="008F10E0" w:rsidRDefault="00F33E79">
      <w:pPr>
        <w:spacing w:line="560" w:lineRule="exact"/>
        <w:ind w:firstLineChars="200" w:firstLine="640"/>
        <w:rPr>
          <w:rFonts w:eastAsia="黑体"/>
          <w:sz w:val="32"/>
          <w:szCs w:val="32"/>
        </w:rPr>
      </w:pPr>
      <w:r>
        <w:rPr>
          <w:rFonts w:eastAsia="黑体" w:hint="eastAsia"/>
          <w:sz w:val="32"/>
          <w:szCs w:val="32"/>
        </w:rPr>
        <w:t>八、改进措施和有关建议</w:t>
      </w:r>
    </w:p>
    <w:p w:rsidR="008F10E0" w:rsidRDefault="00F33E79">
      <w:pPr>
        <w:spacing w:line="560" w:lineRule="exact"/>
        <w:ind w:firstLineChars="200" w:firstLine="640"/>
        <w:rPr>
          <w:rFonts w:eastAsia="仿宋_GB2312"/>
          <w:sz w:val="32"/>
          <w:szCs w:val="32"/>
        </w:rPr>
      </w:pPr>
      <w:r>
        <w:rPr>
          <w:rFonts w:eastAsia="仿宋_GB2312"/>
          <w:sz w:val="32"/>
          <w:szCs w:val="32"/>
        </w:rPr>
        <w:t>为了进一步提高本部门整体绩效水平，我们提出如下建议：</w:t>
      </w:r>
    </w:p>
    <w:p w:rsidR="008F10E0" w:rsidRDefault="00F33E79">
      <w:pPr>
        <w:spacing w:line="560" w:lineRule="exact"/>
        <w:ind w:firstLineChars="200" w:firstLine="640"/>
        <w:rPr>
          <w:rFonts w:eastAsia="仿宋_GB2312"/>
          <w:sz w:val="32"/>
          <w:szCs w:val="32"/>
        </w:rPr>
      </w:pPr>
      <w:r>
        <w:rPr>
          <w:rFonts w:eastAsia="仿宋_GB2312"/>
          <w:sz w:val="32"/>
          <w:szCs w:val="32"/>
        </w:rPr>
        <w:t>（一）积极发展村集体经济，抓住抓准</w:t>
      </w:r>
      <w:r>
        <w:rPr>
          <w:rFonts w:eastAsia="仿宋_GB2312"/>
          <w:sz w:val="32"/>
          <w:szCs w:val="32"/>
        </w:rPr>
        <w:t>“</w:t>
      </w:r>
      <w:r>
        <w:rPr>
          <w:rFonts w:eastAsia="仿宋_GB2312"/>
          <w:sz w:val="32"/>
          <w:szCs w:val="32"/>
        </w:rPr>
        <w:t>精准扶贫</w:t>
      </w:r>
      <w:r>
        <w:rPr>
          <w:rFonts w:eastAsia="仿宋_GB2312"/>
          <w:sz w:val="32"/>
          <w:szCs w:val="32"/>
        </w:rPr>
        <w:t>”</w:t>
      </w:r>
      <w:r>
        <w:rPr>
          <w:rFonts w:eastAsia="仿宋_GB2312"/>
          <w:sz w:val="32"/>
          <w:szCs w:val="32"/>
        </w:rPr>
        <w:t>机遇，结合我</w:t>
      </w:r>
      <w:r>
        <w:rPr>
          <w:rFonts w:eastAsia="仿宋_GB2312" w:hint="eastAsia"/>
          <w:sz w:val="32"/>
          <w:szCs w:val="32"/>
        </w:rPr>
        <w:t>乡</w:t>
      </w:r>
      <w:r>
        <w:rPr>
          <w:rFonts w:eastAsia="仿宋_GB2312"/>
          <w:sz w:val="32"/>
          <w:szCs w:val="32"/>
        </w:rPr>
        <w:t>已有的良好农副产品口碑和质量，充分调动群众自主干事积极性，使更多群众投入到本地的产业发展工作中。同时进一步加强财政资金整合与统筹力，切实调整优化支出结构，突出重点，投入更多资金到发展</w:t>
      </w:r>
      <w:r>
        <w:rPr>
          <w:rFonts w:eastAsia="仿宋_GB2312" w:hint="eastAsia"/>
          <w:sz w:val="32"/>
          <w:szCs w:val="32"/>
        </w:rPr>
        <w:t>乡</w:t>
      </w:r>
      <w:r>
        <w:rPr>
          <w:rFonts w:eastAsia="仿宋_GB2312"/>
          <w:sz w:val="32"/>
          <w:szCs w:val="32"/>
        </w:rPr>
        <w:t>域经济的工作中。</w:t>
      </w:r>
    </w:p>
    <w:p w:rsidR="008F10E0" w:rsidRDefault="00F33E79">
      <w:pPr>
        <w:spacing w:line="560" w:lineRule="exact"/>
        <w:ind w:firstLineChars="200" w:firstLine="640"/>
        <w:rPr>
          <w:rFonts w:eastAsia="仿宋_GB2312"/>
          <w:sz w:val="32"/>
          <w:szCs w:val="32"/>
        </w:rPr>
      </w:pPr>
      <w:r>
        <w:rPr>
          <w:rFonts w:eastAsia="仿宋_GB2312"/>
          <w:sz w:val="32"/>
          <w:szCs w:val="32"/>
        </w:rPr>
        <w:t>（二）提升业务水平，加强财务管理，严格规范财务管理流程，加强单位财务管理，健全单位财务管理制度体系，规范单位财务行为。更加注重干部队伍建设，切实转变工作作风，提高服务质量。要按照</w:t>
      </w:r>
      <w:r>
        <w:rPr>
          <w:rFonts w:eastAsia="仿宋_GB2312" w:hint="eastAsia"/>
          <w:sz w:val="32"/>
          <w:szCs w:val="32"/>
        </w:rPr>
        <w:t>乡</w:t>
      </w:r>
      <w:r>
        <w:rPr>
          <w:rFonts w:eastAsia="仿宋_GB2312"/>
          <w:sz w:val="32"/>
          <w:szCs w:val="32"/>
        </w:rPr>
        <w:t>党委、政府的要求，加强干部队伍建设，积极开展转变干部作风加强行政效能建设活动。同时要积极开展业务培训和教育，提高干部职工综合素质，增强大局意识、效率意识、廉政意识和服务意识，</w:t>
      </w:r>
      <w:hyperlink r:id="rId8" w:tgtFrame="_blank" w:history="1">
        <w:r>
          <w:rPr>
            <w:rFonts w:eastAsia="仿宋_GB2312"/>
            <w:sz w:val="32"/>
            <w:szCs w:val="32"/>
          </w:rPr>
          <w:t>爱</w:t>
        </w:r>
      </w:hyperlink>
      <w:r>
        <w:rPr>
          <w:rFonts w:eastAsia="仿宋_GB2312"/>
          <w:sz w:val="32"/>
          <w:szCs w:val="32"/>
        </w:rPr>
        <w:t>岗敬业，增强工作的主动性和预见性，使依法理财水平明显提高，机关管理明显改善，机关作风明显转变，廉政意识明显增强，工作效率明显提高，财政整体形象和地位进一步提升。</w:t>
      </w:r>
      <w:r>
        <w:rPr>
          <w:rFonts w:eastAsia="仿宋_GB2312"/>
          <w:sz w:val="32"/>
          <w:szCs w:val="32"/>
        </w:rPr>
        <w:br/>
        <w:t xml:space="preserve">    </w:t>
      </w:r>
      <w:r>
        <w:rPr>
          <w:rFonts w:eastAsia="仿宋_GB2312"/>
          <w:sz w:val="32"/>
          <w:szCs w:val="32"/>
        </w:rPr>
        <w:t>（三）加强资产管理，严格控制</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使用。合理编制政府采购年初预算和计划，规范各类资产的购置审批制度、收入管理制度、资产采购制度、使用管理制度、资产处置和报废审批制度、资产管理岗位职责制度等，规范单位内部的资产管理工作。严格控制</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经费的规模和比例，把关</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经费支出的审核、审批，杜绝挪用和挤占其他预算资金行为；进一步细化</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sz w:val="32"/>
          <w:szCs w:val="32"/>
        </w:rPr>
        <w:lastRenderedPageBreak/>
        <w:t>的管理，合理压缩</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w:t>
      </w:r>
    </w:p>
    <w:p w:rsidR="008F10E0" w:rsidRDefault="00F33E79">
      <w:pPr>
        <w:spacing w:line="560" w:lineRule="exact"/>
        <w:ind w:firstLineChars="200" w:firstLine="640"/>
        <w:rPr>
          <w:rFonts w:eastAsia="仿宋_GB2312"/>
          <w:sz w:val="32"/>
          <w:szCs w:val="32"/>
        </w:rPr>
      </w:pPr>
      <w:r>
        <w:rPr>
          <w:rFonts w:eastAsia="仿宋_GB2312"/>
          <w:sz w:val="32"/>
          <w:szCs w:val="32"/>
        </w:rPr>
        <w:t>（四）加强行政单位会计制度和新预算法学习培训</w:t>
      </w:r>
      <w:r>
        <w:rPr>
          <w:rFonts w:eastAsia="仿宋_GB2312" w:hint="eastAsia"/>
          <w:sz w:val="32"/>
          <w:szCs w:val="32"/>
        </w:rPr>
        <w:t>。</w:t>
      </w:r>
      <w:r>
        <w:rPr>
          <w:rFonts w:eastAsia="仿宋_GB2312"/>
          <w:sz w:val="32"/>
          <w:szCs w:val="32"/>
        </w:rPr>
        <w:t>加强新《预算法》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rsidR="008F10E0" w:rsidRDefault="008F10E0">
      <w:pPr>
        <w:spacing w:line="560" w:lineRule="exact"/>
        <w:ind w:firstLineChars="200" w:firstLine="640"/>
        <w:rPr>
          <w:rFonts w:eastAsia="仿宋_GB2312"/>
          <w:sz w:val="32"/>
          <w:szCs w:val="32"/>
        </w:rPr>
      </w:pPr>
    </w:p>
    <w:p w:rsidR="008F10E0" w:rsidRDefault="008F10E0">
      <w:pPr>
        <w:spacing w:line="560" w:lineRule="exact"/>
        <w:ind w:firstLineChars="200" w:firstLine="640"/>
        <w:rPr>
          <w:rFonts w:eastAsia="仿宋_GB2312"/>
          <w:sz w:val="32"/>
          <w:szCs w:val="32"/>
        </w:rPr>
      </w:pPr>
    </w:p>
    <w:p w:rsidR="008F10E0" w:rsidRDefault="008F10E0">
      <w:pPr>
        <w:spacing w:line="560" w:lineRule="exact"/>
        <w:ind w:firstLineChars="200" w:firstLine="640"/>
        <w:rPr>
          <w:rFonts w:eastAsia="仿宋_GB2312"/>
          <w:sz w:val="32"/>
          <w:szCs w:val="32"/>
        </w:rPr>
      </w:pPr>
    </w:p>
    <w:p w:rsidR="008F10E0" w:rsidRDefault="008F10E0">
      <w:pPr>
        <w:spacing w:line="560" w:lineRule="exact"/>
        <w:ind w:firstLineChars="200" w:firstLine="640"/>
        <w:rPr>
          <w:rFonts w:eastAsia="仿宋_GB2312"/>
          <w:sz w:val="32"/>
          <w:szCs w:val="32"/>
        </w:rPr>
      </w:pPr>
    </w:p>
    <w:p w:rsidR="008F10E0" w:rsidRDefault="00F33E79">
      <w:pPr>
        <w:spacing w:line="560" w:lineRule="exact"/>
        <w:ind w:firstLineChars="200" w:firstLine="640"/>
        <w:rPr>
          <w:rFonts w:eastAsia="仿宋_GB2312"/>
          <w:sz w:val="32"/>
          <w:szCs w:val="32"/>
        </w:rPr>
      </w:pPr>
      <w:r>
        <w:rPr>
          <w:rFonts w:eastAsia="仿宋_GB2312" w:hint="eastAsia"/>
          <w:sz w:val="32"/>
          <w:szCs w:val="32"/>
        </w:rPr>
        <w:t xml:space="preserve">                      </w:t>
      </w:r>
      <w:r>
        <w:rPr>
          <w:rFonts w:eastAsia="仿宋_GB2312" w:hint="eastAsia"/>
          <w:sz w:val="32"/>
          <w:szCs w:val="32"/>
        </w:rPr>
        <w:t>芷江侗族自治县大树坳乡人民政府</w:t>
      </w:r>
    </w:p>
    <w:p w:rsidR="008F10E0" w:rsidRDefault="00F33E79">
      <w:pPr>
        <w:spacing w:line="560" w:lineRule="exact"/>
        <w:ind w:firstLineChars="200" w:firstLine="640"/>
        <w:rPr>
          <w:rFonts w:eastAsia="仿宋_GB2312"/>
          <w:sz w:val="32"/>
          <w:szCs w:val="32"/>
        </w:rPr>
      </w:pPr>
      <w:r>
        <w:rPr>
          <w:rFonts w:eastAsia="仿宋_GB2312" w:hint="eastAsia"/>
          <w:sz w:val="32"/>
          <w:szCs w:val="32"/>
        </w:rPr>
        <w:t xml:space="preserve">                                2021</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9</w:t>
      </w:r>
      <w:r>
        <w:rPr>
          <w:rFonts w:eastAsia="仿宋_GB2312" w:hint="eastAsia"/>
          <w:sz w:val="32"/>
          <w:szCs w:val="32"/>
        </w:rPr>
        <w:t>日</w:t>
      </w:r>
    </w:p>
    <w:p w:rsidR="008F10E0" w:rsidRDefault="008F10E0">
      <w:pPr>
        <w:spacing w:line="560" w:lineRule="exact"/>
        <w:ind w:firstLineChars="200" w:firstLine="640"/>
        <w:rPr>
          <w:rFonts w:eastAsia="仿宋_GB2312"/>
          <w:sz w:val="32"/>
          <w:szCs w:val="32"/>
        </w:rPr>
      </w:pPr>
    </w:p>
    <w:p w:rsidR="008F10E0" w:rsidRDefault="008F10E0">
      <w:pPr>
        <w:spacing w:line="560" w:lineRule="exact"/>
        <w:ind w:firstLineChars="200" w:firstLine="640"/>
        <w:rPr>
          <w:rFonts w:eastAsia="仿宋_GB2312"/>
          <w:sz w:val="32"/>
          <w:szCs w:val="32"/>
        </w:rPr>
      </w:pPr>
    </w:p>
    <w:p w:rsidR="008F10E0" w:rsidRDefault="008F10E0">
      <w:pPr>
        <w:spacing w:line="560" w:lineRule="exact"/>
        <w:ind w:firstLineChars="200" w:firstLine="640"/>
        <w:rPr>
          <w:rFonts w:eastAsia="仿宋_GB2312"/>
          <w:sz w:val="32"/>
          <w:szCs w:val="32"/>
        </w:rPr>
      </w:pPr>
    </w:p>
    <w:p w:rsidR="008F10E0" w:rsidRDefault="008F10E0">
      <w:pPr>
        <w:spacing w:line="560" w:lineRule="exact"/>
        <w:ind w:firstLineChars="200" w:firstLine="640"/>
        <w:rPr>
          <w:rFonts w:eastAsia="仿宋_GB2312"/>
          <w:sz w:val="32"/>
          <w:szCs w:val="32"/>
        </w:rPr>
      </w:pPr>
    </w:p>
    <w:p w:rsidR="008F10E0" w:rsidRDefault="008F10E0">
      <w:pPr>
        <w:spacing w:line="560" w:lineRule="exact"/>
        <w:ind w:firstLineChars="200" w:firstLine="640"/>
        <w:rPr>
          <w:rFonts w:eastAsia="仿宋_GB2312"/>
          <w:sz w:val="32"/>
          <w:szCs w:val="32"/>
        </w:rPr>
      </w:pPr>
    </w:p>
    <w:p w:rsidR="008F10E0" w:rsidRDefault="008F10E0" w:rsidP="001B1C6D">
      <w:pPr>
        <w:pStyle w:val="2"/>
        <w:ind w:firstLine="640"/>
        <w:rPr>
          <w:rFonts w:eastAsia="仿宋_GB2312"/>
          <w:sz w:val="32"/>
          <w:szCs w:val="32"/>
        </w:rPr>
      </w:pPr>
    </w:p>
    <w:p w:rsidR="008F10E0" w:rsidRDefault="008F10E0" w:rsidP="001B1C6D">
      <w:pPr>
        <w:pStyle w:val="2"/>
        <w:ind w:firstLine="640"/>
        <w:rPr>
          <w:rFonts w:eastAsia="仿宋_GB2312"/>
          <w:sz w:val="32"/>
          <w:szCs w:val="32"/>
        </w:rPr>
      </w:pPr>
    </w:p>
    <w:p w:rsidR="008F10E0" w:rsidRDefault="008F10E0" w:rsidP="001B1C6D">
      <w:pPr>
        <w:pStyle w:val="2"/>
        <w:ind w:firstLine="640"/>
        <w:rPr>
          <w:rFonts w:eastAsia="仿宋_GB2312"/>
          <w:sz w:val="32"/>
          <w:szCs w:val="32"/>
        </w:rPr>
      </w:pPr>
    </w:p>
    <w:p w:rsidR="008F10E0" w:rsidRDefault="008F10E0" w:rsidP="001B1C6D">
      <w:pPr>
        <w:pStyle w:val="2"/>
        <w:ind w:firstLine="640"/>
        <w:rPr>
          <w:rFonts w:eastAsia="仿宋_GB2312"/>
          <w:sz w:val="32"/>
          <w:szCs w:val="32"/>
        </w:rPr>
      </w:pPr>
    </w:p>
    <w:p w:rsidR="008F10E0" w:rsidRDefault="008F10E0" w:rsidP="001B1C6D">
      <w:pPr>
        <w:pStyle w:val="2"/>
        <w:ind w:firstLine="640"/>
        <w:rPr>
          <w:rFonts w:eastAsia="仿宋_GB2312"/>
          <w:sz w:val="32"/>
          <w:szCs w:val="32"/>
        </w:rPr>
      </w:pPr>
    </w:p>
    <w:p w:rsidR="008F10E0" w:rsidRDefault="008F10E0" w:rsidP="001B1C6D">
      <w:pPr>
        <w:pStyle w:val="2"/>
        <w:ind w:firstLine="640"/>
        <w:rPr>
          <w:rFonts w:eastAsia="仿宋_GB2312"/>
          <w:sz w:val="32"/>
          <w:szCs w:val="32"/>
        </w:rPr>
      </w:pPr>
    </w:p>
    <w:tbl>
      <w:tblPr>
        <w:tblW w:w="9880" w:type="dxa"/>
        <w:tblInd w:w="91" w:type="dxa"/>
        <w:tblLayout w:type="fixed"/>
        <w:tblLook w:val="04A0"/>
      </w:tblPr>
      <w:tblGrid>
        <w:gridCol w:w="580"/>
        <w:gridCol w:w="460"/>
        <w:gridCol w:w="520"/>
        <w:gridCol w:w="500"/>
        <w:gridCol w:w="1080"/>
        <w:gridCol w:w="480"/>
        <w:gridCol w:w="2620"/>
        <w:gridCol w:w="3180"/>
        <w:gridCol w:w="460"/>
      </w:tblGrid>
      <w:tr w:rsidR="008F10E0">
        <w:trPr>
          <w:trHeight w:val="285"/>
        </w:trPr>
        <w:tc>
          <w:tcPr>
            <w:tcW w:w="1560" w:type="dxa"/>
            <w:gridSpan w:val="3"/>
            <w:tcBorders>
              <w:top w:val="nil"/>
              <w:left w:val="nil"/>
              <w:bottom w:val="nil"/>
              <w:right w:val="nil"/>
            </w:tcBorders>
            <w:noWrap/>
            <w:vAlign w:val="center"/>
          </w:tcPr>
          <w:p w:rsidR="008F10E0" w:rsidRDefault="00F33E79">
            <w:pPr>
              <w:widowControl/>
              <w:jc w:val="left"/>
              <w:rPr>
                <w:rFonts w:ascii="黑体" w:eastAsia="黑体" w:hAnsi="宋体" w:cs="宋体"/>
                <w:kern w:val="0"/>
                <w:sz w:val="24"/>
                <w:szCs w:val="24"/>
              </w:rPr>
            </w:pPr>
            <w:r>
              <w:rPr>
                <w:rFonts w:ascii="黑体" w:eastAsia="黑体" w:hAnsi="宋体" w:cs="宋体" w:hint="eastAsia"/>
                <w:kern w:val="0"/>
                <w:sz w:val="24"/>
                <w:szCs w:val="24"/>
              </w:rPr>
              <w:t>附件2</w:t>
            </w:r>
          </w:p>
        </w:tc>
        <w:tc>
          <w:tcPr>
            <w:tcW w:w="500" w:type="dxa"/>
            <w:tcBorders>
              <w:top w:val="nil"/>
              <w:left w:val="nil"/>
              <w:bottom w:val="nil"/>
              <w:right w:val="nil"/>
            </w:tcBorders>
            <w:noWrap/>
            <w:vAlign w:val="center"/>
          </w:tcPr>
          <w:p w:rsidR="008F10E0" w:rsidRDefault="008F10E0">
            <w:pPr>
              <w:widowControl/>
              <w:jc w:val="left"/>
              <w:rPr>
                <w:rFonts w:ascii="宋体" w:hAnsi="宋体" w:cs="宋体"/>
                <w:kern w:val="0"/>
                <w:sz w:val="24"/>
                <w:szCs w:val="24"/>
              </w:rPr>
            </w:pPr>
          </w:p>
        </w:tc>
        <w:tc>
          <w:tcPr>
            <w:tcW w:w="1080" w:type="dxa"/>
            <w:tcBorders>
              <w:top w:val="nil"/>
              <w:left w:val="nil"/>
              <w:bottom w:val="nil"/>
              <w:right w:val="nil"/>
            </w:tcBorders>
            <w:noWrap/>
            <w:vAlign w:val="center"/>
          </w:tcPr>
          <w:p w:rsidR="008F10E0" w:rsidRDefault="008F10E0">
            <w:pPr>
              <w:widowControl/>
              <w:jc w:val="left"/>
              <w:rPr>
                <w:rFonts w:ascii="宋体" w:hAnsi="宋体" w:cs="宋体"/>
                <w:kern w:val="0"/>
                <w:sz w:val="24"/>
                <w:szCs w:val="24"/>
              </w:rPr>
            </w:pPr>
          </w:p>
        </w:tc>
        <w:tc>
          <w:tcPr>
            <w:tcW w:w="480" w:type="dxa"/>
            <w:tcBorders>
              <w:top w:val="nil"/>
              <w:left w:val="nil"/>
              <w:bottom w:val="nil"/>
              <w:right w:val="nil"/>
            </w:tcBorders>
            <w:noWrap/>
            <w:vAlign w:val="center"/>
          </w:tcPr>
          <w:p w:rsidR="008F10E0" w:rsidRDefault="008F10E0">
            <w:pPr>
              <w:widowControl/>
              <w:jc w:val="left"/>
              <w:rPr>
                <w:rFonts w:ascii="宋体" w:hAnsi="宋体" w:cs="宋体"/>
                <w:kern w:val="0"/>
                <w:sz w:val="24"/>
                <w:szCs w:val="24"/>
              </w:rPr>
            </w:pPr>
          </w:p>
        </w:tc>
        <w:tc>
          <w:tcPr>
            <w:tcW w:w="2620" w:type="dxa"/>
            <w:tcBorders>
              <w:top w:val="nil"/>
              <w:left w:val="nil"/>
              <w:bottom w:val="nil"/>
              <w:right w:val="nil"/>
            </w:tcBorders>
            <w:noWrap/>
            <w:vAlign w:val="center"/>
          </w:tcPr>
          <w:p w:rsidR="008F10E0" w:rsidRDefault="008F10E0">
            <w:pPr>
              <w:widowControl/>
              <w:jc w:val="left"/>
              <w:rPr>
                <w:rFonts w:ascii="宋体" w:hAnsi="宋体" w:cs="宋体"/>
                <w:kern w:val="0"/>
                <w:sz w:val="24"/>
                <w:szCs w:val="24"/>
              </w:rPr>
            </w:pPr>
          </w:p>
        </w:tc>
        <w:tc>
          <w:tcPr>
            <w:tcW w:w="3180" w:type="dxa"/>
            <w:tcBorders>
              <w:top w:val="nil"/>
              <w:left w:val="nil"/>
              <w:bottom w:val="nil"/>
              <w:right w:val="nil"/>
            </w:tcBorders>
            <w:noWrap/>
            <w:vAlign w:val="center"/>
          </w:tcPr>
          <w:p w:rsidR="008F10E0" w:rsidRDefault="008F10E0">
            <w:pPr>
              <w:widowControl/>
              <w:jc w:val="left"/>
              <w:rPr>
                <w:rFonts w:ascii="宋体" w:hAnsi="宋体" w:cs="宋体"/>
                <w:kern w:val="0"/>
                <w:sz w:val="24"/>
                <w:szCs w:val="24"/>
              </w:rPr>
            </w:pPr>
          </w:p>
        </w:tc>
        <w:tc>
          <w:tcPr>
            <w:tcW w:w="460" w:type="dxa"/>
            <w:tcBorders>
              <w:top w:val="nil"/>
              <w:left w:val="nil"/>
              <w:bottom w:val="nil"/>
              <w:right w:val="nil"/>
            </w:tcBorders>
            <w:noWrap/>
            <w:vAlign w:val="center"/>
          </w:tcPr>
          <w:p w:rsidR="008F10E0" w:rsidRDefault="008F10E0">
            <w:pPr>
              <w:widowControl/>
              <w:jc w:val="left"/>
              <w:rPr>
                <w:rFonts w:ascii="宋体" w:hAnsi="宋体" w:cs="宋体"/>
                <w:kern w:val="0"/>
                <w:sz w:val="24"/>
                <w:szCs w:val="24"/>
              </w:rPr>
            </w:pPr>
          </w:p>
        </w:tc>
      </w:tr>
      <w:tr w:rsidR="008F10E0">
        <w:trPr>
          <w:trHeight w:val="675"/>
        </w:trPr>
        <w:tc>
          <w:tcPr>
            <w:tcW w:w="9880" w:type="dxa"/>
            <w:gridSpan w:val="9"/>
            <w:tcBorders>
              <w:top w:val="nil"/>
              <w:left w:val="nil"/>
              <w:bottom w:val="single" w:sz="4" w:space="0" w:color="auto"/>
              <w:right w:val="nil"/>
            </w:tcBorders>
            <w:noWrap/>
          </w:tcPr>
          <w:p w:rsidR="008F10E0" w:rsidRDefault="00F33E79">
            <w:pPr>
              <w:widowControl/>
              <w:jc w:val="center"/>
              <w:rPr>
                <w:rFonts w:ascii="方正小标宋_GBK" w:hAnsi="方正小标宋_GBK" w:cs="宋体"/>
                <w:b/>
                <w:bCs/>
                <w:kern w:val="0"/>
                <w:sz w:val="36"/>
                <w:szCs w:val="36"/>
              </w:rPr>
            </w:pPr>
            <w:r>
              <w:rPr>
                <w:rFonts w:ascii="方正小标宋_GBK" w:hAnsi="方正小标宋_GBK" w:cs="宋体"/>
                <w:b/>
                <w:bCs/>
                <w:kern w:val="0"/>
                <w:sz w:val="36"/>
                <w:szCs w:val="36"/>
              </w:rPr>
              <w:t>部门整体支出绩效评价指标表</w:t>
            </w:r>
          </w:p>
        </w:tc>
      </w:tr>
      <w:tr w:rsidR="008F10E0">
        <w:trPr>
          <w:trHeight w:val="285"/>
        </w:trPr>
        <w:tc>
          <w:tcPr>
            <w:tcW w:w="5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一级指标</w:t>
            </w:r>
          </w:p>
        </w:tc>
        <w:tc>
          <w:tcPr>
            <w:tcW w:w="46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分值</w:t>
            </w:r>
          </w:p>
        </w:tc>
        <w:tc>
          <w:tcPr>
            <w:tcW w:w="52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二级指标</w:t>
            </w:r>
          </w:p>
        </w:tc>
        <w:tc>
          <w:tcPr>
            <w:tcW w:w="50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分值</w:t>
            </w:r>
          </w:p>
        </w:tc>
        <w:tc>
          <w:tcPr>
            <w:tcW w:w="1080" w:type="dxa"/>
            <w:tcBorders>
              <w:top w:val="nil"/>
              <w:left w:val="nil"/>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三级</w:t>
            </w:r>
          </w:p>
        </w:tc>
        <w:tc>
          <w:tcPr>
            <w:tcW w:w="4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分值</w:t>
            </w:r>
          </w:p>
        </w:tc>
        <w:tc>
          <w:tcPr>
            <w:tcW w:w="262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评价标准</w:t>
            </w:r>
          </w:p>
        </w:tc>
        <w:tc>
          <w:tcPr>
            <w:tcW w:w="31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指标说明</w:t>
            </w:r>
          </w:p>
        </w:tc>
        <w:tc>
          <w:tcPr>
            <w:tcW w:w="460" w:type="dxa"/>
            <w:vMerge w:val="restart"/>
            <w:tcBorders>
              <w:top w:val="nil"/>
              <w:left w:val="single" w:sz="4" w:space="0" w:color="auto"/>
              <w:bottom w:val="single" w:sz="4" w:space="0" w:color="auto"/>
              <w:right w:val="single" w:sz="4" w:space="0" w:color="auto"/>
            </w:tcBorders>
            <w:vAlign w:val="center"/>
          </w:tcPr>
          <w:p w:rsidR="008F10E0" w:rsidRDefault="00F33E79">
            <w:pPr>
              <w:widowControl/>
              <w:jc w:val="center"/>
              <w:rPr>
                <w:rFonts w:ascii="仿宋_GB2312" w:eastAsia="仿宋_GB2312" w:hAnsi="宋体" w:cs="宋体"/>
                <w:kern w:val="0"/>
                <w:sz w:val="20"/>
              </w:rPr>
            </w:pPr>
            <w:r>
              <w:rPr>
                <w:rFonts w:ascii="仿宋_GB2312" w:eastAsia="仿宋_GB2312" w:hAnsi="宋体" w:cs="宋体" w:hint="eastAsia"/>
                <w:kern w:val="0"/>
                <w:sz w:val="20"/>
              </w:rPr>
              <w:t>得分</w:t>
            </w:r>
          </w:p>
        </w:tc>
      </w:tr>
      <w:tr w:rsidR="008F10E0">
        <w:trPr>
          <w:trHeight w:val="630"/>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tcBorders>
              <w:top w:val="nil"/>
              <w:left w:val="nil"/>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指标</w:t>
            </w:r>
          </w:p>
        </w:tc>
        <w:tc>
          <w:tcPr>
            <w:tcW w:w="4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26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31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r>
      <w:tr w:rsidR="008F10E0">
        <w:trPr>
          <w:trHeight w:val="1260"/>
        </w:trPr>
        <w:tc>
          <w:tcPr>
            <w:tcW w:w="5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投入</w:t>
            </w:r>
          </w:p>
        </w:tc>
        <w:tc>
          <w:tcPr>
            <w:tcW w:w="46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13</w:t>
            </w:r>
          </w:p>
        </w:tc>
        <w:tc>
          <w:tcPr>
            <w:tcW w:w="52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预算配置</w:t>
            </w:r>
          </w:p>
        </w:tc>
        <w:tc>
          <w:tcPr>
            <w:tcW w:w="50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13</w:t>
            </w:r>
          </w:p>
        </w:tc>
        <w:tc>
          <w:tcPr>
            <w:tcW w:w="10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在职人员控制率</w:t>
            </w:r>
          </w:p>
        </w:tc>
        <w:tc>
          <w:tcPr>
            <w:tcW w:w="4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5</w:t>
            </w:r>
          </w:p>
        </w:tc>
        <w:tc>
          <w:tcPr>
            <w:tcW w:w="2620" w:type="dxa"/>
            <w:vMerge w:val="restart"/>
            <w:tcBorders>
              <w:top w:val="nil"/>
              <w:left w:val="single" w:sz="4" w:space="0" w:color="auto"/>
              <w:bottom w:val="single" w:sz="4" w:space="0" w:color="auto"/>
              <w:right w:val="nil"/>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以100%为标准。在职人员控制率≦100%，计5分；每超过一个百分点扣0.5分，扣完为止。</w:t>
            </w:r>
          </w:p>
        </w:tc>
        <w:tc>
          <w:tcPr>
            <w:tcW w:w="3180" w:type="dxa"/>
            <w:tcBorders>
              <w:top w:val="single" w:sz="4" w:space="0" w:color="auto"/>
              <w:left w:val="single" w:sz="4" w:space="0" w:color="auto"/>
              <w:bottom w:val="nil"/>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在职人员控制率=（在职人员数/编制数）×100%，在职人员数：部门（单位）实际在职人数，以财政确定的部门决算编制口径为准。</w:t>
            </w:r>
          </w:p>
        </w:tc>
        <w:tc>
          <w:tcPr>
            <w:tcW w:w="460" w:type="dxa"/>
            <w:vMerge w:val="restart"/>
            <w:tcBorders>
              <w:top w:val="nil"/>
              <w:left w:val="nil"/>
              <w:bottom w:val="single" w:sz="4" w:space="0" w:color="auto"/>
              <w:right w:val="single" w:sz="4" w:space="0" w:color="auto"/>
            </w:tcBorders>
            <w:vAlign w:val="center"/>
          </w:tcPr>
          <w:p w:rsidR="008F10E0" w:rsidRDefault="00F33E79">
            <w:pPr>
              <w:widowControl/>
              <w:jc w:val="left"/>
              <w:rPr>
                <w:rFonts w:ascii="宋体" w:hAnsi="宋体" w:cs="宋体"/>
                <w:kern w:val="0"/>
                <w:sz w:val="24"/>
                <w:szCs w:val="24"/>
              </w:rPr>
            </w:pPr>
            <w:r>
              <w:rPr>
                <w:rFonts w:ascii="宋体" w:hAnsi="宋体" w:cs="宋体" w:hint="eastAsia"/>
                <w:kern w:val="0"/>
                <w:sz w:val="24"/>
                <w:szCs w:val="24"/>
              </w:rPr>
              <w:t>5</w:t>
            </w:r>
          </w:p>
        </w:tc>
      </w:tr>
      <w:tr w:rsidR="008F10E0">
        <w:trPr>
          <w:trHeight w:val="705"/>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2620" w:type="dxa"/>
            <w:vMerge/>
            <w:tcBorders>
              <w:top w:val="nil"/>
              <w:left w:val="single" w:sz="4" w:space="0" w:color="auto"/>
              <w:bottom w:val="single" w:sz="4" w:space="0" w:color="auto"/>
              <w:right w:val="nil"/>
            </w:tcBorders>
            <w:vAlign w:val="center"/>
          </w:tcPr>
          <w:p w:rsidR="008F10E0" w:rsidRPr="008548B9" w:rsidRDefault="008F10E0">
            <w:pPr>
              <w:widowControl/>
              <w:jc w:val="left"/>
              <w:rPr>
                <w:rFonts w:ascii="仿宋" w:eastAsia="仿宋" w:hAnsi="仿宋" w:cs="宋体"/>
                <w:kern w:val="0"/>
                <w:sz w:val="24"/>
                <w:szCs w:val="24"/>
              </w:rPr>
            </w:pPr>
          </w:p>
        </w:tc>
        <w:tc>
          <w:tcPr>
            <w:tcW w:w="3180" w:type="dxa"/>
            <w:tcBorders>
              <w:top w:val="nil"/>
              <w:left w:val="single" w:sz="4" w:space="0" w:color="auto"/>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编制数：机构编制部门核定批复的部门（单位）的人员编制数。</w:t>
            </w:r>
          </w:p>
        </w:tc>
        <w:tc>
          <w:tcPr>
            <w:tcW w:w="460" w:type="dxa"/>
            <w:vMerge/>
            <w:tcBorders>
              <w:top w:val="nil"/>
              <w:left w:val="nil"/>
              <w:bottom w:val="single" w:sz="4" w:space="0" w:color="auto"/>
              <w:right w:val="single" w:sz="4" w:space="0" w:color="auto"/>
            </w:tcBorders>
            <w:vAlign w:val="center"/>
          </w:tcPr>
          <w:p w:rsidR="008F10E0" w:rsidRDefault="008F10E0">
            <w:pPr>
              <w:widowControl/>
              <w:jc w:val="left"/>
              <w:rPr>
                <w:rFonts w:ascii="宋体" w:hAnsi="宋体" w:cs="宋体"/>
                <w:kern w:val="0"/>
                <w:sz w:val="24"/>
                <w:szCs w:val="24"/>
              </w:rPr>
            </w:pPr>
          </w:p>
        </w:tc>
      </w:tr>
      <w:tr w:rsidR="008F10E0">
        <w:trPr>
          <w:trHeight w:val="1110"/>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“三公经费”变动率</w:t>
            </w:r>
          </w:p>
        </w:tc>
        <w:tc>
          <w:tcPr>
            <w:tcW w:w="480" w:type="dxa"/>
            <w:tcBorders>
              <w:top w:val="nil"/>
              <w:left w:val="nil"/>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8</w:t>
            </w:r>
          </w:p>
        </w:tc>
        <w:tc>
          <w:tcPr>
            <w:tcW w:w="262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“三公经费”变动率≦0,计8分；“三公经费”＞0，每超过一个百分点扣0.8分，扣完为止。</w:t>
            </w:r>
          </w:p>
        </w:tc>
        <w:tc>
          <w:tcPr>
            <w:tcW w:w="31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“三公经费”变动率=[（本年度“三公经费”预算数-上年度“三公经费”预算数）/上年度“三公经费”预算数]×100%</w:t>
            </w:r>
          </w:p>
        </w:tc>
        <w:tc>
          <w:tcPr>
            <w:tcW w:w="460" w:type="dxa"/>
            <w:tcBorders>
              <w:top w:val="nil"/>
              <w:left w:val="nil"/>
              <w:bottom w:val="single" w:sz="4" w:space="0" w:color="auto"/>
              <w:right w:val="single" w:sz="4" w:space="0" w:color="auto"/>
            </w:tcBorders>
            <w:vAlign w:val="center"/>
          </w:tcPr>
          <w:p w:rsidR="008F10E0" w:rsidRDefault="00F33E79">
            <w:pPr>
              <w:widowControl/>
              <w:jc w:val="left"/>
              <w:rPr>
                <w:rFonts w:ascii="宋体" w:hAnsi="宋体" w:cs="宋体"/>
                <w:kern w:val="0"/>
                <w:sz w:val="24"/>
                <w:szCs w:val="24"/>
              </w:rPr>
            </w:pPr>
            <w:r>
              <w:rPr>
                <w:rFonts w:ascii="宋体" w:hAnsi="宋体" w:cs="宋体" w:hint="eastAsia"/>
                <w:kern w:val="0"/>
                <w:sz w:val="24"/>
                <w:szCs w:val="24"/>
              </w:rPr>
              <w:t>8</w:t>
            </w:r>
          </w:p>
        </w:tc>
      </w:tr>
      <w:tr w:rsidR="008F10E0">
        <w:trPr>
          <w:trHeight w:val="1005"/>
        </w:trPr>
        <w:tc>
          <w:tcPr>
            <w:tcW w:w="5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过                                                                                                                                       程</w:t>
            </w:r>
          </w:p>
        </w:tc>
        <w:tc>
          <w:tcPr>
            <w:tcW w:w="46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61</w:t>
            </w:r>
          </w:p>
        </w:tc>
        <w:tc>
          <w:tcPr>
            <w:tcW w:w="52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预算执行</w:t>
            </w:r>
          </w:p>
        </w:tc>
        <w:tc>
          <w:tcPr>
            <w:tcW w:w="50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20</w:t>
            </w:r>
          </w:p>
        </w:tc>
        <w:tc>
          <w:tcPr>
            <w:tcW w:w="10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预算完成率</w:t>
            </w:r>
          </w:p>
        </w:tc>
        <w:tc>
          <w:tcPr>
            <w:tcW w:w="480" w:type="dxa"/>
            <w:tcBorders>
              <w:top w:val="nil"/>
              <w:left w:val="nil"/>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5</w:t>
            </w:r>
          </w:p>
        </w:tc>
        <w:tc>
          <w:tcPr>
            <w:tcW w:w="262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100%计满分，每低于5%扣2分，扣完为止。</w:t>
            </w:r>
          </w:p>
        </w:tc>
        <w:tc>
          <w:tcPr>
            <w:tcW w:w="31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预算完成率=（上年结转+年初预算+本年追加预算-年末结余）/（上年结转+年初预算+本年追加预算）×100%。</w:t>
            </w:r>
          </w:p>
        </w:tc>
        <w:tc>
          <w:tcPr>
            <w:tcW w:w="460" w:type="dxa"/>
            <w:tcBorders>
              <w:top w:val="nil"/>
              <w:left w:val="nil"/>
              <w:bottom w:val="single" w:sz="4" w:space="0" w:color="auto"/>
              <w:right w:val="single" w:sz="4" w:space="0" w:color="auto"/>
            </w:tcBorders>
            <w:vAlign w:val="center"/>
          </w:tcPr>
          <w:p w:rsidR="008F10E0" w:rsidRDefault="00F33E79">
            <w:pPr>
              <w:widowControl/>
              <w:jc w:val="left"/>
              <w:rPr>
                <w:rFonts w:ascii="宋体" w:hAnsi="宋体" w:cs="宋体"/>
                <w:kern w:val="0"/>
                <w:sz w:val="24"/>
                <w:szCs w:val="24"/>
              </w:rPr>
            </w:pPr>
            <w:r>
              <w:rPr>
                <w:rFonts w:ascii="宋体" w:hAnsi="宋体" w:cs="宋体" w:hint="eastAsia"/>
                <w:kern w:val="0"/>
                <w:sz w:val="24"/>
                <w:szCs w:val="24"/>
              </w:rPr>
              <w:t>5</w:t>
            </w:r>
          </w:p>
        </w:tc>
      </w:tr>
      <w:tr w:rsidR="008F10E0">
        <w:trPr>
          <w:trHeight w:val="1350"/>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预算控制率</w:t>
            </w:r>
          </w:p>
        </w:tc>
        <w:tc>
          <w:tcPr>
            <w:tcW w:w="480" w:type="dxa"/>
            <w:tcBorders>
              <w:top w:val="nil"/>
              <w:left w:val="nil"/>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5</w:t>
            </w:r>
          </w:p>
        </w:tc>
        <w:tc>
          <w:tcPr>
            <w:tcW w:w="262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预算控制率=0，计5分；0-10%（含），计4分；10-20%（含），计3分；20-30%（含），计2分；大于30%不得分。</w:t>
            </w:r>
          </w:p>
        </w:tc>
        <w:tc>
          <w:tcPr>
            <w:tcW w:w="31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预算控制率=（本年追加预算/年初预算）×100%。</w:t>
            </w:r>
          </w:p>
        </w:tc>
        <w:tc>
          <w:tcPr>
            <w:tcW w:w="460" w:type="dxa"/>
            <w:tcBorders>
              <w:top w:val="nil"/>
              <w:left w:val="nil"/>
              <w:bottom w:val="single" w:sz="4" w:space="0" w:color="auto"/>
              <w:right w:val="single" w:sz="4" w:space="0" w:color="auto"/>
            </w:tcBorders>
            <w:vAlign w:val="center"/>
          </w:tcPr>
          <w:p w:rsidR="008F10E0" w:rsidRDefault="00F33E79">
            <w:pPr>
              <w:widowControl/>
              <w:jc w:val="left"/>
              <w:rPr>
                <w:rFonts w:ascii="宋体" w:hAnsi="宋体" w:cs="宋体"/>
                <w:kern w:val="0"/>
                <w:sz w:val="24"/>
                <w:szCs w:val="24"/>
              </w:rPr>
            </w:pPr>
            <w:r>
              <w:rPr>
                <w:rFonts w:ascii="宋体" w:hAnsi="宋体" w:cs="宋体" w:hint="eastAsia"/>
                <w:kern w:val="0"/>
                <w:sz w:val="24"/>
                <w:szCs w:val="24"/>
              </w:rPr>
              <w:t>0</w:t>
            </w:r>
          </w:p>
        </w:tc>
      </w:tr>
      <w:tr w:rsidR="008F10E0">
        <w:trPr>
          <w:trHeight w:val="645"/>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新建楼堂馆所面积控制率</w:t>
            </w:r>
          </w:p>
        </w:tc>
        <w:tc>
          <w:tcPr>
            <w:tcW w:w="4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5</w:t>
            </w:r>
          </w:p>
        </w:tc>
        <w:tc>
          <w:tcPr>
            <w:tcW w:w="262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100%以下（含）计满分，每超出5%扣2分，扣完为止。没有楼堂馆所项目的部门按满分计算。</w:t>
            </w:r>
          </w:p>
        </w:tc>
        <w:tc>
          <w:tcPr>
            <w:tcW w:w="31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楼堂馆所面积控制率=实际建设面积/批准建设面积×100% 。</w:t>
            </w:r>
          </w:p>
        </w:tc>
        <w:tc>
          <w:tcPr>
            <w:tcW w:w="460" w:type="dxa"/>
            <w:vMerge w:val="restart"/>
            <w:tcBorders>
              <w:top w:val="nil"/>
              <w:left w:val="single" w:sz="4" w:space="0" w:color="auto"/>
              <w:bottom w:val="single" w:sz="4" w:space="0" w:color="auto"/>
              <w:right w:val="single" w:sz="4" w:space="0" w:color="auto"/>
            </w:tcBorders>
            <w:vAlign w:val="center"/>
          </w:tcPr>
          <w:p w:rsidR="008F10E0" w:rsidRDefault="00F33E79">
            <w:pPr>
              <w:widowControl/>
              <w:jc w:val="left"/>
              <w:rPr>
                <w:rFonts w:ascii="宋体" w:hAnsi="宋体" w:cs="宋体"/>
                <w:kern w:val="0"/>
                <w:sz w:val="24"/>
                <w:szCs w:val="24"/>
              </w:rPr>
            </w:pPr>
            <w:r>
              <w:rPr>
                <w:rFonts w:ascii="宋体" w:hAnsi="宋体" w:cs="宋体" w:hint="eastAsia"/>
                <w:kern w:val="0"/>
                <w:sz w:val="24"/>
                <w:szCs w:val="24"/>
              </w:rPr>
              <w:t>5</w:t>
            </w:r>
          </w:p>
        </w:tc>
      </w:tr>
      <w:tr w:rsidR="008F10E0">
        <w:trPr>
          <w:trHeight w:val="495"/>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26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3180" w:type="dxa"/>
            <w:tcBorders>
              <w:top w:val="nil"/>
              <w:left w:val="nil"/>
              <w:bottom w:val="nil"/>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该指标以2018年完工的新建楼堂馆所为评价内容。</w:t>
            </w:r>
          </w:p>
        </w:tc>
        <w:tc>
          <w:tcPr>
            <w:tcW w:w="46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宋体" w:hAnsi="宋体" w:cs="宋体"/>
                <w:kern w:val="0"/>
                <w:sz w:val="24"/>
                <w:szCs w:val="24"/>
              </w:rPr>
            </w:pPr>
          </w:p>
        </w:tc>
      </w:tr>
      <w:tr w:rsidR="008F10E0">
        <w:trPr>
          <w:trHeight w:val="615"/>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新建楼堂馆所投资概算控制率</w:t>
            </w:r>
          </w:p>
        </w:tc>
        <w:tc>
          <w:tcPr>
            <w:tcW w:w="4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5</w:t>
            </w:r>
          </w:p>
        </w:tc>
        <w:tc>
          <w:tcPr>
            <w:tcW w:w="2620" w:type="dxa"/>
            <w:vMerge w:val="restart"/>
            <w:tcBorders>
              <w:top w:val="nil"/>
              <w:left w:val="single" w:sz="4" w:space="0" w:color="auto"/>
              <w:bottom w:val="single" w:sz="4" w:space="0" w:color="auto"/>
              <w:right w:val="nil"/>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100%以下（含）计满分，每超出5%扣2分，扣完为止。</w:t>
            </w:r>
          </w:p>
        </w:tc>
        <w:tc>
          <w:tcPr>
            <w:tcW w:w="3180" w:type="dxa"/>
            <w:tcBorders>
              <w:top w:val="single" w:sz="4" w:space="0" w:color="auto"/>
              <w:left w:val="single" w:sz="4" w:space="0" w:color="auto"/>
              <w:bottom w:val="nil"/>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楼堂馆所投资预算控制率=实际投资金额/批准投资金额×100% 。</w:t>
            </w:r>
          </w:p>
        </w:tc>
        <w:tc>
          <w:tcPr>
            <w:tcW w:w="460" w:type="dxa"/>
            <w:vMerge w:val="restart"/>
            <w:tcBorders>
              <w:top w:val="nil"/>
              <w:left w:val="nil"/>
              <w:bottom w:val="single" w:sz="4" w:space="0" w:color="auto"/>
              <w:right w:val="single" w:sz="4" w:space="0" w:color="auto"/>
            </w:tcBorders>
            <w:vAlign w:val="center"/>
          </w:tcPr>
          <w:p w:rsidR="008F10E0" w:rsidRDefault="00F33E79">
            <w:pPr>
              <w:widowControl/>
              <w:jc w:val="left"/>
              <w:rPr>
                <w:rFonts w:ascii="宋体" w:hAnsi="宋体" w:cs="宋体"/>
                <w:kern w:val="0"/>
                <w:sz w:val="24"/>
                <w:szCs w:val="24"/>
              </w:rPr>
            </w:pPr>
            <w:r>
              <w:rPr>
                <w:rFonts w:ascii="宋体" w:hAnsi="宋体" w:cs="宋体" w:hint="eastAsia"/>
                <w:kern w:val="0"/>
                <w:sz w:val="24"/>
                <w:szCs w:val="24"/>
              </w:rPr>
              <w:t>5</w:t>
            </w:r>
          </w:p>
        </w:tc>
      </w:tr>
      <w:tr w:rsidR="008F10E0">
        <w:trPr>
          <w:trHeight w:val="555"/>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2620" w:type="dxa"/>
            <w:vMerge/>
            <w:tcBorders>
              <w:top w:val="nil"/>
              <w:left w:val="single" w:sz="4" w:space="0" w:color="auto"/>
              <w:bottom w:val="single" w:sz="4" w:space="0" w:color="auto"/>
              <w:right w:val="nil"/>
            </w:tcBorders>
            <w:vAlign w:val="center"/>
          </w:tcPr>
          <w:p w:rsidR="008F10E0" w:rsidRPr="008548B9" w:rsidRDefault="008F10E0">
            <w:pPr>
              <w:widowControl/>
              <w:jc w:val="left"/>
              <w:rPr>
                <w:rFonts w:ascii="仿宋" w:eastAsia="仿宋" w:hAnsi="仿宋" w:cs="宋体"/>
                <w:kern w:val="0"/>
                <w:sz w:val="24"/>
                <w:szCs w:val="24"/>
              </w:rPr>
            </w:pPr>
          </w:p>
        </w:tc>
        <w:tc>
          <w:tcPr>
            <w:tcW w:w="3180" w:type="dxa"/>
            <w:tcBorders>
              <w:top w:val="nil"/>
              <w:left w:val="single" w:sz="4" w:space="0" w:color="auto"/>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该指标以2018年完工的新建楼堂馆所为评价内容。</w:t>
            </w:r>
          </w:p>
        </w:tc>
        <w:tc>
          <w:tcPr>
            <w:tcW w:w="460" w:type="dxa"/>
            <w:vMerge/>
            <w:tcBorders>
              <w:top w:val="nil"/>
              <w:left w:val="nil"/>
              <w:bottom w:val="single" w:sz="4" w:space="0" w:color="auto"/>
              <w:right w:val="single" w:sz="4" w:space="0" w:color="auto"/>
            </w:tcBorders>
            <w:vAlign w:val="center"/>
          </w:tcPr>
          <w:p w:rsidR="008F10E0" w:rsidRDefault="008F10E0">
            <w:pPr>
              <w:widowControl/>
              <w:jc w:val="left"/>
              <w:rPr>
                <w:rFonts w:ascii="宋体" w:hAnsi="宋体" w:cs="宋体"/>
                <w:kern w:val="0"/>
                <w:sz w:val="24"/>
                <w:szCs w:val="24"/>
              </w:rPr>
            </w:pPr>
          </w:p>
        </w:tc>
      </w:tr>
      <w:tr w:rsidR="008F10E0">
        <w:trPr>
          <w:trHeight w:val="720"/>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预算管理</w:t>
            </w:r>
          </w:p>
        </w:tc>
        <w:tc>
          <w:tcPr>
            <w:tcW w:w="50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41</w:t>
            </w:r>
          </w:p>
        </w:tc>
        <w:tc>
          <w:tcPr>
            <w:tcW w:w="10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公用经费控制率</w:t>
            </w:r>
          </w:p>
        </w:tc>
        <w:tc>
          <w:tcPr>
            <w:tcW w:w="480" w:type="dxa"/>
            <w:tcBorders>
              <w:top w:val="nil"/>
              <w:left w:val="nil"/>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8</w:t>
            </w:r>
          </w:p>
        </w:tc>
        <w:tc>
          <w:tcPr>
            <w:tcW w:w="262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100%以下（含）计满分，每超出1%扣1分，扣完为止。</w:t>
            </w:r>
          </w:p>
        </w:tc>
        <w:tc>
          <w:tcPr>
            <w:tcW w:w="31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公用经费控制率=（实际支出公用经费总额/预算安排公用经费总额）×100%。</w:t>
            </w:r>
          </w:p>
        </w:tc>
        <w:tc>
          <w:tcPr>
            <w:tcW w:w="460" w:type="dxa"/>
            <w:tcBorders>
              <w:top w:val="nil"/>
              <w:left w:val="nil"/>
              <w:bottom w:val="single" w:sz="4" w:space="0" w:color="auto"/>
              <w:right w:val="single" w:sz="4" w:space="0" w:color="auto"/>
            </w:tcBorders>
            <w:vAlign w:val="center"/>
          </w:tcPr>
          <w:p w:rsidR="008F10E0" w:rsidRDefault="00F33E79">
            <w:pPr>
              <w:widowControl/>
              <w:jc w:val="left"/>
              <w:rPr>
                <w:rFonts w:ascii="宋体" w:hAnsi="宋体" w:cs="宋体"/>
                <w:kern w:val="0"/>
                <w:sz w:val="24"/>
                <w:szCs w:val="24"/>
              </w:rPr>
            </w:pPr>
            <w:r>
              <w:rPr>
                <w:rFonts w:ascii="宋体" w:hAnsi="宋体" w:cs="宋体" w:hint="eastAsia"/>
                <w:kern w:val="0"/>
                <w:sz w:val="24"/>
                <w:szCs w:val="24"/>
              </w:rPr>
              <w:t>8</w:t>
            </w:r>
          </w:p>
        </w:tc>
      </w:tr>
      <w:tr w:rsidR="008F10E0">
        <w:trPr>
          <w:trHeight w:val="720"/>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“三公经费”控制率</w:t>
            </w:r>
          </w:p>
        </w:tc>
        <w:tc>
          <w:tcPr>
            <w:tcW w:w="480" w:type="dxa"/>
            <w:tcBorders>
              <w:top w:val="nil"/>
              <w:left w:val="nil"/>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8</w:t>
            </w:r>
          </w:p>
        </w:tc>
        <w:tc>
          <w:tcPr>
            <w:tcW w:w="262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100%以下（含）计满分，每超出1%扣1分，扣完为止。</w:t>
            </w:r>
          </w:p>
        </w:tc>
        <w:tc>
          <w:tcPr>
            <w:tcW w:w="31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“三公经费”控制率-（“三公经费”实际支出数/“三公经费”预算安排数）×100%。</w:t>
            </w:r>
          </w:p>
        </w:tc>
        <w:tc>
          <w:tcPr>
            <w:tcW w:w="460" w:type="dxa"/>
            <w:tcBorders>
              <w:top w:val="nil"/>
              <w:left w:val="nil"/>
              <w:bottom w:val="single" w:sz="4" w:space="0" w:color="auto"/>
              <w:right w:val="single" w:sz="4" w:space="0" w:color="auto"/>
            </w:tcBorders>
            <w:vAlign w:val="center"/>
          </w:tcPr>
          <w:p w:rsidR="008F10E0" w:rsidRDefault="00F33E79">
            <w:pPr>
              <w:widowControl/>
              <w:jc w:val="left"/>
              <w:rPr>
                <w:rFonts w:ascii="宋体" w:hAnsi="宋体" w:cs="宋体"/>
                <w:kern w:val="0"/>
                <w:sz w:val="24"/>
                <w:szCs w:val="24"/>
              </w:rPr>
            </w:pPr>
            <w:r>
              <w:rPr>
                <w:rFonts w:ascii="宋体" w:hAnsi="宋体" w:cs="宋体" w:hint="eastAsia"/>
                <w:kern w:val="0"/>
                <w:sz w:val="24"/>
                <w:szCs w:val="24"/>
              </w:rPr>
              <w:t>8</w:t>
            </w:r>
          </w:p>
        </w:tc>
      </w:tr>
      <w:tr w:rsidR="008F10E0">
        <w:trPr>
          <w:trHeight w:val="570"/>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政府采购执行率</w:t>
            </w:r>
          </w:p>
        </w:tc>
        <w:tc>
          <w:tcPr>
            <w:tcW w:w="480" w:type="dxa"/>
            <w:tcBorders>
              <w:top w:val="nil"/>
              <w:left w:val="nil"/>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6</w:t>
            </w:r>
          </w:p>
        </w:tc>
        <w:tc>
          <w:tcPr>
            <w:tcW w:w="262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100%计满分，每超过（降低）5%扣2分。扣完为止。</w:t>
            </w:r>
          </w:p>
        </w:tc>
        <w:tc>
          <w:tcPr>
            <w:tcW w:w="31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政府采购执行率=（实际政府采购金额/政府采购预算数）×100%</w:t>
            </w:r>
          </w:p>
        </w:tc>
        <w:tc>
          <w:tcPr>
            <w:tcW w:w="460" w:type="dxa"/>
            <w:tcBorders>
              <w:top w:val="nil"/>
              <w:left w:val="nil"/>
              <w:bottom w:val="single" w:sz="4" w:space="0" w:color="auto"/>
              <w:right w:val="single" w:sz="4" w:space="0" w:color="auto"/>
            </w:tcBorders>
            <w:vAlign w:val="center"/>
          </w:tcPr>
          <w:p w:rsidR="008F10E0" w:rsidRDefault="00F33E79">
            <w:pPr>
              <w:widowControl/>
              <w:jc w:val="left"/>
              <w:rPr>
                <w:rFonts w:ascii="宋体" w:hAnsi="宋体" w:cs="宋体"/>
                <w:kern w:val="0"/>
                <w:sz w:val="24"/>
                <w:szCs w:val="24"/>
              </w:rPr>
            </w:pPr>
            <w:r>
              <w:rPr>
                <w:rFonts w:ascii="宋体" w:hAnsi="宋体" w:cs="宋体" w:hint="eastAsia"/>
                <w:kern w:val="0"/>
                <w:sz w:val="24"/>
                <w:szCs w:val="24"/>
              </w:rPr>
              <w:t>6</w:t>
            </w:r>
          </w:p>
        </w:tc>
      </w:tr>
      <w:tr w:rsidR="008F10E0">
        <w:trPr>
          <w:trHeight w:val="780"/>
        </w:trPr>
        <w:tc>
          <w:tcPr>
            <w:tcW w:w="5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过                                                                                                                                       程</w:t>
            </w:r>
          </w:p>
        </w:tc>
        <w:tc>
          <w:tcPr>
            <w:tcW w:w="46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61</w:t>
            </w:r>
          </w:p>
        </w:tc>
        <w:tc>
          <w:tcPr>
            <w:tcW w:w="52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预算管理</w:t>
            </w: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管理制度健全性</w:t>
            </w:r>
          </w:p>
        </w:tc>
        <w:tc>
          <w:tcPr>
            <w:tcW w:w="480" w:type="dxa"/>
            <w:vMerge w:val="restart"/>
            <w:tcBorders>
              <w:top w:val="nil"/>
              <w:left w:val="single" w:sz="4" w:space="0" w:color="auto"/>
              <w:bottom w:val="single" w:sz="4" w:space="0" w:color="auto"/>
              <w:right w:val="nil"/>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8</w:t>
            </w:r>
          </w:p>
        </w:tc>
        <w:tc>
          <w:tcPr>
            <w:tcW w:w="2620" w:type="dxa"/>
            <w:tcBorders>
              <w:top w:val="nil"/>
              <w:left w:val="single" w:sz="4" w:space="0" w:color="auto"/>
              <w:bottom w:val="nil"/>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①有内部财务管理制度、会计核算制度等管理制度，2分；</w:t>
            </w:r>
          </w:p>
        </w:tc>
        <w:tc>
          <w:tcPr>
            <w:tcW w:w="3180" w:type="dxa"/>
            <w:vMerge w:val="restart"/>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 xml:space="preserve">　</w:t>
            </w:r>
          </w:p>
        </w:tc>
        <w:tc>
          <w:tcPr>
            <w:tcW w:w="460" w:type="dxa"/>
            <w:vMerge w:val="restart"/>
            <w:tcBorders>
              <w:top w:val="nil"/>
              <w:left w:val="single" w:sz="4" w:space="0" w:color="auto"/>
              <w:bottom w:val="single" w:sz="4" w:space="0" w:color="auto"/>
              <w:right w:val="single" w:sz="4" w:space="0" w:color="auto"/>
            </w:tcBorders>
            <w:vAlign w:val="center"/>
          </w:tcPr>
          <w:p w:rsidR="008F10E0" w:rsidRDefault="00F33E79">
            <w:pPr>
              <w:widowControl/>
              <w:jc w:val="left"/>
              <w:rPr>
                <w:rFonts w:ascii="宋体" w:hAnsi="宋体" w:cs="宋体"/>
                <w:kern w:val="0"/>
                <w:sz w:val="24"/>
                <w:szCs w:val="24"/>
              </w:rPr>
            </w:pPr>
            <w:r>
              <w:rPr>
                <w:rFonts w:ascii="宋体" w:hAnsi="宋体" w:cs="宋体" w:hint="eastAsia"/>
                <w:kern w:val="0"/>
                <w:sz w:val="24"/>
                <w:szCs w:val="24"/>
              </w:rPr>
              <w:t>8</w:t>
            </w:r>
          </w:p>
        </w:tc>
      </w:tr>
      <w:tr w:rsidR="008F10E0">
        <w:trPr>
          <w:trHeight w:val="585"/>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80" w:type="dxa"/>
            <w:vMerge/>
            <w:tcBorders>
              <w:top w:val="nil"/>
              <w:left w:val="single" w:sz="4" w:space="0" w:color="auto"/>
              <w:bottom w:val="single" w:sz="4" w:space="0" w:color="auto"/>
              <w:right w:val="nil"/>
            </w:tcBorders>
            <w:vAlign w:val="center"/>
          </w:tcPr>
          <w:p w:rsidR="008F10E0" w:rsidRPr="008548B9" w:rsidRDefault="008F10E0">
            <w:pPr>
              <w:widowControl/>
              <w:jc w:val="left"/>
              <w:rPr>
                <w:rFonts w:ascii="仿宋" w:eastAsia="仿宋" w:hAnsi="仿宋" w:cs="宋体"/>
                <w:kern w:val="0"/>
                <w:sz w:val="24"/>
                <w:szCs w:val="24"/>
              </w:rPr>
            </w:pPr>
          </w:p>
        </w:tc>
        <w:tc>
          <w:tcPr>
            <w:tcW w:w="2620" w:type="dxa"/>
            <w:tcBorders>
              <w:top w:val="nil"/>
              <w:left w:val="single" w:sz="4" w:space="0" w:color="auto"/>
              <w:bottom w:val="nil"/>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②有本部门厉行节约制度,2分；</w:t>
            </w:r>
          </w:p>
        </w:tc>
        <w:tc>
          <w:tcPr>
            <w:tcW w:w="3180" w:type="dxa"/>
            <w:vMerge/>
            <w:tcBorders>
              <w:top w:val="nil"/>
              <w:left w:val="nil"/>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宋体" w:hAnsi="宋体" w:cs="宋体"/>
                <w:kern w:val="0"/>
                <w:sz w:val="24"/>
                <w:szCs w:val="24"/>
              </w:rPr>
            </w:pPr>
          </w:p>
        </w:tc>
      </w:tr>
      <w:tr w:rsidR="008F10E0">
        <w:trPr>
          <w:trHeight w:val="1005"/>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80" w:type="dxa"/>
            <w:vMerge/>
            <w:tcBorders>
              <w:top w:val="nil"/>
              <w:left w:val="single" w:sz="4" w:space="0" w:color="auto"/>
              <w:bottom w:val="single" w:sz="4" w:space="0" w:color="auto"/>
              <w:right w:val="nil"/>
            </w:tcBorders>
            <w:vAlign w:val="center"/>
          </w:tcPr>
          <w:p w:rsidR="008F10E0" w:rsidRPr="008548B9" w:rsidRDefault="008F10E0">
            <w:pPr>
              <w:widowControl/>
              <w:jc w:val="left"/>
              <w:rPr>
                <w:rFonts w:ascii="仿宋" w:eastAsia="仿宋" w:hAnsi="仿宋" w:cs="宋体"/>
                <w:kern w:val="0"/>
                <w:sz w:val="24"/>
                <w:szCs w:val="24"/>
              </w:rPr>
            </w:pPr>
          </w:p>
        </w:tc>
        <w:tc>
          <w:tcPr>
            <w:tcW w:w="2620" w:type="dxa"/>
            <w:tcBorders>
              <w:top w:val="nil"/>
              <w:left w:val="single" w:sz="4" w:space="0" w:color="auto"/>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③相关管理制度合法、合规、完整，2分；④相关管理制度得到有效执行，2分。</w:t>
            </w:r>
          </w:p>
        </w:tc>
        <w:tc>
          <w:tcPr>
            <w:tcW w:w="3180" w:type="dxa"/>
            <w:vMerge/>
            <w:tcBorders>
              <w:top w:val="nil"/>
              <w:left w:val="nil"/>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宋体" w:hAnsi="宋体" w:cs="宋体"/>
                <w:kern w:val="0"/>
                <w:sz w:val="24"/>
                <w:szCs w:val="24"/>
              </w:rPr>
            </w:pPr>
          </w:p>
        </w:tc>
      </w:tr>
      <w:tr w:rsidR="008F10E0">
        <w:trPr>
          <w:trHeight w:val="2505"/>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资金使用合规性</w:t>
            </w:r>
          </w:p>
        </w:tc>
        <w:tc>
          <w:tcPr>
            <w:tcW w:w="4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6</w:t>
            </w:r>
          </w:p>
        </w:tc>
        <w:tc>
          <w:tcPr>
            <w:tcW w:w="262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31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 xml:space="preserve">　</w:t>
            </w:r>
          </w:p>
        </w:tc>
        <w:tc>
          <w:tcPr>
            <w:tcW w:w="460" w:type="dxa"/>
            <w:vMerge w:val="restart"/>
            <w:tcBorders>
              <w:top w:val="nil"/>
              <w:left w:val="single" w:sz="4" w:space="0" w:color="auto"/>
              <w:bottom w:val="single" w:sz="4" w:space="0" w:color="auto"/>
              <w:right w:val="single" w:sz="4" w:space="0" w:color="auto"/>
            </w:tcBorders>
            <w:vAlign w:val="center"/>
          </w:tcPr>
          <w:p w:rsidR="008F10E0" w:rsidRDefault="00F33E79">
            <w:pPr>
              <w:widowControl/>
              <w:jc w:val="left"/>
              <w:rPr>
                <w:rFonts w:ascii="宋体" w:hAnsi="宋体" w:cs="宋体"/>
                <w:kern w:val="0"/>
                <w:sz w:val="24"/>
                <w:szCs w:val="24"/>
              </w:rPr>
            </w:pPr>
            <w:r>
              <w:rPr>
                <w:rFonts w:ascii="宋体" w:hAnsi="宋体" w:cs="宋体" w:hint="eastAsia"/>
                <w:kern w:val="0"/>
                <w:sz w:val="24"/>
                <w:szCs w:val="24"/>
              </w:rPr>
              <w:t>6</w:t>
            </w:r>
          </w:p>
        </w:tc>
      </w:tr>
      <w:tr w:rsidR="008F10E0">
        <w:trPr>
          <w:trHeight w:val="810"/>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262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以上情况每出现一例不符合要求的扣1分，扣完为止。</w:t>
            </w:r>
          </w:p>
        </w:tc>
        <w:tc>
          <w:tcPr>
            <w:tcW w:w="31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宋体" w:hAnsi="宋体" w:cs="宋体"/>
                <w:kern w:val="0"/>
                <w:sz w:val="24"/>
                <w:szCs w:val="24"/>
              </w:rPr>
            </w:pPr>
          </w:p>
        </w:tc>
      </w:tr>
      <w:tr w:rsidR="008F10E0">
        <w:trPr>
          <w:trHeight w:val="2205"/>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预决算信息公开性</w:t>
            </w:r>
          </w:p>
        </w:tc>
        <w:tc>
          <w:tcPr>
            <w:tcW w:w="480" w:type="dxa"/>
            <w:tcBorders>
              <w:top w:val="nil"/>
              <w:left w:val="nil"/>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5</w:t>
            </w:r>
          </w:p>
        </w:tc>
        <w:tc>
          <w:tcPr>
            <w:tcW w:w="262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1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预决算信息是指与部门预算、执行、决算、监督、绩效等管理相关的信息。</w:t>
            </w:r>
          </w:p>
        </w:tc>
        <w:tc>
          <w:tcPr>
            <w:tcW w:w="460" w:type="dxa"/>
            <w:tcBorders>
              <w:top w:val="nil"/>
              <w:left w:val="nil"/>
              <w:bottom w:val="single" w:sz="4" w:space="0" w:color="auto"/>
              <w:right w:val="single" w:sz="4" w:space="0" w:color="auto"/>
            </w:tcBorders>
            <w:vAlign w:val="center"/>
          </w:tcPr>
          <w:p w:rsidR="008F10E0" w:rsidRDefault="00F33E79">
            <w:pPr>
              <w:widowControl/>
              <w:jc w:val="left"/>
              <w:rPr>
                <w:rFonts w:ascii="宋体" w:hAnsi="宋体" w:cs="宋体"/>
                <w:kern w:val="0"/>
                <w:sz w:val="24"/>
                <w:szCs w:val="24"/>
              </w:rPr>
            </w:pPr>
            <w:r>
              <w:rPr>
                <w:rFonts w:ascii="宋体" w:hAnsi="宋体" w:cs="宋体" w:hint="eastAsia"/>
                <w:kern w:val="0"/>
                <w:sz w:val="24"/>
                <w:szCs w:val="24"/>
              </w:rPr>
              <w:t>5</w:t>
            </w:r>
          </w:p>
        </w:tc>
      </w:tr>
      <w:tr w:rsidR="008F10E0">
        <w:trPr>
          <w:trHeight w:val="1170"/>
        </w:trPr>
        <w:tc>
          <w:tcPr>
            <w:tcW w:w="5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lastRenderedPageBreak/>
              <w:t>产出及效率</w:t>
            </w:r>
          </w:p>
        </w:tc>
        <w:tc>
          <w:tcPr>
            <w:tcW w:w="46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26</w:t>
            </w:r>
          </w:p>
        </w:tc>
        <w:tc>
          <w:tcPr>
            <w:tcW w:w="520" w:type="dxa"/>
            <w:tcBorders>
              <w:top w:val="nil"/>
              <w:left w:val="nil"/>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职责履行</w:t>
            </w:r>
          </w:p>
        </w:tc>
        <w:tc>
          <w:tcPr>
            <w:tcW w:w="500" w:type="dxa"/>
            <w:tcBorders>
              <w:top w:val="nil"/>
              <w:left w:val="nil"/>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8</w:t>
            </w:r>
          </w:p>
        </w:tc>
        <w:tc>
          <w:tcPr>
            <w:tcW w:w="10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重点工作实际完成率</w:t>
            </w:r>
          </w:p>
        </w:tc>
        <w:tc>
          <w:tcPr>
            <w:tcW w:w="480" w:type="dxa"/>
            <w:tcBorders>
              <w:top w:val="nil"/>
              <w:left w:val="nil"/>
              <w:bottom w:val="single" w:sz="4" w:space="0" w:color="auto"/>
              <w:right w:val="nil"/>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8</w:t>
            </w:r>
          </w:p>
        </w:tc>
        <w:tc>
          <w:tcPr>
            <w:tcW w:w="2620" w:type="dxa"/>
            <w:tcBorders>
              <w:top w:val="nil"/>
              <w:left w:val="single" w:sz="4" w:space="0" w:color="auto"/>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根据绩效办2018年对各部门重点民生实事和部门重点工程与重点工作考核分数折算。</w:t>
            </w:r>
          </w:p>
        </w:tc>
        <w:tc>
          <w:tcPr>
            <w:tcW w:w="31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 xml:space="preserve">　</w:t>
            </w:r>
          </w:p>
        </w:tc>
        <w:tc>
          <w:tcPr>
            <w:tcW w:w="460" w:type="dxa"/>
            <w:tcBorders>
              <w:top w:val="nil"/>
              <w:left w:val="nil"/>
              <w:bottom w:val="single" w:sz="4" w:space="0" w:color="auto"/>
              <w:right w:val="single" w:sz="4" w:space="0" w:color="auto"/>
            </w:tcBorders>
            <w:vAlign w:val="center"/>
          </w:tcPr>
          <w:p w:rsidR="008F10E0" w:rsidRDefault="00F33E79">
            <w:pPr>
              <w:widowControl/>
              <w:jc w:val="left"/>
              <w:rPr>
                <w:rFonts w:ascii="宋体" w:hAnsi="宋体" w:cs="宋体"/>
                <w:kern w:val="0"/>
                <w:sz w:val="24"/>
                <w:szCs w:val="24"/>
              </w:rPr>
            </w:pPr>
            <w:r>
              <w:rPr>
                <w:rFonts w:ascii="宋体" w:hAnsi="宋体" w:cs="宋体" w:hint="eastAsia"/>
                <w:kern w:val="0"/>
                <w:sz w:val="24"/>
                <w:szCs w:val="24"/>
              </w:rPr>
              <w:t>8</w:t>
            </w:r>
          </w:p>
        </w:tc>
      </w:tr>
      <w:tr w:rsidR="008F10E0">
        <w:trPr>
          <w:trHeight w:val="750"/>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履职 效益</w:t>
            </w:r>
          </w:p>
        </w:tc>
        <w:tc>
          <w:tcPr>
            <w:tcW w:w="50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6</w:t>
            </w:r>
          </w:p>
        </w:tc>
        <w:tc>
          <w:tcPr>
            <w:tcW w:w="1080" w:type="dxa"/>
            <w:tcBorders>
              <w:top w:val="nil"/>
              <w:left w:val="nil"/>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经济效益</w:t>
            </w:r>
          </w:p>
        </w:tc>
        <w:tc>
          <w:tcPr>
            <w:tcW w:w="4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6</w:t>
            </w:r>
          </w:p>
        </w:tc>
        <w:tc>
          <w:tcPr>
            <w:tcW w:w="2620" w:type="dxa"/>
            <w:vMerge w:val="restart"/>
            <w:tcBorders>
              <w:top w:val="nil"/>
              <w:left w:val="single" w:sz="4" w:space="0" w:color="auto"/>
              <w:bottom w:val="single" w:sz="4" w:space="0" w:color="000000"/>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此两项指标为设置部门整体支出绩效评价指标时必须考虑的共性要素，可根据部门实际情况有选择的进行设置，并将其细化为相应的个性化指标。</w:t>
            </w:r>
          </w:p>
        </w:tc>
        <w:tc>
          <w:tcPr>
            <w:tcW w:w="31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 xml:space="preserve">　</w:t>
            </w:r>
          </w:p>
        </w:tc>
        <w:tc>
          <w:tcPr>
            <w:tcW w:w="460" w:type="dxa"/>
            <w:tcBorders>
              <w:top w:val="nil"/>
              <w:left w:val="nil"/>
              <w:bottom w:val="single" w:sz="4" w:space="0" w:color="auto"/>
              <w:right w:val="single" w:sz="4" w:space="0" w:color="auto"/>
            </w:tcBorders>
            <w:vAlign w:val="center"/>
          </w:tcPr>
          <w:p w:rsidR="008F10E0" w:rsidRDefault="00F33E79">
            <w:pPr>
              <w:widowControl/>
              <w:jc w:val="left"/>
              <w:rPr>
                <w:rFonts w:ascii="宋体" w:hAnsi="宋体" w:cs="宋体"/>
                <w:kern w:val="0"/>
                <w:sz w:val="24"/>
                <w:szCs w:val="24"/>
              </w:rPr>
            </w:pPr>
            <w:r>
              <w:rPr>
                <w:rFonts w:ascii="宋体" w:hAnsi="宋体" w:cs="宋体" w:hint="eastAsia"/>
                <w:kern w:val="0"/>
                <w:sz w:val="24"/>
                <w:szCs w:val="24"/>
              </w:rPr>
              <w:t>3</w:t>
            </w:r>
          </w:p>
        </w:tc>
      </w:tr>
      <w:tr w:rsidR="008F10E0">
        <w:trPr>
          <w:trHeight w:val="795"/>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tcBorders>
              <w:top w:val="nil"/>
              <w:left w:val="nil"/>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社会效益</w:t>
            </w:r>
          </w:p>
        </w:tc>
        <w:tc>
          <w:tcPr>
            <w:tcW w:w="4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2620" w:type="dxa"/>
            <w:vMerge/>
            <w:tcBorders>
              <w:top w:val="nil"/>
              <w:left w:val="single" w:sz="4" w:space="0" w:color="auto"/>
              <w:bottom w:val="single" w:sz="4" w:space="0" w:color="000000"/>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31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 xml:space="preserve">　</w:t>
            </w:r>
          </w:p>
        </w:tc>
        <w:tc>
          <w:tcPr>
            <w:tcW w:w="460" w:type="dxa"/>
            <w:tcBorders>
              <w:top w:val="nil"/>
              <w:left w:val="nil"/>
              <w:bottom w:val="single" w:sz="4" w:space="0" w:color="auto"/>
              <w:right w:val="single" w:sz="4" w:space="0" w:color="auto"/>
            </w:tcBorders>
            <w:vAlign w:val="center"/>
          </w:tcPr>
          <w:p w:rsidR="008F10E0" w:rsidRDefault="00F33E79">
            <w:pPr>
              <w:widowControl/>
              <w:jc w:val="left"/>
              <w:rPr>
                <w:rFonts w:ascii="宋体" w:hAnsi="宋体" w:cs="宋体"/>
                <w:kern w:val="0"/>
                <w:sz w:val="24"/>
                <w:szCs w:val="24"/>
              </w:rPr>
            </w:pPr>
            <w:r>
              <w:rPr>
                <w:rFonts w:ascii="宋体" w:hAnsi="宋体" w:cs="宋体" w:hint="eastAsia"/>
                <w:kern w:val="0"/>
                <w:sz w:val="24"/>
                <w:szCs w:val="24"/>
              </w:rPr>
              <w:t>3</w:t>
            </w:r>
          </w:p>
        </w:tc>
      </w:tr>
      <w:tr w:rsidR="008F10E0">
        <w:trPr>
          <w:trHeight w:val="1560"/>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12</w:t>
            </w:r>
          </w:p>
        </w:tc>
        <w:tc>
          <w:tcPr>
            <w:tcW w:w="10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行政效能</w:t>
            </w:r>
          </w:p>
        </w:tc>
        <w:tc>
          <w:tcPr>
            <w:tcW w:w="480" w:type="dxa"/>
            <w:tcBorders>
              <w:top w:val="nil"/>
              <w:left w:val="nil"/>
              <w:bottom w:val="single" w:sz="4" w:space="0" w:color="auto"/>
              <w:right w:val="single" w:sz="4" w:space="0" w:color="auto"/>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6</w:t>
            </w:r>
          </w:p>
        </w:tc>
        <w:tc>
          <w:tcPr>
            <w:tcW w:w="2620" w:type="dxa"/>
            <w:tcBorders>
              <w:top w:val="nil"/>
              <w:left w:val="nil"/>
              <w:bottom w:val="nil"/>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促进部门改进文风会风，加强经费及资产管理，推动网上办事，提高行政效率，降低行政成本效果较好的计6分；一般3分；无效果或者效果不明显0分。</w:t>
            </w:r>
          </w:p>
        </w:tc>
        <w:tc>
          <w:tcPr>
            <w:tcW w:w="3180" w:type="dxa"/>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根据部门自评材料评定。</w:t>
            </w:r>
          </w:p>
        </w:tc>
        <w:tc>
          <w:tcPr>
            <w:tcW w:w="460" w:type="dxa"/>
            <w:tcBorders>
              <w:top w:val="nil"/>
              <w:left w:val="nil"/>
              <w:bottom w:val="single" w:sz="4" w:space="0" w:color="auto"/>
              <w:right w:val="single" w:sz="4" w:space="0" w:color="auto"/>
            </w:tcBorders>
            <w:vAlign w:val="center"/>
          </w:tcPr>
          <w:p w:rsidR="008F10E0" w:rsidRDefault="00F33E79">
            <w:pPr>
              <w:widowControl/>
              <w:jc w:val="left"/>
              <w:rPr>
                <w:rFonts w:ascii="宋体" w:hAnsi="宋体" w:cs="宋体"/>
                <w:kern w:val="0"/>
                <w:sz w:val="24"/>
                <w:szCs w:val="24"/>
              </w:rPr>
            </w:pPr>
            <w:r>
              <w:rPr>
                <w:rFonts w:ascii="宋体" w:hAnsi="宋体" w:cs="宋体" w:hint="eastAsia"/>
                <w:kern w:val="0"/>
                <w:sz w:val="24"/>
                <w:szCs w:val="24"/>
              </w:rPr>
              <w:t>6</w:t>
            </w:r>
          </w:p>
        </w:tc>
      </w:tr>
      <w:tr w:rsidR="008F10E0">
        <w:trPr>
          <w:trHeight w:val="495"/>
        </w:trPr>
        <w:tc>
          <w:tcPr>
            <w:tcW w:w="58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2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500" w:type="dxa"/>
            <w:vMerge/>
            <w:tcBorders>
              <w:top w:val="nil"/>
              <w:left w:val="single" w:sz="4" w:space="0" w:color="auto"/>
              <w:bottom w:val="single" w:sz="4" w:space="0" w:color="auto"/>
              <w:right w:val="single" w:sz="4" w:space="0" w:color="auto"/>
            </w:tcBorders>
            <w:vAlign w:val="center"/>
          </w:tcPr>
          <w:p w:rsidR="008F10E0" w:rsidRPr="008548B9" w:rsidRDefault="008F10E0">
            <w:pPr>
              <w:widowControl/>
              <w:jc w:val="left"/>
              <w:rPr>
                <w:rFonts w:ascii="仿宋" w:eastAsia="仿宋" w:hAnsi="仿宋" w:cs="宋体"/>
                <w:kern w:val="0"/>
                <w:sz w:val="24"/>
                <w:szCs w:val="24"/>
              </w:rPr>
            </w:pPr>
          </w:p>
        </w:tc>
        <w:tc>
          <w:tcPr>
            <w:tcW w:w="1080" w:type="dxa"/>
            <w:vMerge w:val="restart"/>
            <w:tcBorders>
              <w:top w:val="nil"/>
              <w:left w:val="single" w:sz="4" w:space="0" w:color="auto"/>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社会公众或服务对象满意度</w:t>
            </w:r>
          </w:p>
        </w:tc>
        <w:tc>
          <w:tcPr>
            <w:tcW w:w="480" w:type="dxa"/>
            <w:vMerge w:val="restart"/>
            <w:tcBorders>
              <w:top w:val="nil"/>
              <w:left w:val="single" w:sz="4" w:space="0" w:color="auto"/>
              <w:bottom w:val="single" w:sz="4" w:space="0" w:color="auto"/>
              <w:right w:val="nil"/>
            </w:tcBorders>
            <w:vAlign w:val="center"/>
          </w:tcPr>
          <w:p w:rsidR="008F10E0" w:rsidRPr="008548B9" w:rsidRDefault="00F33E79">
            <w:pPr>
              <w:widowControl/>
              <w:jc w:val="center"/>
              <w:rPr>
                <w:rFonts w:ascii="仿宋" w:eastAsia="仿宋" w:hAnsi="仿宋" w:cs="宋体"/>
                <w:kern w:val="0"/>
                <w:sz w:val="24"/>
                <w:szCs w:val="24"/>
              </w:rPr>
            </w:pPr>
            <w:r w:rsidRPr="008548B9">
              <w:rPr>
                <w:rFonts w:ascii="仿宋" w:eastAsia="仿宋" w:hAnsi="仿宋" w:cs="宋体" w:hint="eastAsia"/>
                <w:kern w:val="0"/>
                <w:sz w:val="24"/>
                <w:szCs w:val="24"/>
              </w:rPr>
              <w:t>6</w:t>
            </w:r>
          </w:p>
        </w:tc>
        <w:tc>
          <w:tcPr>
            <w:tcW w:w="2620" w:type="dxa"/>
            <w:tcBorders>
              <w:top w:val="single" w:sz="4" w:space="0" w:color="auto"/>
              <w:left w:val="single" w:sz="4" w:space="0" w:color="auto"/>
              <w:bottom w:val="nil"/>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90%（含）以上计6分；</w:t>
            </w:r>
          </w:p>
        </w:tc>
        <w:tc>
          <w:tcPr>
            <w:tcW w:w="3180" w:type="dxa"/>
            <w:vMerge w:val="restart"/>
            <w:tcBorders>
              <w:top w:val="nil"/>
              <w:left w:val="nil"/>
              <w:bottom w:val="single" w:sz="4" w:space="0" w:color="auto"/>
              <w:right w:val="single" w:sz="4" w:space="0" w:color="auto"/>
            </w:tcBorders>
            <w:vAlign w:val="center"/>
          </w:tcPr>
          <w:p w:rsidR="008F10E0" w:rsidRPr="008548B9" w:rsidRDefault="00F33E79">
            <w:pPr>
              <w:widowControl/>
              <w:jc w:val="left"/>
              <w:rPr>
                <w:rFonts w:ascii="仿宋" w:eastAsia="仿宋" w:hAnsi="仿宋" w:cs="宋体"/>
                <w:kern w:val="0"/>
                <w:sz w:val="24"/>
                <w:szCs w:val="24"/>
              </w:rPr>
            </w:pPr>
            <w:r w:rsidRPr="008548B9">
              <w:rPr>
                <w:rFonts w:ascii="仿宋" w:eastAsia="仿宋" w:hAnsi="仿宋" w:cs="宋体" w:hint="eastAsia"/>
                <w:kern w:val="0"/>
                <w:sz w:val="24"/>
                <w:szCs w:val="24"/>
              </w:rPr>
              <w:t>社会公众或服务对象是指部门（单位）履行职责而影响到的部门、群体或个人，一般采取社会调查的方式。</w:t>
            </w:r>
          </w:p>
        </w:tc>
        <w:tc>
          <w:tcPr>
            <w:tcW w:w="460" w:type="dxa"/>
            <w:vMerge w:val="restart"/>
            <w:tcBorders>
              <w:top w:val="nil"/>
              <w:left w:val="single" w:sz="4" w:space="0" w:color="auto"/>
              <w:bottom w:val="single" w:sz="4" w:space="0" w:color="auto"/>
              <w:right w:val="single" w:sz="4" w:space="0" w:color="auto"/>
            </w:tcBorders>
            <w:vAlign w:val="center"/>
          </w:tcPr>
          <w:p w:rsidR="008F10E0" w:rsidRDefault="00F33E79">
            <w:pPr>
              <w:widowControl/>
              <w:jc w:val="left"/>
              <w:rPr>
                <w:rFonts w:ascii="宋体" w:hAnsi="宋体" w:cs="宋体"/>
                <w:kern w:val="0"/>
                <w:sz w:val="24"/>
                <w:szCs w:val="24"/>
              </w:rPr>
            </w:pPr>
            <w:r>
              <w:rPr>
                <w:rFonts w:ascii="宋体" w:hAnsi="宋体" w:cs="宋体" w:hint="eastAsia"/>
                <w:kern w:val="0"/>
                <w:sz w:val="24"/>
                <w:szCs w:val="24"/>
              </w:rPr>
              <w:t>6</w:t>
            </w:r>
          </w:p>
        </w:tc>
      </w:tr>
      <w:tr w:rsidR="008F10E0">
        <w:trPr>
          <w:trHeight w:val="435"/>
        </w:trPr>
        <w:tc>
          <w:tcPr>
            <w:tcW w:w="58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vAlign w:val="center"/>
          </w:tcPr>
          <w:p w:rsidR="008F10E0" w:rsidRDefault="008F10E0">
            <w:pPr>
              <w:widowControl/>
              <w:jc w:val="left"/>
              <w:rPr>
                <w:rFonts w:ascii="仿宋_GB2312" w:eastAsia="仿宋_GB2312" w:hAnsi="宋体" w:cs="宋体"/>
                <w:kern w:val="0"/>
                <w:sz w:val="20"/>
              </w:rPr>
            </w:pPr>
          </w:p>
        </w:tc>
        <w:tc>
          <w:tcPr>
            <w:tcW w:w="2620" w:type="dxa"/>
            <w:tcBorders>
              <w:top w:val="nil"/>
              <w:left w:val="single" w:sz="4" w:space="0" w:color="auto"/>
              <w:bottom w:val="nil"/>
              <w:right w:val="single" w:sz="4" w:space="0" w:color="auto"/>
            </w:tcBorders>
            <w:vAlign w:val="center"/>
          </w:tcPr>
          <w:p w:rsidR="008F10E0" w:rsidRDefault="00F33E79">
            <w:pPr>
              <w:widowControl/>
              <w:jc w:val="left"/>
              <w:rPr>
                <w:rFonts w:ascii="仿宋_GB2312" w:eastAsia="仿宋_GB2312" w:hAnsi="宋体" w:cs="宋体"/>
                <w:kern w:val="0"/>
                <w:sz w:val="20"/>
              </w:rPr>
            </w:pPr>
            <w:r>
              <w:rPr>
                <w:rFonts w:ascii="仿宋_GB2312" w:eastAsia="仿宋_GB2312" w:hAnsi="宋体" w:cs="宋体" w:hint="eastAsia"/>
                <w:kern w:val="0"/>
                <w:sz w:val="20"/>
              </w:rPr>
              <w:t>80%（含）-90%，计4分；</w:t>
            </w:r>
          </w:p>
        </w:tc>
        <w:tc>
          <w:tcPr>
            <w:tcW w:w="3180" w:type="dxa"/>
            <w:vMerge/>
            <w:tcBorders>
              <w:top w:val="nil"/>
              <w:left w:val="nil"/>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宋体" w:hAnsi="宋体" w:cs="宋体"/>
                <w:kern w:val="0"/>
                <w:sz w:val="24"/>
                <w:szCs w:val="24"/>
              </w:rPr>
            </w:pPr>
          </w:p>
        </w:tc>
      </w:tr>
      <w:tr w:rsidR="008F10E0">
        <w:trPr>
          <w:trHeight w:val="480"/>
        </w:trPr>
        <w:tc>
          <w:tcPr>
            <w:tcW w:w="58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vAlign w:val="center"/>
          </w:tcPr>
          <w:p w:rsidR="008F10E0" w:rsidRDefault="008F10E0">
            <w:pPr>
              <w:widowControl/>
              <w:jc w:val="left"/>
              <w:rPr>
                <w:rFonts w:ascii="仿宋_GB2312" w:eastAsia="仿宋_GB2312" w:hAnsi="宋体" w:cs="宋体"/>
                <w:kern w:val="0"/>
                <w:sz w:val="20"/>
              </w:rPr>
            </w:pPr>
          </w:p>
        </w:tc>
        <w:tc>
          <w:tcPr>
            <w:tcW w:w="2620" w:type="dxa"/>
            <w:tcBorders>
              <w:top w:val="nil"/>
              <w:left w:val="single" w:sz="4" w:space="0" w:color="auto"/>
              <w:bottom w:val="nil"/>
              <w:right w:val="single" w:sz="4" w:space="0" w:color="auto"/>
            </w:tcBorders>
            <w:vAlign w:val="center"/>
          </w:tcPr>
          <w:p w:rsidR="008F10E0" w:rsidRDefault="00F33E79">
            <w:pPr>
              <w:widowControl/>
              <w:jc w:val="left"/>
              <w:rPr>
                <w:rFonts w:ascii="仿宋_GB2312" w:eastAsia="仿宋_GB2312" w:hAnsi="宋体" w:cs="宋体"/>
                <w:kern w:val="0"/>
                <w:sz w:val="20"/>
              </w:rPr>
            </w:pPr>
            <w:r>
              <w:rPr>
                <w:rFonts w:ascii="仿宋_GB2312" w:eastAsia="仿宋_GB2312" w:hAnsi="宋体" w:cs="宋体" w:hint="eastAsia"/>
                <w:kern w:val="0"/>
                <w:sz w:val="20"/>
              </w:rPr>
              <w:t>70%（含）-80%，计2分；</w:t>
            </w:r>
          </w:p>
        </w:tc>
        <w:tc>
          <w:tcPr>
            <w:tcW w:w="3180" w:type="dxa"/>
            <w:vMerge/>
            <w:tcBorders>
              <w:top w:val="nil"/>
              <w:left w:val="nil"/>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宋体" w:hAnsi="宋体" w:cs="宋体"/>
                <w:kern w:val="0"/>
                <w:sz w:val="24"/>
                <w:szCs w:val="24"/>
              </w:rPr>
            </w:pPr>
          </w:p>
        </w:tc>
      </w:tr>
      <w:tr w:rsidR="008F10E0">
        <w:trPr>
          <w:trHeight w:val="285"/>
        </w:trPr>
        <w:tc>
          <w:tcPr>
            <w:tcW w:w="58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vAlign w:val="center"/>
          </w:tcPr>
          <w:p w:rsidR="008F10E0" w:rsidRDefault="008F10E0">
            <w:pPr>
              <w:widowControl/>
              <w:jc w:val="left"/>
              <w:rPr>
                <w:rFonts w:ascii="仿宋_GB2312" w:eastAsia="仿宋_GB2312" w:hAnsi="宋体" w:cs="宋体"/>
                <w:kern w:val="0"/>
                <w:sz w:val="20"/>
              </w:rPr>
            </w:pPr>
          </w:p>
        </w:tc>
        <w:tc>
          <w:tcPr>
            <w:tcW w:w="2620" w:type="dxa"/>
            <w:tcBorders>
              <w:top w:val="nil"/>
              <w:left w:val="single" w:sz="4" w:space="0" w:color="auto"/>
              <w:bottom w:val="single" w:sz="4" w:space="0" w:color="auto"/>
              <w:right w:val="single" w:sz="4" w:space="0" w:color="auto"/>
            </w:tcBorders>
            <w:vAlign w:val="center"/>
          </w:tcPr>
          <w:p w:rsidR="008F10E0" w:rsidRDefault="00F33E79">
            <w:pPr>
              <w:widowControl/>
              <w:jc w:val="left"/>
              <w:rPr>
                <w:rFonts w:ascii="仿宋_GB2312" w:eastAsia="仿宋_GB2312" w:hAnsi="宋体" w:cs="宋体"/>
                <w:kern w:val="0"/>
                <w:sz w:val="20"/>
              </w:rPr>
            </w:pPr>
            <w:r>
              <w:rPr>
                <w:rFonts w:ascii="仿宋_GB2312" w:eastAsia="仿宋_GB2312" w:hAnsi="宋体" w:cs="宋体" w:hint="eastAsia"/>
                <w:kern w:val="0"/>
                <w:sz w:val="20"/>
              </w:rPr>
              <w:t>低于70%计0分。</w:t>
            </w:r>
          </w:p>
        </w:tc>
        <w:tc>
          <w:tcPr>
            <w:tcW w:w="3180" w:type="dxa"/>
            <w:vMerge/>
            <w:tcBorders>
              <w:top w:val="nil"/>
              <w:left w:val="nil"/>
              <w:bottom w:val="single" w:sz="4" w:space="0" w:color="auto"/>
              <w:right w:val="single" w:sz="4" w:space="0" w:color="auto"/>
            </w:tcBorders>
            <w:vAlign w:val="center"/>
          </w:tcPr>
          <w:p w:rsidR="008F10E0" w:rsidRDefault="008F10E0">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宋体" w:hAnsi="宋体" w:cs="宋体"/>
                <w:kern w:val="0"/>
                <w:sz w:val="24"/>
                <w:szCs w:val="24"/>
              </w:rPr>
            </w:pPr>
          </w:p>
        </w:tc>
      </w:tr>
    </w:tbl>
    <w:p w:rsidR="008F10E0" w:rsidRDefault="008F10E0">
      <w:pPr>
        <w:rPr>
          <w:b/>
        </w:rPr>
      </w:pPr>
    </w:p>
    <w:p w:rsidR="008F10E0" w:rsidRDefault="008F10E0">
      <w:pPr>
        <w:rPr>
          <w:b/>
        </w:rPr>
      </w:pPr>
    </w:p>
    <w:p w:rsidR="008F10E0" w:rsidRDefault="008F10E0">
      <w:pPr>
        <w:rPr>
          <w:b/>
        </w:rPr>
      </w:pPr>
    </w:p>
    <w:p w:rsidR="008F10E0" w:rsidRDefault="008F10E0" w:rsidP="001B1C6D">
      <w:pPr>
        <w:pStyle w:val="2"/>
        <w:ind w:firstLine="422"/>
        <w:rPr>
          <w:b/>
        </w:rPr>
      </w:pPr>
    </w:p>
    <w:p w:rsidR="008F10E0" w:rsidRDefault="008F10E0" w:rsidP="001B1C6D">
      <w:pPr>
        <w:pStyle w:val="2"/>
        <w:ind w:firstLine="422"/>
        <w:rPr>
          <w:b/>
        </w:rPr>
      </w:pPr>
    </w:p>
    <w:p w:rsidR="008F10E0" w:rsidRDefault="008F10E0" w:rsidP="001B1C6D">
      <w:pPr>
        <w:pStyle w:val="2"/>
        <w:ind w:firstLine="422"/>
        <w:rPr>
          <w:b/>
        </w:rPr>
      </w:pPr>
    </w:p>
    <w:p w:rsidR="008F10E0" w:rsidRDefault="008F10E0" w:rsidP="001B1C6D">
      <w:pPr>
        <w:pStyle w:val="2"/>
        <w:ind w:firstLine="422"/>
        <w:rPr>
          <w:b/>
        </w:rPr>
      </w:pPr>
    </w:p>
    <w:p w:rsidR="008F10E0" w:rsidRDefault="008F10E0" w:rsidP="001B1C6D">
      <w:pPr>
        <w:pStyle w:val="2"/>
        <w:ind w:firstLine="422"/>
        <w:rPr>
          <w:b/>
        </w:rPr>
      </w:pPr>
    </w:p>
    <w:p w:rsidR="008F10E0" w:rsidRDefault="008F10E0" w:rsidP="001B1C6D">
      <w:pPr>
        <w:pStyle w:val="2"/>
        <w:ind w:firstLine="422"/>
        <w:rPr>
          <w:b/>
        </w:rPr>
      </w:pPr>
    </w:p>
    <w:p w:rsidR="008F10E0" w:rsidRDefault="008F10E0" w:rsidP="001B1C6D">
      <w:pPr>
        <w:pStyle w:val="2"/>
        <w:ind w:firstLine="422"/>
        <w:rPr>
          <w:b/>
        </w:rPr>
      </w:pPr>
    </w:p>
    <w:p w:rsidR="008F10E0" w:rsidRDefault="008F10E0" w:rsidP="001B1C6D">
      <w:pPr>
        <w:pStyle w:val="2"/>
        <w:ind w:firstLine="422"/>
        <w:rPr>
          <w:b/>
        </w:rPr>
      </w:pPr>
    </w:p>
    <w:p w:rsidR="008F10E0" w:rsidRDefault="008F10E0" w:rsidP="001B1C6D">
      <w:pPr>
        <w:pStyle w:val="2"/>
        <w:ind w:firstLine="422"/>
        <w:rPr>
          <w:b/>
        </w:rPr>
      </w:pPr>
    </w:p>
    <w:p w:rsidR="008F10E0" w:rsidRDefault="008F10E0" w:rsidP="001B1C6D">
      <w:pPr>
        <w:pStyle w:val="2"/>
        <w:ind w:firstLine="422"/>
        <w:rPr>
          <w:b/>
        </w:rPr>
      </w:pPr>
    </w:p>
    <w:p w:rsidR="008F10E0" w:rsidRDefault="008F10E0" w:rsidP="001B1C6D">
      <w:pPr>
        <w:pStyle w:val="2"/>
        <w:ind w:firstLine="422"/>
        <w:rPr>
          <w:b/>
        </w:rPr>
      </w:pPr>
    </w:p>
    <w:tbl>
      <w:tblPr>
        <w:tblW w:w="9760" w:type="dxa"/>
        <w:tblInd w:w="91" w:type="dxa"/>
        <w:tblLayout w:type="fixed"/>
        <w:tblLook w:val="04A0"/>
      </w:tblPr>
      <w:tblGrid>
        <w:gridCol w:w="3340"/>
        <w:gridCol w:w="1080"/>
        <w:gridCol w:w="1160"/>
        <w:gridCol w:w="1080"/>
        <w:gridCol w:w="940"/>
        <w:gridCol w:w="1080"/>
        <w:gridCol w:w="1080"/>
      </w:tblGrid>
      <w:tr w:rsidR="008F10E0">
        <w:trPr>
          <w:trHeight w:val="285"/>
        </w:trPr>
        <w:tc>
          <w:tcPr>
            <w:tcW w:w="3340" w:type="dxa"/>
            <w:tcBorders>
              <w:top w:val="nil"/>
              <w:left w:val="nil"/>
              <w:bottom w:val="nil"/>
              <w:right w:val="nil"/>
            </w:tcBorders>
            <w:noWrap/>
            <w:vAlign w:val="center"/>
          </w:tcPr>
          <w:p w:rsidR="008F10E0" w:rsidRDefault="00F33E79">
            <w:pPr>
              <w:widowControl/>
              <w:rPr>
                <w:rFonts w:ascii="仿宋" w:eastAsia="仿宋" w:hAnsi="仿宋" w:cs="宋体"/>
                <w:kern w:val="0"/>
                <w:sz w:val="24"/>
                <w:szCs w:val="24"/>
              </w:rPr>
            </w:pPr>
            <w:r>
              <w:rPr>
                <w:rFonts w:ascii="仿宋" w:eastAsia="仿宋" w:hAnsi="仿宋" w:cs="宋体" w:hint="eastAsia"/>
                <w:kern w:val="0"/>
                <w:sz w:val="24"/>
                <w:szCs w:val="24"/>
              </w:rPr>
              <w:lastRenderedPageBreak/>
              <w:t>附件3</w:t>
            </w:r>
          </w:p>
        </w:tc>
        <w:tc>
          <w:tcPr>
            <w:tcW w:w="1080" w:type="dxa"/>
            <w:tcBorders>
              <w:top w:val="nil"/>
              <w:left w:val="nil"/>
              <w:bottom w:val="nil"/>
              <w:right w:val="nil"/>
            </w:tcBorders>
            <w:noWrap/>
            <w:vAlign w:val="center"/>
          </w:tcPr>
          <w:p w:rsidR="008F10E0" w:rsidRDefault="008F10E0">
            <w:pPr>
              <w:widowControl/>
              <w:jc w:val="left"/>
              <w:rPr>
                <w:rFonts w:ascii="仿宋" w:eastAsia="仿宋" w:hAnsi="仿宋" w:cs="宋体"/>
                <w:kern w:val="0"/>
                <w:sz w:val="24"/>
                <w:szCs w:val="24"/>
              </w:rPr>
            </w:pPr>
          </w:p>
        </w:tc>
        <w:tc>
          <w:tcPr>
            <w:tcW w:w="1160" w:type="dxa"/>
            <w:tcBorders>
              <w:top w:val="nil"/>
              <w:left w:val="nil"/>
              <w:bottom w:val="nil"/>
              <w:right w:val="nil"/>
            </w:tcBorders>
            <w:noWrap/>
            <w:vAlign w:val="center"/>
          </w:tcPr>
          <w:p w:rsidR="008F10E0" w:rsidRDefault="008F10E0">
            <w:pPr>
              <w:widowControl/>
              <w:jc w:val="left"/>
              <w:rPr>
                <w:rFonts w:ascii="仿宋" w:eastAsia="仿宋" w:hAnsi="仿宋" w:cs="宋体"/>
                <w:kern w:val="0"/>
                <w:sz w:val="24"/>
                <w:szCs w:val="24"/>
              </w:rPr>
            </w:pPr>
          </w:p>
        </w:tc>
        <w:tc>
          <w:tcPr>
            <w:tcW w:w="1080" w:type="dxa"/>
            <w:tcBorders>
              <w:top w:val="nil"/>
              <w:left w:val="nil"/>
              <w:bottom w:val="nil"/>
              <w:right w:val="nil"/>
            </w:tcBorders>
            <w:noWrap/>
            <w:vAlign w:val="center"/>
          </w:tcPr>
          <w:p w:rsidR="008F10E0" w:rsidRDefault="008F10E0">
            <w:pPr>
              <w:widowControl/>
              <w:jc w:val="left"/>
              <w:rPr>
                <w:rFonts w:ascii="仿宋" w:eastAsia="仿宋" w:hAnsi="仿宋" w:cs="宋体"/>
                <w:kern w:val="0"/>
                <w:sz w:val="24"/>
                <w:szCs w:val="24"/>
              </w:rPr>
            </w:pPr>
          </w:p>
        </w:tc>
        <w:tc>
          <w:tcPr>
            <w:tcW w:w="940" w:type="dxa"/>
            <w:tcBorders>
              <w:top w:val="nil"/>
              <w:left w:val="nil"/>
              <w:bottom w:val="nil"/>
              <w:right w:val="nil"/>
            </w:tcBorders>
            <w:noWrap/>
            <w:vAlign w:val="center"/>
          </w:tcPr>
          <w:p w:rsidR="008F10E0" w:rsidRDefault="008F10E0">
            <w:pPr>
              <w:widowControl/>
              <w:jc w:val="left"/>
              <w:rPr>
                <w:rFonts w:ascii="仿宋" w:eastAsia="仿宋" w:hAnsi="仿宋" w:cs="宋体"/>
                <w:kern w:val="0"/>
                <w:sz w:val="24"/>
                <w:szCs w:val="24"/>
              </w:rPr>
            </w:pPr>
          </w:p>
        </w:tc>
        <w:tc>
          <w:tcPr>
            <w:tcW w:w="1080" w:type="dxa"/>
            <w:tcBorders>
              <w:top w:val="nil"/>
              <w:left w:val="nil"/>
              <w:bottom w:val="nil"/>
              <w:right w:val="nil"/>
            </w:tcBorders>
            <w:noWrap/>
            <w:vAlign w:val="center"/>
          </w:tcPr>
          <w:p w:rsidR="008F10E0" w:rsidRDefault="008F10E0">
            <w:pPr>
              <w:widowControl/>
              <w:jc w:val="left"/>
              <w:rPr>
                <w:rFonts w:ascii="仿宋" w:eastAsia="仿宋" w:hAnsi="仿宋" w:cs="宋体"/>
                <w:kern w:val="0"/>
                <w:sz w:val="24"/>
                <w:szCs w:val="24"/>
              </w:rPr>
            </w:pPr>
          </w:p>
        </w:tc>
        <w:tc>
          <w:tcPr>
            <w:tcW w:w="1080" w:type="dxa"/>
            <w:tcBorders>
              <w:top w:val="nil"/>
              <w:left w:val="nil"/>
              <w:bottom w:val="nil"/>
              <w:right w:val="nil"/>
            </w:tcBorders>
            <w:noWrap/>
            <w:vAlign w:val="center"/>
          </w:tcPr>
          <w:p w:rsidR="008F10E0" w:rsidRDefault="008F10E0">
            <w:pPr>
              <w:widowControl/>
              <w:jc w:val="left"/>
              <w:rPr>
                <w:rFonts w:ascii="仿宋" w:eastAsia="仿宋" w:hAnsi="仿宋" w:cs="宋体"/>
                <w:kern w:val="0"/>
                <w:sz w:val="24"/>
                <w:szCs w:val="24"/>
              </w:rPr>
            </w:pPr>
          </w:p>
        </w:tc>
      </w:tr>
      <w:tr w:rsidR="008F10E0">
        <w:trPr>
          <w:trHeight w:val="585"/>
        </w:trPr>
        <w:tc>
          <w:tcPr>
            <w:tcW w:w="9760" w:type="dxa"/>
            <w:gridSpan w:val="7"/>
            <w:tcBorders>
              <w:top w:val="nil"/>
              <w:left w:val="nil"/>
              <w:bottom w:val="nil"/>
              <w:right w:val="nil"/>
            </w:tcBorders>
            <w:noWrap/>
            <w:vAlign w:val="center"/>
          </w:tcPr>
          <w:p w:rsidR="008F10E0" w:rsidRDefault="00F33E79">
            <w:pPr>
              <w:widowControl/>
              <w:jc w:val="center"/>
              <w:rPr>
                <w:rFonts w:ascii="仿宋" w:eastAsia="仿宋" w:hAnsi="仿宋" w:cs="宋体"/>
                <w:b/>
                <w:bCs/>
                <w:kern w:val="0"/>
                <w:sz w:val="36"/>
                <w:szCs w:val="36"/>
              </w:rPr>
            </w:pPr>
            <w:r>
              <w:rPr>
                <w:rFonts w:ascii="仿宋" w:eastAsia="仿宋" w:hAnsi="仿宋" w:cs="宋体" w:hint="eastAsia"/>
                <w:b/>
                <w:bCs/>
                <w:kern w:val="0"/>
                <w:sz w:val="36"/>
                <w:szCs w:val="36"/>
              </w:rPr>
              <w:t>部门整体支出绩效评价基础数据表</w:t>
            </w:r>
          </w:p>
        </w:tc>
      </w:tr>
      <w:tr w:rsidR="008F10E0">
        <w:trPr>
          <w:trHeight w:val="360"/>
        </w:trPr>
        <w:tc>
          <w:tcPr>
            <w:tcW w:w="3340" w:type="dxa"/>
            <w:tcBorders>
              <w:top w:val="nil"/>
              <w:left w:val="nil"/>
              <w:bottom w:val="nil"/>
              <w:right w:val="nil"/>
            </w:tcBorders>
            <w:noWrap/>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填报单位：</w:t>
            </w:r>
          </w:p>
        </w:tc>
        <w:tc>
          <w:tcPr>
            <w:tcW w:w="1080" w:type="dxa"/>
            <w:tcBorders>
              <w:top w:val="nil"/>
              <w:left w:val="nil"/>
              <w:bottom w:val="nil"/>
              <w:right w:val="nil"/>
            </w:tcBorders>
            <w:noWrap/>
            <w:vAlign w:val="center"/>
          </w:tcPr>
          <w:p w:rsidR="008F10E0" w:rsidRDefault="008F10E0">
            <w:pPr>
              <w:widowControl/>
              <w:jc w:val="left"/>
              <w:rPr>
                <w:rFonts w:ascii="仿宋" w:eastAsia="仿宋" w:hAnsi="仿宋" w:cs="宋体"/>
                <w:kern w:val="0"/>
                <w:sz w:val="24"/>
                <w:szCs w:val="24"/>
              </w:rPr>
            </w:pPr>
          </w:p>
        </w:tc>
        <w:tc>
          <w:tcPr>
            <w:tcW w:w="1160" w:type="dxa"/>
            <w:tcBorders>
              <w:top w:val="nil"/>
              <w:left w:val="nil"/>
              <w:bottom w:val="nil"/>
              <w:right w:val="nil"/>
            </w:tcBorders>
            <w:noWrap/>
            <w:vAlign w:val="center"/>
          </w:tcPr>
          <w:p w:rsidR="008F10E0" w:rsidRDefault="008F10E0">
            <w:pPr>
              <w:widowControl/>
              <w:jc w:val="left"/>
              <w:rPr>
                <w:rFonts w:ascii="仿宋" w:eastAsia="仿宋" w:hAnsi="仿宋" w:cs="宋体"/>
                <w:kern w:val="0"/>
                <w:sz w:val="24"/>
                <w:szCs w:val="24"/>
              </w:rPr>
            </w:pPr>
          </w:p>
        </w:tc>
        <w:tc>
          <w:tcPr>
            <w:tcW w:w="1080" w:type="dxa"/>
            <w:tcBorders>
              <w:top w:val="nil"/>
              <w:left w:val="nil"/>
              <w:bottom w:val="nil"/>
              <w:right w:val="nil"/>
            </w:tcBorders>
            <w:noWrap/>
            <w:vAlign w:val="center"/>
          </w:tcPr>
          <w:p w:rsidR="008F10E0" w:rsidRDefault="008F10E0">
            <w:pPr>
              <w:widowControl/>
              <w:jc w:val="left"/>
              <w:rPr>
                <w:rFonts w:ascii="仿宋" w:eastAsia="仿宋" w:hAnsi="仿宋" w:cs="宋体"/>
                <w:kern w:val="0"/>
                <w:sz w:val="24"/>
                <w:szCs w:val="24"/>
              </w:rPr>
            </w:pPr>
          </w:p>
        </w:tc>
        <w:tc>
          <w:tcPr>
            <w:tcW w:w="940" w:type="dxa"/>
            <w:tcBorders>
              <w:top w:val="nil"/>
              <w:left w:val="nil"/>
              <w:bottom w:val="nil"/>
              <w:right w:val="nil"/>
            </w:tcBorders>
            <w:noWrap/>
            <w:vAlign w:val="center"/>
          </w:tcPr>
          <w:p w:rsidR="008F10E0" w:rsidRDefault="008F10E0">
            <w:pPr>
              <w:widowControl/>
              <w:jc w:val="left"/>
              <w:rPr>
                <w:rFonts w:ascii="仿宋" w:eastAsia="仿宋" w:hAnsi="仿宋" w:cs="宋体"/>
                <w:kern w:val="0"/>
                <w:sz w:val="24"/>
                <w:szCs w:val="24"/>
              </w:rPr>
            </w:pPr>
          </w:p>
        </w:tc>
        <w:tc>
          <w:tcPr>
            <w:tcW w:w="1080" w:type="dxa"/>
            <w:tcBorders>
              <w:top w:val="nil"/>
              <w:left w:val="nil"/>
              <w:bottom w:val="nil"/>
              <w:right w:val="nil"/>
            </w:tcBorders>
            <w:noWrap/>
            <w:vAlign w:val="center"/>
          </w:tcPr>
          <w:p w:rsidR="008F10E0" w:rsidRDefault="008F10E0">
            <w:pPr>
              <w:widowControl/>
              <w:jc w:val="left"/>
              <w:rPr>
                <w:rFonts w:ascii="仿宋" w:eastAsia="仿宋" w:hAnsi="仿宋" w:cs="宋体"/>
                <w:kern w:val="0"/>
                <w:sz w:val="24"/>
                <w:szCs w:val="24"/>
              </w:rPr>
            </w:pPr>
          </w:p>
        </w:tc>
        <w:tc>
          <w:tcPr>
            <w:tcW w:w="1080" w:type="dxa"/>
            <w:tcBorders>
              <w:top w:val="nil"/>
              <w:left w:val="nil"/>
              <w:bottom w:val="nil"/>
              <w:right w:val="nil"/>
            </w:tcBorders>
            <w:noWrap/>
            <w:vAlign w:val="center"/>
          </w:tcPr>
          <w:p w:rsidR="008F10E0" w:rsidRDefault="008F10E0">
            <w:pPr>
              <w:widowControl/>
              <w:jc w:val="left"/>
              <w:rPr>
                <w:rFonts w:ascii="仿宋" w:eastAsia="仿宋" w:hAnsi="仿宋" w:cs="宋体"/>
                <w:kern w:val="0"/>
                <w:sz w:val="24"/>
                <w:szCs w:val="24"/>
              </w:rPr>
            </w:pPr>
          </w:p>
        </w:tc>
      </w:tr>
      <w:tr w:rsidR="008F10E0">
        <w:trPr>
          <w:trHeight w:val="585"/>
        </w:trPr>
        <w:tc>
          <w:tcPr>
            <w:tcW w:w="3340" w:type="dxa"/>
            <w:vMerge w:val="restart"/>
            <w:tcBorders>
              <w:top w:val="single" w:sz="4" w:space="0" w:color="auto"/>
              <w:left w:val="single" w:sz="4" w:space="0" w:color="auto"/>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财政供养人员情况</w:t>
            </w:r>
          </w:p>
        </w:tc>
        <w:tc>
          <w:tcPr>
            <w:tcW w:w="224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编制数</w:t>
            </w:r>
          </w:p>
        </w:tc>
        <w:tc>
          <w:tcPr>
            <w:tcW w:w="202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2020年实际在职人数</w:t>
            </w:r>
          </w:p>
        </w:tc>
        <w:tc>
          <w:tcPr>
            <w:tcW w:w="216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控制率</w:t>
            </w:r>
          </w:p>
        </w:tc>
      </w:tr>
      <w:tr w:rsidR="008F10E0">
        <w:trPr>
          <w:trHeight w:val="465"/>
        </w:trPr>
        <w:tc>
          <w:tcPr>
            <w:tcW w:w="3340" w:type="dxa"/>
            <w:vMerge/>
            <w:tcBorders>
              <w:top w:val="single" w:sz="4" w:space="0" w:color="auto"/>
              <w:left w:val="single" w:sz="4" w:space="0" w:color="auto"/>
              <w:bottom w:val="single" w:sz="4" w:space="0" w:color="auto"/>
              <w:right w:val="single" w:sz="4" w:space="0" w:color="auto"/>
            </w:tcBorders>
            <w:vAlign w:val="center"/>
          </w:tcPr>
          <w:p w:rsidR="008F10E0" w:rsidRDefault="008F10E0">
            <w:pPr>
              <w:widowControl/>
              <w:jc w:val="left"/>
              <w:rPr>
                <w:rFonts w:ascii="仿宋" w:eastAsia="仿宋" w:hAnsi="仿宋" w:cs="宋体"/>
                <w:kern w:val="0"/>
                <w:sz w:val="24"/>
                <w:szCs w:val="24"/>
              </w:rPr>
            </w:pPr>
          </w:p>
        </w:tc>
        <w:tc>
          <w:tcPr>
            <w:tcW w:w="224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2"/>
                <w:szCs w:val="22"/>
              </w:rPr>
            </w:pPr>
            <w:r>
              <w:rPr>
                <w:rFonts w:ascii="仿宋" w:eastAsia="仿宋" w:hAnsi="仿宋" w:cs="宋体" w:hint="eastAsia"/>
                <w:kern w:val="0"/>
                <w:sz w:val="22"/>
                <w:szCs w:val="22"/>
              </w:rPr>
              <w:t>44</w:t>
            </w:r>
          </w:p>
        </w:tc>
        <w:tc>
          <w:tcPr>
            <w:tcW w:w="202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2"/>
                <w:szCs w:val="22"/>
              </w:rPr>
            </w:pPr>
            <w:r>
              <w:rPr>
                <w:rFonts w:ascii="仿宋" w:eastAsia="仿宋" w:hAnsi="仿宋" w:cs="宋体" w:hint="eastAsia"/>
                <w:kern w:val="0"/>
                <w:sz w:val="22"/>
                <w:szCs w:val="22"/>
              </w:rPr>
              <w:t>36</w:t>
            </w:r>
          </w:p>
        </w:tc>
        <w:tc>
          <w:tcPr>
            <w:tcW w:w="216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2"/>
                <w:szCs w:val="22"/>
              </w:rPr>
            </w:pPr>
            <w:r>
              <w:rPr>
                <w:rFonts w:ascii="仿宋" w:eastAsia="仿宋" w:hAnsi="仿宋" w:cs="宋体" w:hint="eastAsia"/>
                <w:kern w:val="0"/>
                <w:sz w:val="22"/>
                <w:szCs w:val="22"/>
              </w:rPr>
              <w:t>81.82%</w:t>
            </w:r>
          </w:p>
        </w:tc>
      </w:tr>
      <w:tr w:rsidR="008F10E0">
        <w:trPr>
          <w:trHeight w:val="465"/>
        </w:trPr>
        <w:tc>
          <w:tcPr>
            <w:tcW w:w="3340" w:type="dxa"/>
            <w:tcBorders>
              <w:top w:val="nil"/>
              <w:left w:val="single" w:sz="4" w:space="0" w:color="auto"/>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经费控制情况</w:t>
            </w:r>
          </w:p>
        </w:tc>
        <w:tc>
          <w:tcPr>
            <w:tcW w:w="224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2019年决算数</w:t>
            </w:r>
          </w:p>
        </w:tc>
        <w:tc>
          <w:tcPr>
            <w:tcW w:w="202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2020年预算数</w:t>
            </w:r>
          </w:p>
        </w:tc>
        <w:tc>
          <w:tcPr>
            <w:tcW w:w="216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2020年决算数</w:t>
            </w:r>
          </w:p>
        </w:tc>
      </w:tr>
      <w:tr w:rsidR="008F10E0">
        <w:trPr>
          <w:trHeight w:val="465"/>
        </w:trPr>
        <w:tc>
          <w:tcPr>
            <w:tcW w:w="3340" w:type="dxa"/>
            <w:tcBorders>
              <w:top w:val="nil"/>
              <w:left w:val="single" w:sz="4" w:space="0" w:color="auto"/>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三公经费</w:t>
            </w:r>
          </w:p>
        </w:tc>
        <w:tc>
          <w:tcPr>
            <w:tcW w:w="224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15.17</w:t>
            </w:r>
          </w:p>
        </w:tc>
        <w:tc>
          <w:tcPr>
            <w:tcW w:w="2020" w:type="dxa"/>
            <w:gridSpan w:val="2"/>
            <w:tcBorders>
              <w:top w:val="single" w:sz="4" w:space="0" w:color="auto"/>
              <w:left w:val="nil"/>
              <w:bottom w:val="single" w:sz="4" w:space="0" w:color="auto"/>
              <w:right w:val="single" w:sz="4" w:space="0" w:color="auto"/>
            </w:tcBorders>
            <w:vAlign w:val="center"/>
          </w:tcPr>
          <w:p w:rsidR="008F10E0" w:rsidRDefault="00F33E79">
            <w:pPr>
              <w:widowControl/>
              <w:ind w:firstLineChars="300" w:firstLine="720"/>
              <w:rPr>
                <w:rFonts w:ascii="仿宋" w:eastAsia="仿宋" w:hAnsi="仿宋" w:cs="宋体"/>
                <w:kern w:val="0"/>
                <w:sz w:val="24"/>
                <w:szCs w:val="24"/>
              </w:rPr>
            </w:pPr>
            <w:r>
              <w:rPr>
                <w:rFonts w:ascii="仿宋" w:eastAsia="仿宋" w:hAnsi="仿宋" w:cs="宋体" w:hint="eastAsia"/>
                <w:kern w:val="0"/>
                <w:sz w:val="24"/>
                <w:szCs w:val="24"/>
              </w:rPr>
              <w:t>27</w:t>
            </w:r>
          </w:p>
        </w:tc>
        <w:tc>
          <w:tcPr>
            <w:tcW w:w="216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7.91</w:t>
            </w:r>
          </w:p>
        </w:tc>
      </w:tr>
      <w:tr w:rsidR="008F10E0">
        <w:trPr>
          <w:trHeight w:val="615"/>
        </w:trPr>
        <w:tc>
          <w:tcPr>
            <w:tcW w:w="3340" w:type="dxa"/>
            <w:tcBorders>
              <w:top w:val="nil"/>
              <w:left w:val="single" w:sz="4" w:space="0" w:color="auto"/>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1、公务用车购置和维护经费</w:t>
            </w:r>
          </w:p>
        </w:tc>
        <w:tc>
          <w:tcPr>
            <w:tcW w:w="224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14.38</w:t>
            </w:r>
          </w:p>
        </w:tc>
        <w:tc>
          <w:tcPr>
            <w:tcW w:w="202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15</w:t>
            </w:r>
          </w:p>
        </w:tc>
        <w:tc>
          <w:tcPr>
            <w:tcW w:w="216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5.82</w:t>
            </w:r>
          </w:p>
        </w:tc>
      </w:tr>
      <w:tr w:rsidR="008F10E0">
        <w:trPr>
          <w:trHeight w:val="465"/>
        </w:trPr>
        <w:tc>
          <w:tcPr>
            <w:tcW w:w="3340" w:type="dxa"/>
            <w:tcBorders>
              <w:top w:val="nil"/>
              <w:left w:val="single" w:sz="4" w:space="0" w:color="auto"/>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其中：公车购置</w:t>
            </w:r>
          </w:p>
        </w:tc>
        <w:tc>
          <w:tcPr>
            <w:tcW w:w="224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8F10E0">
        <w:trPr>
          <w:trHeight w:val="465"/>
        </w:trPr>
        <w:tc>
          <w:tcPr>
            <w:tcW w:w="3340" w:type="dxa"/>
            <w:tcBorders>
              <w:top w:val="nil"/>
              <w:left w:val="single" w:sz="4" w:space="0" w:color="auto"/>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公车运行维护</w:t>
            </w:r>
          </w:p>
        </w:tc>
        <w:tc>
          <w:tcPr>
            <w:tcW w:w="224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14.38</w:t>
            </w:r>
          </w:p>
        </w:tc>
        <w:tc>
          <w:tcPr>
            <w:tcW w:w="202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5.82</w:t>
            </w:r>
          </w:p>
        </w:tc>
      </w:tr>
      <w:tr w:rsidR="008F10E0">
        <w:trPr>
          <w:trHeight w:val="465"/>
        </w:trPr>
        <w:tc>
          <w:tcPr>
            <w:tcW w:w="3340" w:type="dxa"/>
            <w:tcBorders>
              <w:top w:val="nil"/>
              <w:left w:val="single" w:sz="4" w:space="0" w:color="auto"/>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2、出国经费</w:t>
            </w:r>
          </w:p>
        </w:tc>
        <w:tc>
          <w:tcPr>
            <w:tcW w:w="224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8F10E0">
        <w:trPr>
          <w:trHeight w:val="465"/>
        </w:trPr>
        <w:tc>
          <w:tcPr>
            <w:tcW w:w="3340" w:type="dxa"/>
            <w:tcBorders>
              <w:top w:val="nil"/>
              <w:left w:val="single" w:sz="4" w:space="0" w:color="auto"/>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3、公务接待</w:t>
            </w:r>
          </w:p>
        </w:tc>
        <w:tc>
          <w:tcPr>
            <w:tcW w:w="224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0.79</w:t>
            </w:r>
          </w:p>
        </w:tc>
        <w:tc>
          <w:tcPr>
            <w:tcW w:w="202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12</w:t>
            </w:r>
          </w:p>
        </w:tc>
        <w:tc>
          <w:tcPr>
            <w:tcW w:w="216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2.09</w:t>
            </w:r>
          </w:p>
        </w:tc>
      </w:tr>
      <w:tr w:rsidR="008F10E0">
        <w:trPr>
          <w:trHeight w:val="465"/>
        </w:trPr>
        <w:tc>
          <w:tcPr>
            <w:tcW w:w="3340" w:type="dxa"/>
            <w:tcBorders>
              <w:top w:val="nil"/>
              <w:left w:val="single" w:sz="4" w:space="0" w:color="auto"/>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项目支出：</w:t>
            </w:r>
          </w:p>
        </w:tc>
        <w:tc>
          <w:tcPr>
            <w:tcW w:w="224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24.35</w:t>
            </w:r>
          </w:p>
        </w:tc>
        <w:tc>
          <w:tcPr>
            <w:tcW w:w="2020" w:type="dxa"/>
            <w:gridSpan w:val="2"/>
            <w:tcBorders>
              <w:top w:val="single" w:sz="4" w:space="0" w:color="auto"/>
              <w:left w:val="nil"/>
              <w:bottom w:val="single" w:sz="4" w:space="0" w:color="auto"/>
              <w:right w:val="single" w:sz="4" w:space="0" w:color="auto"/>
            </w:tcBorders>
            <w:vAlign w:val="center"/>
          </w:tcPr>
          <w:p w:rsidR="008F10E0" w:rsidRDefault="001B1C6D">
            <w:pPr>
              <w:widowControl/>
              <w:jc w:val="center"/>
              <w:rPr>
                <w:rFonts w:ascii="仿宋" w:eastAsia="仿宋" w:hAnsi="仿宋" w:cs="宋体"/>
                <w:kern w:val="0"/>
                <w:sz w:val="24"/>
                <w:szCs w:val="24"/>
              </w:rPr>
            </w:pPr>
            <w:r>
              <w:rPr>
                <w:rFonts w:ascii="仿宋" w:eastAsia="仿宋" w:hAnsi="仿宋" w:cs="宋体" w:hint="eastAsia"/>
                <w:kern w:val="0"/>
                <w:sz w:val="24"/>
                <w:szCs w:val="24"/>
              </w:rPr>
              <w:t>43.85</w:t>
            </w:r>
          </w:p>
        </w:tc>
        <w:tc>
          <w:tcPr>
            <w:tcW w:w="216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43.85</w:t>
            </w:r>
          </w:p>
        </w:tc>
      </w:tr>
      <w:tr w:rsidR="008F10E0">
        <w:trPr>
          <w:trHeight w:val="720"/>
        </w:trPr>
        <w:tc>
          <w:tcPr>
            <w:tcW w:w="3340" w:type="dxa"/>
            <w:tcBorders>
              <w:top w:val="nil"/>
              <w:left w:val="single" w:sz="4" w:space="0" w:color="auto"/>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1、政府办公厅（室）及相关机构事务一般行政管理事务</w:t>
            </w:r>
          </w:p>
        </w:tc>
        <w:tc>
          <w:tcPr>
            <w:tcW w:w="224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24.35　</w:t>
            </w:r>
          </w:p>
        </w:tc>
        <w:tc>
          <w:tcPr>
            <w:tcW w:w="202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43.85</w:t>
            </w:r>
          </w:p>
        </w:tc>
        <w:tc>
          <w:tcPr>
            <w:tcW w:w="216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43.85　</w:t>
            </w:r>
          </w:p>
        </w:tc>
      </w:tr>
      <w:tr w:rsidR="008F10E0">
        <w:trPr>
          <w:trHeight w:val="465"/>
        </w:trPr>
        <w:tc>
          <w:tcPr>
            <w:tcW w:w="3340" w:type="dxa"/>
            <w:tcBorders>
              <w:top w:val="nil"/>
              <w:left w:val="single" w:sz="4" w:space="0" w:color="auto"/>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公用经费</w:t>
            </w:r>
          </w:p>
        </w:tc>
        <w:tc>
          <w:tcPr>
            <w:tcW w:w="224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234.85</w:t>
            </w:r>
          </w:p>
        </w:tc>
        <w:tc>
          <w:tcPr>
            <w:tcW w:w="202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55.5</w:t>
            </w:r>
          </w:p>
        </w:tc>
        <w:tc>
          <w:tcPr>
            <w:tcW w:w="216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313.67</w:t>
            </w:r>
          </w:p>
        </w:tc>
      </w:tr>
      <w:tr w:rsidR="008F10E0">
        <w:trPr>
          <w:trHeight w:val="465"/>
        </w:trPr>
        <w:tc>
          <w:tcPr>
            <w:tcW w:w="3340" w:type="dxa"/>
            <w:tcBorders>
              <w:top w:val="nil"/>
              <w:left w:val="single" w:sz="4" w:space="0" w:color="auto"/>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其中：办公经费</w:t>
            </w:r>
          </w:p>
        </w:tc>
        <w:tc>
          <w:tcPr>
            <w:tcW w:w="224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193.94</w:t>
            </w:r>
          </w:p>
        </w:tc>
        <w:tc>
          <w:tcPr>
            <w:tcW w:w="202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bookmarkStart w:id="0" w:name="_GoBack"/>
            <w:bookmarkEnd w:id="0"/>
          </w:p>
        </w:tc>
        <w:tc>
          <w:tcPr>
            <w:tcW w:w="216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72.97</w:t>
            </w:r>
          </w:p>
        </w:tc>
      </w:tr>
      <w:tr w:rsidR="008F10E0">
        <w:trPr>
          <w:trHeight w:val="465"/>
        </w:trPr>
        <w:tc>
          <w:tcPr>
            <w:tcW w:w="3340" w:type="dxa"/>
            <w:tcBorders>
              <w:top w:val="nil"/>
              <w:left w:val="single" w:sz="4" w:space="0" w:color="auto"/>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水费、电费、差旅费</w:t>
            </w:r>
          </w:p>
        </w:tc>
        <w:tc>
          <w:tcPr>
            <w:tcW w:w="224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9.39</w:t>
            </w:r>
          </w:p>
        </w:tc>
        <w:tc>
          <w:tcPr>
            <w:tcW w:w="2020" w:type="dxa"/>
            <w:gridSpan w:val="2"/>
            <w:tcBorders>
              <w:top w:val="single" w:sz="4" w:space="0" w:color="auto"/>
              <w:left w:val="nil"/>
              <w:bottom w:val="single" w:sz="4" w:space="0" w:color="auto"/>
              <w:right w:val="single" w:sz="4" w:space="0" w:color="auto"/>
            </w:tcBorders>
            <w:vAlign w:val="center"/>
          </w:tcPr>
          <w:p w:rsidR="008F10E0" w:rsidRDefault="008F10E0">
            <w:pPr>
              <w:widowControl/>
              <w:jc w:val="center"/>
              <w:rPr>
                <w:rFonts w:ascii="仿宋" w:eastAsia="仿宋" w:hAnsi="仿宋" w:cs="宋体"/>
                <w:kern w:val="0"/>
                <w:sz w:val="24"/>
                <w:szCs w:val="24"/>
              </w:rPr>
            </w:pPr>
          </w:p>
        </w:tc>
        <w:tc>
          <w:tcPr>
            <w:tcW w:w="216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14.46</w:t>
            </w:r>
          </w:p>
        </w:tc>
      </w:tr>
      <w:tr w:rsidR="008F10E0">
        <w:trPr>
          <w:trHeight w:val="465"/>
        </w:trPr>
        <w:tc>
          <w:tcPr>
            <w:tcW w:w="3340" w:type="dxa"/>
            <w:tcBorders>
              <w:top w:val="nil"/>
              <w:left w:val="single" w:sz="4" w:space="0" w:color="auto"/>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会议费、培训费</w:t>
            </w:r>
          </w:p>
        </w:tc>
        <w:tc>
          <w:tcPr>
            <w:tcW w:w="224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0</w:t>
            </w:r>
          </w:p>
        </w:tc>
        <w:tc>
          <w:tcPr>
            <w:tcW w:w="202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0</w:t>
            </w:r>
          </w:p>
        </w:tc>
      </w:tr>
      <w:tr w:rsidR="008F10E0">
        <w:trPr>
          <w:trHeight w:val="465"/>
        </w:trPr>
        <w:tc>
          <w:tcPr>
            <w:tcW w:w="3340" w:type="dxa"/>
            <w:tcBorders>
              <w:top w:val="nil"/>
              <w:left w:val="single" w:sz="4" w:space="0" w:color="auto"/>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政府采购金额</w:t>
            </w:r>
          </w:p>
        </w:tc>
        <w:tc>
          <w:tcPr>
            <w:tcW w:w="224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202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8F10E0">
        <w:trPr>
          <w:trHeight w:val="465"/>
        </w:trPr>
        <w:tc>
          <w:tcPr>
            <w:tcW w:w="3340" w:type="dxa"/>
            <w:tcBorders>
              <w:top w:val="nil"/>
              <w:left w:val="single" w:sz="4" w:space="0" w:color="auto"/>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部门整体支出预算调整 </w:t>
            </w:r>
          </w:p>
        </w:tc>
        <w:tc>
          <w:tcPr>
            <w:tcW w:w="224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202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8F10E0">
        <w:trPr>
          <w:trHeight w:val="735"/>
        </w:trPr>
        <w:tc>
          <w:tcPr>
            <w:tcW w:w="3340" w:type="dxa"/>
            <w:vMerge w:val="restart"/>
            <w:tcBorders>
              <w:top w:val="nil"/>
              <w:left w:val="single" w:sz="4" w:space="0" w:color="auto"/>
              <w:bottom w:val="single" w:sz="4" w:space="0" w:color="000000"/>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楼堂馆所控制情况      （2020年完工项目）</w:t>
            </w:r>
          </w:p>
        </w:tc>
        <w:tc>
          <w:tcPr>
            <w:tcW w:w="1080" w:type="dxa"/>
            <w:vMerge w:val="restart"/>
            <w:tcBorders>
              <w:top w:val="nil"/>
              <w:left w:val="single" w:sz="4" w:space="0" w:color="auto"/>
              <w:bottom w:val="single" w:sz="4" w:space="0" w:color="000000"/>
              <w:right w:val="single" w:sz="4" w:space="0" w:color="auto"/>
            </w:tcBorders>
            <w:vAlign w:val="center"/>
          </w:tcPr>
          <w:p w:rsidR="008F10E0" w:rsidRDefault="00F33E79">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批复规模（㎡）</w:t>
            </w:r>
          </w:p>
        </w:tc>
        <w:tc>
          <w:tcPr>
            <w:tcW w:w="1160" w:type="dxa"/>
            <w:vMerge w:val="restart"/>
            <w:tcBorders>
              <w:top w:val="nil"/>
              <w:left w:val="single" w:sz="4" w:space="0" w:color="auto"/>
              <w:bottom w:val="single" w:sz="4" w:space="0" w:color="auto"/>
              <w:right w:val="single" w:sz="4" w:space="0" w:color="auto"/>
            </w:tcBorders>
            <w:vAlign w:val="center"/>
          </w:tcPr>
          <w:p w:rsidR="008F10E0" w:rsidRDefault="00F33E79">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实际规模（㎡）</w:t>
            </w:r>
          </w:p>
        </w:tc>
        <w:tc>
          <w:tcPr>
            <w:tcW w:w="1080" w:type="dxa"/>
            <w:vMerge w:val="restart"/>
            <w:tcBorders>
              <w:top w:val="nil"/>
              <w:left w:val="single" w:sz="4" w:space="0" w:color="auto"/>
              <w:bottom w:val="single" w:sz="4" w:space="0" w:color="auto"/>
              <w:right w:val="single" w:sz="4" w:space="0" w:color="auto"/>
            </w:tcBorders>
            <w:vAlign w:val="center"/>
          </w:tcPr>
          <w:p w:rsidR="008F10E0" w:rsidRDefault="00F33E79">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规模控制率</w:t>
            </w:r>
          </w:p>
        </w:tc>
        <w:tc>
          <w:tcPr>
            <w:tcW w:w="940" w:type="dxa"/>
            <w:vMerge w:val="restart"/>
            <w:tcBorders>
              <w:top w:val="nil"/>
              <w:left w:val="single" w:sz="4" w:space="0" w:color="auto"/>
              <w:bottom w:val="single" w:sz="4" w:space="0" w:color="auto"/>
              <w:right w:val="single" w:sz="4" w:space="0" w:color="auto"/>
            </w:tcBorders>
            <w:vAlign w:val="center"/>
          </w:tcPr>
          <w:p w:rsidR="008F10E0" w:rsidRDefault="00F33E79">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预算投资（万元）</w:t>
            </w:r>
          </w:p>
        </w:tc>
        <w:tc>
          <w:tcPr>
            <w:tcW w:w="1080" w:type="dxa"/>
            <w:vMerge w:val="restart"/>
            <w:tcBorders>
              <w:top w:val="nil"/>
              <w:left w:val="single" w:sz="4" w:space="0" w:color="auto"/>
              <w:bottom w:val="single" w:sz="4" w:space="0" w:color="auto"/>
              <w:right w:val="single" w:sz="4" w:space="0" w:color="auto"/>
            </w:tcBorders>
            <w:vAlign w:val="center"/>
          </w:tcPr>
          <w:p w:rsidR="008F10E0" w:rsidRDefault="00F33E79">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实际投资（万元）</w:t>
            </w:r>
          </w:p>
        </w:tc>
        <w:tc>
          <w:tcPr>
            <w:tcW w:w="1080" w:type="dxa"/>
            <w:vMerge w:val="restart"/>
            <w:tcBorders>
              <w:top w:val="nil"/>
              <w:left w:val="single" w:sz="4" w:space="0" w:color="auto"/>
              <w:bottom w:val="single" w:sz="4" w:space="0" w:color="auto"/>
              <w:right w:val="single" w:sz="4" w:space="0" w:color="auto"/>
            </w:tcBorders>
            <w:vAlign w:val="center"/>
          </w:tcPr>
          <w:p w:rsidR="008F10E0" w:rsidRDefault="00F33E79">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投资概算控制率</w:t>
            </w:r>
          </w:p>
        </w:tc>
      </w:tr>
      <w:tr w:rsidR="008F10E0">
        <w:trPr>
          <w:trHeight w:val="570"/>
        </w:trPr>
        <w:tc>
          <w:tcPr>
            <w:tcW w:w="3340" w:type="dxa"/>
            <w:vMerge/>
            <w:tcBorders>
              <w:top w:val="nil"/>
              <w:left w:val="single" w:sz="4" w:space="0" w:color="auto"/>
              <w:bottom w:val="single" w:sz="4" w:space="0" w:color="000000"/>
              <w:right w:val="single" w:sz="4" w:space="0" w:color="auto"/>
            </w:tcBorders>
            <w:vAlign w:val="center"/>
          </w:tcPr>
          <w:p w:rsidR="008F10E0" w:rsidRDefault="008F10E0">
            <w:pPr>
              <w:widowControl/>
              <w:jc w:val="left"/>
              <w:rPr>
                <w:rFonts w:ascii="仿宋" w:eastAsia="仿宋" w:hAnsi="仿宋" w:cs="宋体"/>
                <w:kern w:val="0"/>
                <w:sz w:val="24"/>
                <w:szCs w:val="24"/>
              </w:rPr>
            </w:pPr>
          </w:p>
        </w:tc>
        <w:tc>
          <w:tcPr>
            <w:tcW w:w="1080" w:type="dxa"/>
            <w:vMerge/>
            <w:tcBorders>
              <w:top w:val="nil"/>
              <w:left w:val="single" w:sz="4" w:space="0" w:color="auto"/>
              <w:bottom w:val="single" w:sz="4" w:space="0" w:color="000000"/>
              <w:right w:val="single" w:sz="4" w:space="0" w:color="auto"/>
            </w:tcBorders>
            <w:vAlign w:val="center"/>
          </w:tcPr>
          <w:p w:rsidR="008F10E0" w:rsidRDefault="008F10E0">
            <w:pPr>
              <w:widowControl/>
              <w:jc w:val="left"/>
              <w:rPr>
                <w:rFonts w:ascii="仿宋" w:eastAsia="仿宋" w:hAnsi="仿宋" w:cs="宋体"/>
                <w:b/>
                <w:bCs/>
                <w:kern w:val="0"/>
                <w:sz w:val="24"/>
                <w:szCs w:val="24"/>
              </w:rPr>
            </w:pPr>
          </w:p>
        </w:tc>
        <w:tc>
          <w:tcPr>
            <w:tcW w:w="116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 w:eastAsia="仿宋" w:hAnsi="仿宋" w:cs="宋体"/>
                <w:b/>
                <w:bCs/>
                <w:kern w:val="0"/>
                <w:sz w:val="24"/>
                <w:szCs w:val="24"/>
              </w:rPr>
            </w:pPr>
          </w:p>
        </w:tc>
        <w:tc>
          <w:tcPr>
            <w:tcW w:w="108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 w:eastAsia="仿宋" w:hAnsi="仿宋" w:cs="宋体"/>
                <w:b/>
                <w:bCs/>
                <w:kern w:val="0"/>
                <w:sz w:val="24"/>
                <w:szCs w:val="24"/>
              </w:rPr>
            </w:pPr>
          </w:p>
        </w:tc>
        <w:tc>
          <w:tcPr>
            <w:tcW w:w="94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 w:eastAsia="仿宋" w:hAnsi="仿宋" w:cs="宋体"/>
                <w:b/>
                <w:bCs/>
                <w:kern w:val="0"/>
                <w:sz w:val="24"/>
                <w:szCs w:val="24"/>
              </w:rPr>
            </w:pPr>
          </w:p>
        </w:tc>
        <w:tc>
          <w:tcPr>
            <w:tcW w:w="108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 w:eastAsia="仿宋" w:hAnsi="仿宋" w:cs="宋体"/>
                <w:b/>
                <w:bCs/>
                <w:kern w:val="0"/>
                <w:sz w:val="24"/>
                <w:szCs w:val="24"/>
              </w:rPr>
            </w:pPr>
          </w:p>
        </w:tc>
        <w:tc>
          <w:tcPr>
            <w:tcW w:w="1080" w:type="dxa"/>
            <w:vMerge/>
            <w:tcBorders>
              <w:top w:val="nil"/>
              <w:left w:val="single" w:sz="4" w:space="0" w:color="auto"/>
              <w:bottom w:val="single" w:sz="4" w:space="0" w:color="auto"/>
              <w:right w:val="single" w:sz="4" w:space="0" w:color="auto"/>
            </w:tcBorders>
            <w:vAlign w:val="center"/>
          </w:tcPr>
          <w:p w:rsidR="008F10E0" w:rsidRDefault="008F10E0">
            <w:pPr>
              <w:widowControl/>
              <w:jc w:val="left"/>
              <w:rPr>
                <w:rFonts w:ascii="仿宋" w:eastAsia="仿宋" w:hAnsi="仿宋" w:cs="宋体"/>
                <w:b/>
                <w:bCs/>
                <w:kern w:val="0"/>
                <w:sz w:val="24"/>
                <w:szCs w:val="24"/>
              </w:rPr>
            </w:pPr>
          </w:p>
        </w:tc>
      </w:tr>
      <w:tr w:rsidR="008F10E0">
        <w:trPr>
          <w:trHeight w:val="450"/>
        </w:trPr>
        <w:tc>
          <w:tcPr>
            <w:tcW w:w="3340" w:type="dxa"/>
            <w:vMerge/>
            <w:tcBorders>
              <w:top w:val="nil"/>
              <w:left w:val="single" w:sz="4" w:space="0" w:color="auto"/>
              <w:bottom w:val="single" w:sz="4" w:space="0" w:color="000000"/>
              <w:right w:val="single" w:sz="4" w:space="0" w:color="auto"/>
            </w:tcBorders>
            <w:vAlign w:val="center"/>
          </w:tcPr>
          <w:p w:rsidR="008F10E0" w:rsidRDefault="008F10E0">
            <w:pPr>
              <w:widowControl/>
              <w:jc w:val="left"/>
              <w:rPr>
                <w:rFonts w:ascii="仿宋" w:eastAsia="仿宋" w:hAnsi="仿宋" w:cs="宋体"/>
                <w:kern w:val="0"/>
                <w:sz w:val="24"/>
                <w:szCs w:val="24"/>
              </w:rPr>
            </w:pPr>
          </w:p>
        </w:tc>
        <w:tc>
          <w:tcPr>
            <w:tcW w:w="1080" w:type="dxa"/>
            <w:tcBorders>
              <w:top w:val="nil"/>
              <w:left w:val="nil"/>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160" w:type="dxa"/>
            <w:tcBorders>
              <w:top w:val="nil"/>
              <w:left w:val="nil"/>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940" w:type="dxa"/>
            <w:tcBorders>
              <w:top w:val="nil"/>
              <w:left w:val="nil"/>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8F10E0">
        <w:trPr>
          <w:trHeight w:val="8070"/>
        </w:trPr>
        <w:tc>
          <w:tcPr>
            <w:tcW w:w="3340" w:type="dxa"/>
            <w:tcBorders>
              <w:top w:val="nil"/>
              <w:left w:val="single" w:sz="4" w:space="0" w:color="auto"/>
              <w:bottom w:val="single" w:sz="4" w:space="0" w:color="auto"/>
              <w:right w:val="single" w:sz="4" w:space="0" w:color="auto"/>
            </w:tcBorders>
            <w:vAlign w:val="center"/>
          </w:tcPr>
          <w:p w:rsidR="008F10E0" w:rsidRDefault="00F33E79">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厉行节约保障措施</w:t>
            </w:r>
          </w:p>
        </w:tc>
        <w:tc>
          <w:tcPr>
            <w:tcW w:w="6420" w:type="dxa"/>
            <w:gridSpan w:val="6"/>
            <w:tcBorders>
              <w:top w:val="single" w:sz="4" w:space="0" w:color="auto"/>
              <w:left w:val="nil"/>
              <w:bottom w:val="single" w:sz="4" w:space="0" w:color="auto"/>
              <w:right w:val="single" w:sz="4" w:space="0" w:color="000000"/>
            </w:tcBorders>
          </w:tcPr>
          <w:p w:rsidR="008F10E0" w:rsidRDefault="00F33E79">
            <w:pPr>
              <w:widowControl/>
              <w:jc w:val="left"/>
              <w:rPr>
                <w:rFonts w:ascii="仿宋" w:eastAsia="仿宋" w:hAnsi="仿宋" w:cs="宋体"/>
                <w:kern w:val="0"/>
                <w:sz w:val="24"/>
                <w:szCs w:val="24"/>
              </w:rPr>
            </w:pPr>
            <w:r>
              <w:rPr>
                <w:rFonts w:ascii="仿宋" w:eastAsia="仿宋" w:hAnsi="仿宋" w:cs="宋体" w:hint="eastAsia"/>
                <w:kern w:val="0"/>
                <w:sz w:val="24"/>
                <w:szCs w:val="24"/>
              </w:rPr>
              <w:t>（一）、倡导艰苦奋斗，增强节约意识。要求全乡干部职工要认真学习关于厉行节约的八项规定，崇尚节约，杜绝奢侈浪费行为，努力从自已做起，恪守制度、互相监督，营造“以艰苦奋斗为荣、以骄奢淫逸为耻”的浓厚氛围。</w:t>
            </w:r>
            <w:r>
              <w:rPr>
                <w:rFonts w:ascii="仿宋" w:eastAsia="仿宋" w:hAnsi="仿宋" w:cs="宋体" w:hint="eastAsia"/>
                <w:kern w:val="0"/>
                <w:sz w:val="24"/>
                <w:szCs w:val="24"/>
              </w:rPr>
              <w:br/>
              <w:t>（二）、严禁以各种名义用公款出国（境）或国内旅游及国内参观学习。确需外出参观学习的应按照管理权限事先履行报批程序，任何个人均不得自行组织外出学习或参观活动。（三）、节约用电、用水。</w:t>
            </w:r>
            <w:r>
              <w:rPr>
                <w:rFonts w:ascii="仿宋" w:eastAsia="仿宋" w:hAnsi="仿宋" w:cs="宋体" w:hint="eastAsia"/>
                <w:kern w:val="0"/>
                <w:sz w:val="24"/>
                <w:szCs w:val="24"/>
              </w:rPr>
              <w:br/>
              <w:t>（四）、加强公务用车管理。严格执行我乡《车辆管理使用制度》，鼓励出差乘座公共汽车，特殊情况需用车时应向办公室预约并经乡长批准；驾驶员必须精心操作，保护车辆，减少维修费用，严格控制公车私用，严格执行车辆更换、购置报审制度。</w:t>
            </w:r>
            <w:r>
              <w:rPr>
                <w:rFonts w:ascii="仿宋" w:eastAsia="仿宋" w:hAnsi="仿宋" w:cs="宋体" w:hint="eastAsia"/>
                <w:kern w:val="0"/>
                <w:sz w:val="24"/>
                <w:szCs w:val="24"/>
              </w:rPr>
              <w:br/>
              <w:t>（五）、规范办公用品采购。各站所需要的物品必须按规定由办公室进行集中采购，采购应坚持货比三家，择优选购。</w:t>
            </w:r>
            <w:r>
              <w:rPr>
                <w:rFonts w:ascii="仿宋" w:eastAsia="仿宋" w:hAnsi="仿宋" w:cs="宋体" w:hint="eastAsia"/>
                <w:kern w:val="0"/>
                <w:sz w:val="24"/>
                <w:szCs w:val="24"/>
              </w:rPr>
              <w:br/>
              <w:t>（六）、节约办公用品。多页公文一律采用双面打印，除特殊情况外，一般不得到商业店铺打印。</w:t>
            </w:r>
            <w:r>
              <w:rPr>
                <w:rFonts w:ascii="仿宋" w:eastAsia="仿宋" w:hAnsi="仿宋" w:cs="宋体" w:hint="eastAsia"/>
                <w:kern w:val="0"/>
                <w:sz w:val="24"/>
                <w:szCs w:val="24"/>
              </w:rPr>
              <w:br/>
              <w:t>（七）、明确公务接待标准。公务接待实行对口接待，从严控制接待标准和陪餐人数，一般不安排盒烟，一律不安排各类娱乐性消费活动。</w:t>
            </w:r>
            <w:r>
              <w:rPr>
                <w:rFonts w:ascii="仿宋" w:eastAsia="仿宋" w:hAnsi="仿宋" w:cs="宋体" w:hint="eastAsia"/>
                <w:kern w:val="0"/>
                <w:sz w:val="24"/>
                <w:szCs w:val="24"/>
              </w:rPr>
              <w:br/>
              <w:t>（八）、从严控制旅差费用。公务出差应注意节约，尽量减少各项旅差开支，旅差费用标准严格遵守有关规定。</w:t>
            </w:r>
            <w:r>
              <w:rPr>
                <w:rFonts w:ascii="仿宋" w:eastAsia="仿宋" w:hAnsi="仿宋" w:cs="宋体" w:hint="eastAsia"/>
                <w:kern w:val="0"/>
                <w:sz w:val="24"/>
                <w:szCs w:val="24"/>
              </w:rPr>
              <w:br/>
              <w:t>（九）、严格控制会议、庆典、节会，确需召开的会议，须报主要领导批准，并从严控制规模和经费支出。</w:t>
            </w:r>
            <w:r>
              <w:rPr>
                <w:rFonts w:ascii="仿宋" w:eastAsia="仿宋" w:hAnsi="仿宋" w:cs="宋体" w:hint="eastAsia"/>
                <w:kern w:val="0"/>
                <w:sz w:val="24"/>
                <w:szCs w:val="24"/>
              </w:rPr>
              <w:br/>
              <w:t>（十）、注意爱护公物。对配发给干部职工的办公用具，办公室要登记造册，落实管护责任；全乡干部职工应珍爱公物，合理使用，妥善保管，保持用具的使用性能，严禁侵占公物行为。</w:t>
            </w:r>
          </w:p>
        </w:tc>
      </w:tr>
      <w:tr w:rsidR="008F10E0">
        <w:trPr>
          <w:trHeight w:val="720"/>
        </w:trPr>
        <w:tc>
          <w:tcPr>
            <w:tcW w:w="9760" w:type="dxa"/>
            <w:gridSpan w:val="7"/>
            <w:tcBorders>
              <w:top w:val="single" w:sz="4" w:space="0" w:color="auto"/>
              <w:left w:val="nil"/>
              <w:bottom w:val="nil"/>
              <w:right w:val="nil"/>
            </w:tcBorders>
            <w:vAlign w:val="center"/>
          </w:tcPr>
          <w:p w:rsidR="008F10E0" w:rsidRDefault="00F33E79">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说明：“项目支出”需要填报除基本支出以外的所有项目情况，包括业务工作项目、运行维护项目等；“公用经费”填报基本支出中的一般商品和服务支出。</w:t>
            </w:r>
          </w:p>
        </w:tc>
      </w:tr>
    </w:tbl>
    <w:p w:rsidR="008F10E0" w:rsidRDefault="008F10E0">
      <w:pPr>
        <w:spacing w:line="560" w:lineRule="exact"/>
        <w:rPr>
          <w:sz w:val="32"/>
          <w:szCs w:val="32"/>
        </w:rPr>
      </w:pPr>
    </w:p>
    <w:sectPr w:rsidR="008F10E0" w:rsidSect="008F10E0">
      <w:footerReference w:type="default" r:id="rId9"/>
      <w:pgSz w:w="11906" w:h="16838"/>
      <w:pgMar w:top="1588" w:right="1418" w:bottom="158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89D" w:rsidRDefault="00F3289D" w:rsidP="008F10E0">
      <w:r>
        <w:separator/>
      </w:r>
    </w:p>
  </w:endnote>
  <w:endnote w:type="continuationSeparator" w:id="1">
    <w:p w:rsidR="00F3289D" w:rsidRDefault="00F3289D" w:rsidP="008F1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E0" w:rsidRDefault="00390522">
    <w:pPr>
      <w:pStyle w:val="a4"/>
      <w:jc w:val="center"/>
    </w:pPr>
    <w:r>
      <w:fldChar w:fldCharType="begin"/>
    </w:r>
    <w:r w:rsidR="00F33E79">
      <w:instrText xml:space="preserve"> PAGE   \* MERGEFORMAT </w:instrText>
    </w:r>
    <w:r>
      <w:fldChar w:fldCharType="separate"/>
    </w:r>
    <w:r w:rsidR="008548B9" w:rsidRPr="008548B9">
      <w:rPr>
        <w:noProof/>
        <w:lang w:val="zh-CN"/>
      </w:rPr>
      <w:t>19</w:t>
    </w:r>
    <w:r>
      <w:fldChar w:fldCharType="end"/>
    </w:r>
  </w:p>
  <w:p w:rsidR="008F10E0" w:rsidRDefault="008F10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89D" w:rsidRDefault="00F3289D" w:rsidP="008F10E0">
      <w:r>
        <w:separator/>
      </w:r>
    </w:p>
  </w:footnote>
  <w:footnote w:type="continuationSeparator" w:id="1">
    <w:p w:rsidR="00F3289D" w:rsidRDefault="00F3289D" w:rsidP="008F1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3E2CA5"/>
    <w:multiLevelType w:val="singleLevel"/>
    <w:tmpl w:val="D03E2CA5"/>
    <w:lvl w:ilvl="0">
      <w:start w:val="1"/>
      <w:numFmt w:val="chineseCounting"/>
      <w:suff w:val="nothing"/>
      <w:lvlText w:val="%1、"/>
      <w:lvlJc w:val="left"/>
      <w:rPr>
        <w:rFonts w:hint="eastAsia"/>
      </w:rPr>
    </w:lvl>
  </w:abstractNum>
  <w:abstractNum w:abstractNumId="1">
    <w:nsid w:val="D1879362"/>
    <w:multiLevelType w:val="singleLevel"/>
    <w:tmpl w:val="D1879362"/>
    <w:lvl w:ilvl="0">
      <w:start w:val="5"/>
      <w:numFmt w:val="chineseCounting"/>
      <w:suff w:val="nothing"/>
      <w:lvlText w:val="%1、"/>
      <w:lvlJc w:val="left"/>
      <w:rPr>
        <w:rFonts w:hint="eastAsia"/>
      </w:rPr>
    </w:lvl>
  </w:abstractNum>
  <w:abstractNum w:abstractNumId="2">
    <w:nsid w:val="4B515DC5"/>
    <w:multiLevelType w:val="singleLevel"/>
    <w:tmpl w:val="4B515DC5"/>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1B1C6D"/>
    <w:rsid w:val="001B3DBA"/>
    <w:rsid w:val="001C3877"/>
    <w:rsid w:val="002207D8"/>
    <w:rsid w:val="0027475D"/>
    <w:rsid w:val="00274AEA"/>
    <w:rsid w:val="00373D5B"/>
    <w:rsid w:val="00390522"/>
    <w:rsid w:val="00392076"/>
    <w:rsid w:val="003A21F7"/>
    <w:rsid w:val="0044610A"/>
    <w:rsid w:val="005270E0"/>
    <w:rsid w:val="00533E77"/>
    <w:rsid w:val="005A01E6"/>
    <w:rsid w:val="006238F9"/>
    <w:rsid w:val="00655029"/>
    <w:rsid w:val="006B1F30"/>
    <w:rsid w:val="00750C8B"/>
    <w:rsid w:val="007765AE"/>
    <w:rsid w:val="007912B9"/>
    <w:rsid w:val="00817DCD"/>
    <w:rsid w:val="008548B9"/>
    <w:rsid w:val="008714A0"/>
    <w:rsid w:val="00885A07"/>
    <w:rsid w:val="008B5D70"/>
    <w:rsid w:val="008F10E0"/>
    <w:rsid w:val="00906FAA"/>
    <w:rsid w:val="00925950"/>
    <w:rsid w:val="00962BD2"/>
    <w:rsid w:val="0097410A"/>
    <w:rsid w:val="00A30E95"/>
    <w:rsid w:val="00C4370E"/>
    <w:rsid w:val="00C50308"/>
    <w:rsid w:val="00CB1D4C"/>
    <w:rsid w:val="00CD7F03"/>
    <w:rsid w:val="00CF4A5D"/>
    <w:rsid w:val="00D51F31"/>
    <w:rsid w:val="00D7040F"/>
    <w:rsid w:val="00D8181A"/>
    <w:rsid w:val="00D862CC"/>
    <w:rsid w:val="00E6790C"/>
    <w:rsid w:val="00EC0D66"/>
    <w:rsid w:val="00F3289D"/>
    <w:rsid w:val="00F33E79"/>
    <w:rsid w:val="00F37986"/>
    <w:rsid w:val="00FD1C12"/>
    <w:rsid w:val="00FD7F8E"/>
    <w:rsid w:val="00FF1453"/>
    <w:rsid w:val="0151542A"/>
    <w:rsid w:val="0206302A"/>
    <w:rsid w:val="06851582"/>
    <w:rsid w:val="0CAD2A92"/>
    <w:rsid w:val="0FCD13A3"/>
    <w:rsid w:val="1956217F"/>
    <w:rsid w:val="19674869"/>
    <w:rsid w:val="1C762F78"/>
    <w:rsid w:val="1CF46DEA"/>
    <w:rsid w:val="1FAF79A9"/>
    <w:rsid w:val="20497A0A"/>
    <w:rsid w:val="20D85078"/>
    <w:rsid w:val="23615A3E"/>
    <w:rsid w:val="23B03C82"/>
    <w:rsid w:val="23BD78AE"/>
    <w:rsid w:val="2FDE7F70"/>
    <w:rsid w:val="331F3428"/>
    <w:rsid w:val="36EB1A83"/>
    <w:rsid w:val="3AEC1FDC"/>
    <w:rsid w:val="3DEC0BCD"/>
    <w:rsid w:val="3EE73219"/>
    <w:rsid w:val="41520F88"/>
    <w:rsid w:val="42B5189D"/>
    <w:rsid w:val="459F64D7"/>
    <w:rsid w:val="45C72C93"/>
    <w:rsid w:val="45EA4C8C"/>
    <w:rsid w:val="53707FDC"/>
    <w:rsid w:val="5FF0484F"/>
    <w:rsid w:val="64F130E4"/>
    <w:rsid w:val="69FD1D54"/>
    <w:rsid w:val="6BE248FC"/>
    <w:rsid w:val="6C7A620A"/>
    <w:rsid w:val="6E6C0AB2"/>
    <w:rsid w:val="71E46244"/>
    <w:rsid w:val="730D1A62"/>
    <w:rsid w:val="764E3420"/>
    <w:rsid w:val="7B8221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link w:val="NormalCharacter"/>
    <w:qFormat/>
    <w:rsid w:val="008F10E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8F10E0"/>
    <w:pPr>
      <w:ind w:firstLineChars="200" w:firstLine="420"/>
    </w:pPr>
  </w:style>
  <w:style w:type="paragraph" w:styleId="a3">
    <w:name w:val="Body Text Indent"/>
    <w:basedOn w:val="a"/>
    <w:uiPriority w:val="99"/>
    <w:qFormat/>
    <w:rsid w:val="008F10E0"/>
    <w:pPr>
      <w:spacing w:after="120"/>
      <w:ind w:leftChars="200" w:left="420"/>
    </w:pPr>
  </w:style>
  <w:style w:type="paragraph" w:styleId="a4">
    <w:name w:val="footer"/>
    <w:basedOn w:val="a"/>
    <w:link w:val="Char"/>
    <w:uiPriority w:val="99"/>
    <w:qFormat/>
    <w:rsid w:val="008F10E0"/>
    <w:pPr>
      <w:tabs>
        <w:tab w:val="center" w:pos="4153"/>
        <w:tab w:val="right" w:pos="8306"/>
      </w:tabs>
      <w:snapToGrid w:val="0"/>
      <w:jc w:val="left"/>
    </w:pPr>
    <w:rPr>
      <w:sz w:val="18"/>
    </w:rPr>
  </w:style>
  <w:style w:type="paragraph" w:styleId="a5">
    <w:name w:val="header"/>
    <w:basedOn w:val="a"/>
    <w:link w:val="Char0"/>
    <w:qFormat/>
    <w:rsid w:val="008F10E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Normal (Web)"/>
    <w:basedOn w:val="a"/>
    <w:qFormat/>
    <w:rsid w:val="008F10E0"/>
    <w:pPr>
      <w:spacing w:beforeAutospacing="1" w:afterAutospacing="1"/>
      <w:jc w:val="left"/>
    </w:pPr>
    <w:rPr>
      <w:kern w:val="0"/>
      <w:sz w:val="24"/>
    </w:rPr>
  </w:style>
  <w:style w:type="character" w:styleId="a7">
    <w:name w:val="page number"/>
    <w:basedOn w:val="a0"/>
    <w:rsid w:val="008F10E0"/>
    <w:rPr>
      <w:rFonts w:cs="Times New Roman"/>
    </w:rPr>
  </w:style>
  <w:style w:type="character" w:customStyle="1" w:styleId="Char0">
    <w:name w:val="页眉 Char"/>
    <w:basedOn w:val="a0"/>
    <w:link w:val="a5"/>
    <w:rsid w:val="008F10E0"/>
    <w:rPr>
      <w:kern w:val="2"/>
      <w:sz w:val="18"/>
    </w:rPr>
  </w:style>
  <w:style w:type="character" w:customStyle="1" w:styleId="Char">
    <w:name w:val="页脚 Char"/>
    <w:basedOn w:val="a0"/>
    <w:link w:val="a4"/>
    <w:uiPriority w:val="99"/>
    <w:rsid w:val="008F10E0"/>
    <w:rPr>
      <w:kern w:val="2"/>
      <w:sz w:val="18"/>
    </w:rPr>
  </w:style>
  <w:style w:type="paragraph" w:customStyle="1" w:styleId="1">
    <w:name w:val="列出段落1"/>
    <w:basedOn w:val="a"/>
    <w:unhideWhenUsed/>
    <w:qFormat/>
    <w:rsid w:val="008F10E0"/>
    <w:pPr>
      <w:ind w:firstLineChars="200" w:firstLine="420"/>
    </w:pPr>
    <w:rPr>
      <w:szCs w:val="24"/>
    </w:rPr>
  </w:style>
  <w:style w:type="character" w:customStyle="1" w:styleId="NormalCharacter">
    <w:name w:val="NormalCharacter"/>
    <w:semiHidden/>
    <w:qFormat/>
    <w:rsid w:val="008F10E0"/>
    <w:rPr>
      <w:rFonts w:ascii="Calibri" w:eastAsia="宋体" w:hAnsi="Calibri" w:cs="Times New Roman"/>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100.com/zuowen/a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2219</Words>
  <Characters>12650</Characters>
  <Application>Microsoft Office Word</Application>
  <DocSecurity>0</DocSecurity>
  <Lines>105</Lines>
  <Paragraphs>29</Paragraphs>
  <ScaleCrop>false</ScaleCrop>
  <Company>微软中国</Company>
  <LinksUpToDate>false</LinksUpToDate>
  <CharactersWithSpaces>14840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土政请【2015】03号                                     签发：李艳军</dc:title>
  <dc:creator>WPS_1466303850</dc:creator>
  <cp:lastModifiedBy>admin</cp:lastModifiedBy>
  <cp:revision>7</cp:revision>
  <cp:lastPrinted>2019-03-11T07:38:00Z</cp:lastPrinted>
  <dcterms:created xsi:type="dcterms:W3CDTF">2021-07-05T09:10:00Z</dcterms:created>
  <dcterms:modified xsi:type="dcterms:W3CDTF">2021-08-04T07:28:00Z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A813EA6325F34E5CAA6F3CEA791DBE3B</vt:lpwstr>
  </property>
</Properties>
</file>