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ECC90">
      <w:pPr>
        <w:jc w:val="center"/>
        <w:rPr>
          <w:rFonts w:hint="eastAsia" w:ascii="方正小标宋_GBK" w:hAnsi="方正小标宋_GBK" w:eastAsia="方正小标宋_GBK" w:cs="方正小标宋_GBK"/>
          <w:sz w:val="96"/>
          <w:szCs w:val="96"/>
        </w:rPr>
      </w:pPr>
      <w:r>
        <w:rPr>
          <w:rFonts w:hint="eastAsia" w:ascii="方正小标宋_GBK" w:hAnsi="方正小标宋_GBK" w:eastAsia="方正小标宋_GBK" w:cs="方正小标宋_GBK"/>
          <w:sz w:val="96"/>
          <w:szCs w:val="96"/>
          <w:lang w:eastAsia="zh-CN"/>
        </w:rPr>
        <w:t>洞下场烈士陵园</w:t>
      </w:r>
      <w:r>
        <w:rPr>
          <w:rFonts w:hint="eastAsia" w:ascii="方正小标宋_GBK" w:hAnsi="方正小标宋_GBK" w:eastAsia="方正小标宋_GBK" w:cs="方正小标宋_GBK"/>
          <w:sz w:val="96"/>
          <w:szCs w:val="96"/>
        </w:rPr>
        <w:t>保护范围公告</w:t>
      </w:r>
    </w:p>
    <w:p w14:paraId="1D81EDBD">
      <w:pPr>
        <w:rPr>
          <w:rFonts w:hint="eastAsia" w:ascii="方正小标宋_GBK" w:hAnsi="方正小标宋_GBK" w:eastAsia="方正小标宋_GBK" w:cs="方正小标宋_GBK"/>
          <w:sz w:val="44"/>
          <w:szCs w:val="44"/>
        </w:rPr>
      </w:pPr>
    </w:p>
    <w:p w14:paraId="2A02E503">
      <w:pPr>
        <w:ind w:firstLine="880" w:firstLineChars="200"/>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根据《烈士纪念设施保护管理办法》规定，烈士纪念设施保护或管理单位的上级主管部门应当根据烈士纪念设施的类别、规模、保护级别以及周边环境等情况，提出划定烈士纪念设施保护范围的方案，报同级人民政府批准后公布</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rPr>
        <w:t>结合我县实际，现将</w:t>
      </w:r>
      <w:r>
        <w:rPr>
          <w:rFonts w:hint="eastAsia" w:ascii="仿宋_GB2312" w:hAnsi="仿宋_GB2312" w:eastAsia="仿宋_GB2312" w:cs="仿宋_GB2312"/>
          <w:sz w:val="44"/>
          <w:szCs w:val="44"/>
          <w:lang w:eastAsia="zh-CN"/>
        </w:rPr>
        <w:t>洞下场烈士陵园</w:t>
      </w:r>
      <w:r>
        <w:rPr>
          <w:rFonts w:hint="eastAsia" w:ascii="仿宋_GB2312" w:hAnsi="仿宋_GB2312" w:eastAsia="仿宋_GB2312" w:cs="仿宋_GB2312"/>
          <w:sz w:val="44"/>
          <w:szCs w:val="44"/>
        </w:rPr>
        <w:t>保护范围</w:t>
      </w:r>
      <w:r>
        <w:rPr>
          <w:rFonts w:hint="eastAsia" w:ascii="仿宋_GB2312" w:hAnsi="仿宋_GB2312" w:eastAsia="仿宋_GB2312" w:cs="仿宋_GB2312"/>
          <w:sz w:val="44"/>
          <w:szCs w:val="44"/>
          <w:lang w:val="en-US" w:eastAsia="zh-CN"/>
        </w:rPr>
        <w:t>公告如下：</w:t>
      </w:r>
    </w:p>
    <w:p w14:paraId="3A28F11F">
      <w:pPr>
        <w:ind w:firstLine="880" w:firstLineChars="200"/>
        <w:rPr>
          <w:rFonts w:hint="eastAsia" w:ascii="仿宋_GB2312" w:hAnsi="仿宋_GB2312" w:eastAsia="仿宋_GB2312" w:cs="仿宋_GB2312"/>
          <w:sz w:val="44"/>
          <w:szCs w:val="44"/>
          <w:lang w:eastAsia="zh-CN"/>
        </w:rPr>
      </w:pPr>
      <w:r>
        <w:rPr>
          <w:rFonts w:hint="eastAsia" w:ascii="黑体" w:hAnsi="黑体" w:eastAsia="黑体" w:cs="黑体"/>
          <w:sz w:val="44"/>
          <w:szCs w:val="44"/>
          <w:lang w:val="en-US" w:eastAsia="zh-CN"/>
        </w:rPr>
        <w:t>一、</w:t>
      </w:r>
      <w:r>
        <w:rPr>
          <w:rFonts w:hint="eastAsia" w:ascii="黑体" w:hAnsi="黑体" w:eastAsia="黑体" w:cs="黑体"/>
          <w:sz w:val="44"/>
          <w:szCs w:val="44"/>
        </w:rPr>
        <w:t>设施名称：</w:t>
      </w:r>
      <w:r>
        <w:rPr>
          <w:rFonts w:hint="eastAsia" w:ascii="仿宋_GB2312" w:hAnsi="仿宋_GB2312" w:eastAsia="仿宋_GB2312" w:cs="仿宋_GB2312"/>
          <w:sz w:val="44"/>
          <w:szCs w:val="44"/>
          <w:lang w:eastAsia="zh-CN"/>
        </w:rPr>
        <w:t>洞下场烈士陵园</w:t>
      </w:r>
    </w:p>
    <w:p w14:paraId="7827DC3F">
      <w:pPr>
        <w:ind w:firstLine="880" w:firstLineChars="200"/>
        <w:rPr>
          <w:rFonts w:hint="eastAsia" w:ascii="仿宋_GB2312" w:hAnsi="仿宋_GB2312" w:eastAsia="仿宋_GB2312" w:cs="仿宋_GB2312"/>
          <w:sz w:val="44"/>
          <w:szCs w:val="44"/>
          <w:lang w:eastAsia="zh-CN"/>
        </w:rPr>
      </w:pPr>
      <w:r>
        <w:rPr>
          <w:rFonts w:hint="eastAsia" w:ascii="黑体" w:hAnsi="黑体" w:eastAsia="黑体" w:cs="黑体"/>
          <w:sz w:val="44"/>
          <w:szCs w:val="44"/>
          <w:lang w:val="en-US" w:eastAsia="zh-CN"/>
        </w:rPr>
        <w:t>二、设施地址：</w:t>
      </w:r>
      <w:r>
        <w:rPr>
          <w:rFonts w:hint="eastAsia" w:ascii="仿宋_GB2312" w:hAnsi="仿宋_GB2312" w:eastAsia="仿宋_GB2312" w:cs="仿宋_GB2312"/>
          <w:sz w:val="44"/>
          <w:szCs w:val="44"/>
          <w:lang w:eastAsia="zh-CN"/>
        </w:rPr>
        <w:t>芷江侗族自治县洞下场乡洞下场村</w:t>
      </w:r>
    </w:p>
    <w:p w14:paraId="6823AE63">
      <w:pPr>
        <w:ind w:firstLine="880" w:firstLineChars="200"/>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三、主管部门：</w:t>
      </w:r>
      <w:r>
        <w:rPr>
          <w:rFonts w:hint="eastAsia" w:ascii="仿宋_GB2312" w:hAnsi="仿宋_GB2312" w:eastAsia="仿宋_GB2312" w:cs="仿宋_GB2312"/>
          <w:sz w:val="44"/>
          <w:szCs w:val="44"/>
          <w:lang w:eastAsia="zh-CN"/>
        </w:rPr>
        <w:t>芷江侗族自治县</w:t>
      </w:r>
      <w:r>
        <w:rPr>
          <w:rFonts w:hint="eastAsia" w:ascii="仿宋_GB2312" w:hAnsi="仿宋_GB2312" w:eastAsia="仿宋_GB2312" w:cs="仿宋_GB2312"/>
          <w:sz w:val="44"/>
          <w:szCs w:val="44"/>
        </w:rPr>
        <w:t>退役军人事务局</w:t>
      </w:r>
    </w:p>
    <w:p w14:paraId="3E27D58A">
      <w:pPr>
        <w:ind w:firstLine="880" w:firstLineChars="200"/>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四、保护单位：</w:t>
      </w:r>
      <w:r>
        <w:rPr>
          <w:rFonts w:hint="eastAsia" w:ascii="仿宋_GB2312" w:hAnsi="仿宋_GB2312" w:eastAsia="仿宋_GB2312" w:cs="仿宋_GB2312"/>
          <w:sz w:val="44"/>
          <w:szCs w:val="44"/>
          <w:lang w:eastAsia="zh-CN"/>
        </w:rPr>
        <w:t>芷江侗族自治县</w:t>
      </w:r>
      <w:r>
        <w:rPr>
          <w:rFonts w:hint="eastAsia" w:ascii="仿宋_GB2312" w:hAnsi="仿宋_GB2312" w:eastAsia="仿宋_GB2312" w:cs="仿宋_GB2312"/>
          <w:sz w:val="44"/>
          <w:szCs w:val="44"/>
        </w:rPr>
        <w:t>退役军人事务局</w:t>
      </w:r>
    </w:p>
    <w:p w14:paraId="62092119">
      <w:pPr>
        <w:ind w:firstLine="880" w:firstLineChars="200"/>
        <w:rPr>
          <w:rFonts w:hint="eastAsia" w:ascii="仿宋_GB2312" w:hAnsi="仿宋_GB2312" w:eastAsia="仿宋_GB2312" w:cs="仿宋_GB2312"/>
          <w:sz w:val="44"/>
          <w:szCs w:val="44"/>
          <w:lang w:eastAsia="zh-CN"/>
        </w:rPr>
      </w:pPr>
      <w:r>
        <w:rPr>
          <w:rFonts w:hint="eastAsia" w:ascii="黑体" w:hAnsi="黑体" w:eastAsia="黑体" w:cs="黑体"/>
          <w:sz w:val="44"/>
          <w:szCs w:val="44"/>
          <w:lang w:val="en-US" w:eastAsia="zh-CN"/>
        </w:rPr>
        <w:t>五、保护级别：</w:t>
      </w:r>
      <w:r>
        <w:rPr>
          <w:rFonts w:hint="eastAsia" w:ascii="仿宋_GB2312" w:hAnsi="仿宋_GB2312" w:eastAsia="仿宋_GB2312" w:cs="仿宋_GB2312"/>
          <w:sz w:val="44"/>
          <w:szCs w:val="44"/>
          <w:lang w:eastAsia="zh-CN"/>
        </w:rPr>
        <w:t>县级</w:t>
      </w:r>
    </w:p>
    <w:p w14:paraId="724FFC0D">
      <w:pPr>
        <w:ind w:firstLine="880" w:firstLineChars="200"/>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六、保护范围：</w:t>
      </w:r>
      <w:r>
        <w:rPr>
          <w:rFonts w:hint="eastAsia" w:ascii="仿宋_GB2312" w:hAnsi="仿宋_GB2312" w:eastAsia="仿宋_GB2312" w:cs="仿宋_GB2312"/>
          <w:sz w:val="44"/>
          <w:szCs w:val="44"/>
          <w:lang w:eastAsia="zh-CN"/>
        </w:rPr>
        <w:t>洞下场烈士陵园</w:t>
      </w:r>
      <w:r>
        <w:rPr>
          <w:rFonts w:hint="eastAsia" w:ascii="仿宋_GB2312" w:hAnsi="仿宋_GB2312" w:eastAsia="仿宋_GB2312" w:cs="仿宋_GB2312"/>
          <w:sz w:val="44"/>
          <w:szCs w:val="44"/>
        </w:rPr>
        <w:t>占地面积为</w:t>
      </w:r>
      <w:r>
        <w:rPr>
          <w:rFonts w:hint="eastAsia" w:ascii="仿宋_GB2312" w:hAnsi="仿宋_GB2312" w:eastAsia="仿宋_GB2312" w:cs="仿宋_GB2312"/>
          <w:sz w:val="44"/>
          <w:szCs w:val="44"/>
          <w:lang w:val="en-US" w:eastAsia="zh-CN"/>
        </w:rPr>
        <w:t>1235</w:t>
      </w:r>
      <w:r>
        <w:rPr>
          <w:rFonts w:hint="eastAsia" w:ascii="仿宋_GB2312" w:hAnsi="仿宋_GB2312" w:eastAsia="仿宋_GB2312" w:cs="仿宋_GB2312"/>
          <w:sz w:val="44"/>
          <w:szCs w:val="44"/>
        </w:rPr>
        <w:t>平方米</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rPr>
        <w:t>东</w:t>
      </w:r>
      <w:r>
        <w:rPr>
          <w:rFonts w:hint="eastAsia" w:ascii="仿宋_GB2312" w:hAnsi="仿宋_GB2312" w:eastAsia="仿宋_GB2312" w:cs="仿宋_GB2312"/>
          <w:sz w:val="44"/>
          <w:szCs w:val="44"/>
          <w:lang w:val="en-US" w:eastAsia="zh-CN"/>
        </w:rPr>
        <w:t>至洞下场变电站组路；南至洞下场组林地</w:t>
      </w:r>
      <w:r>
        <w:rPr>
          <w:rFonts w:hint="eastAsia" w:ascii="仿宋_GB2312" w:hAnsi="仿宋_GB2312" w:eastAsia="仿宋_GB2312" w:cs="仿宋_GB2312"/>
          <w:sz w:val="44"/>
          <w:szCs w:val="44"/>
          <w:lang w:eastAsia="zh-CN"/>
        </w:rPr>
        <w:t>；</w:t>
      </w:r>
      <w:r>
        <w:rPr>
          <w:rFonts w:hint="eastAsia" w:ascii="仿宋_GB2312" w:hAnsi="仿宋_GB2312" w:eastAsia="仿宋_GB2312" w:cs="仿宋_GB2312"/>
          <w:sz w:val="44"/>
          <w:szCs w:val="44"/>
          <w:lang w:val="en-US" w:eastAsia="zh-CN"/>
        </w:rPr>
        <w:t>西至</w:t>
      </w:r>
      <w:r>
        <w:rPr>
          <w:rFonts w:hint="eastAsia" w:ascii="仿宋_GB2312" w:hAnsi="仿宋_GB2312" w:eastAsia="仿宋_GB2312" w:cs="仿宋_GB2312"/>
          <w:sz w:val="44"/>
          <w:szCs w:val="44"/>
          <w:lang w:eastAsia="zh-CN"/>
        </w:rPr>
        <w:t>天柱至芷江省道；</w:t>
      </w:r>
      <w:r>
        <w:rPr>
          <w:rFonts w:hint="eastAsia" w:ascii="仿宋_GB2312" w:hAnsi="仿宋_GB2312" w:eastAsia="仿宋_GB2312" w:cs="仿宋_GB2312"/>
          <w:sz w:val="44"/>
          <w:szCs w:val="44"/>
          <w:lang w:val="en-US" w:eastAsia="zh-CN"/>
        </w:rPr>
        <w:t>北至</w:t>
      </w:r>
      <w:r>
        <w:rPr>
          <w:rFonts w:hint="eastAsia" w:ascii="仿宋_GB2312" w:hAnsi="仿宋_GB2312" w:eastAsia="仿宋_GB2312" w:cs="仿宋_GB2312"/>
          <w:sz w:val="44"/>
          <w:szCs w:val="44"/>
          <w:lang w:eastAsia="zh-CN"/>
        </w:rPr>
        <w:t>天柱至芷江省道</w:t>
      </w:r>
      <w:r>
        <w:rPr>
          <w:rFonts w:hint="eastAsia" w:ascii="仿宋_GB2312" w:hAnsi="仿宋_GB2312" w:eastAsia="仿宋_GB2312" w:cs="仿宋_GB2312"/>
          <w:sz w:val="44"/>
          <w:szCs w:val="44"/>
          <w:lang w:val="en-US" w:eastAsia="zh-CN"/>
        </w:rPr>
        <w:t>。</w:t>
      </w:r>
    </w:p>
    <w:p w14:paraId="55F138ED">
      <w:pPr>
        <w:ind w:firstLine="880" w:firstLineChars="200"/>
        <w:rPr>
          <w:rFonts w:hint="eastAsia" w:ascii="仿宋_GB2312" w:hAnsi="仿宋_GB2312" w:eastAsia="仿宋_GB2312" w:cs="仿宋_GB2312"/>
          <w:sz w:val="44"/>
          <w:szCs w:val="44"/>
        </w:rPr>
      </w:pPr>
      <w:r>
        <w:rPr>
          <w:rFonts w:hint="eastAsia" w:ascii="黑体" w:hAnsi="黑体" w:eastAsia="黑体" w:cs="黑体"/>
          <w:sz w:val="44"/>
          <w:szCs w:val="44"/>
          <w:lang w:val="en-US" w:eastAsia="zh-CN"/>
        </w:rPr>
        <w:t>七、保护要求：</w:t>
      </w:r>
      <w:r>
        <w:rPr>
          <w:rFonts w:hint="eastAsia" w:ascii="仿宋_GB2312" w:hAnsi="仿宋_GB2312" w:eastAsia="仿宋_GB2312" w:cs="仿宋_GB2312"/>
          <w:sz w:val="44"/>
          <w:szCs w:val="44"/>
          <w:lang w:eastAsia="zh-CN"/>
        </w:rPr>
        <w:t>洞下场烈士陵园</w:t>
      </w:r>
      <w:r>
        <w:rPr>
          <w:rFonts w:hint="eastAsia" w:ascii="仿宋_GB2312" w:hAnsi="仿宋_GB2312" w:eastAsia="仿宋_GB2312" w:cs="仿宋_GB2312"/>
          <w:sz w:val="44"/>
          <w:szCs w:val="44"/>
        </w:rPr>
        <w:t>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在烈士纪念设施保护范围内从事有损纪念英烈环境和氛围活动的，烈士纪念设施保护单位和管理单位应当及时劝阻；不听劝阻的，由县级以上人民政府退役军人工作主管部门会同有关部门按照职责规定给予批评教育，责令改正。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r>
        <w:rPr>
          <w:rFonts w:hint="eastAsia" w:ascii="仿宋_GB2312" w:hAnsi="仿宋_GB2312" w:eastAsia="仿宋_GB2312" w:cs="仿宋_GB2312"/>
          <w:sz w:val="44"/>
          <w:szCs w:val="44"/>
          <w:lang w:val="en-US" w:eastAsia="zh-CN"/>
        </w:rPr>
        <w:t>；</w:t>
      </w:r>
      <w:r>
        <w:rPr>
          <w:rFonts w:hint="eastAsia" w:ascii="仿宋_GB2312" w:hAnsi="仿宋_GB2312" w:eastAsia="仿宋_GB2312" w:cs="仿宋_GB2312"/>
          <w:sz w:val="44"/>
          <w:szCs w:val="44"/>
        </w:rPr>
        <w:t>构成违反治安管理行为的，依法给予治安管理处罚；构成犯罪的，依法追究刑事责任。</w:t>
      </w:r>
    </w:p>
    <w:p w14:paraId="793020DE">
      <w:pPr>
        <w:ind w:firstLine="880" w:firstLineChars="200"/>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附：</w:t>
      </w:r>
      <w:r>
        <w:rPr>
          <w:rFonts w:hint="eastAsia" w:ascii="仿宋_GB2312" w:hAnsi="仿宋_GB2312" w:eastAsia="仿宋_GB2312" w:cs="仿宋_GB2312"/>
          <w:sz w:val="44"/>
          <w:szCs w:val="44"/>
          <w:lang w:eastAsia="zh-CN"/>
        </w:rPr>
        <w:t>洞下场烈士陵园</w:t>
      </w:r>
      <w:r>
        <w:rPr>
          <w:rFonts w:hint="eastAsia" w:ascii="仿宋_GB2312" w:hAnsi="仿宋_GB2312" w:eastAsia="仿宋_GB2312" w:cs="仿宋_GB2312"/>
          <w:sz w:val="44"/>
          <w:szCs w:val="44"/>
        </w:rPr>
        <w:t>保护范围红线图</w:t>
      </w:r>
    </w:p>
    <w:p w14:paraId="08C84B3A">
      <w:pPr>
        <w:ind w:firstLine="880" w:firstLineChars="200"/>
        <w:rPr>
          <w:rFonts w:hint="eastAsia" w:ascii="仿宋_GB2312" w:hAnsi="仿宋_GB2312" w:eastAsia="仿宋_GB2312" w:cs="仿宋_GB2312"/>
          <w:sz w:val="44"/>
          <w:szCs w:val="44"/>
        </w:rPr>
      </w:pPr>
    </w:p>
    <w:p w14:paraId="4E636B45">
      <w:pPr>
        <w:keepNext w:val="0"/>
        <w:keepLines w:val="0"/>
        <w:pageBreakBefore w:val="0"/>
        <w:widowControl w:val="0"/>
        <w:kinsoku/>
        <w:wordWrap/>
        <w:overflowPunct/>
        <w:topLinePunct w:val="0"/>
        <w:autoSpaceDE/>
        <w:autoSpaceDN/>
        <w:bidi w:val="0"/>
        <w:adjustRightInd/>
        <w:snapToGrid/>
        <w:spacing w:line="620" w:lineRule="exact"/>
        <w:ind w:firstLine="6160" w:firstLineChars="1400"/>
        <w:textAlignment w:val="auto"/>
        <w:rPr>
          <w:rFonts w:hint="default" w:ascii="Times New Roman" w:hAnsi="Times New Roman" w:eastAsia="方正仿宋_GB2312" w:cs="Times New Roman"/>
          <w:sz w:val="44"/>
          <w:szCs w:val="44"/>
        </w:rPr>
      </w:pPr>
      <w:r>
        <w:rPr>
          <w:rFonts w:hint="default" w:ascii="Times New Roman" w:hAnsi="Times New Roman" w:eastAsia="方正仿宋_GB2312" w:cs="Times New Roman"/>
          <w:sz w:val="44"/>
          <w:szCs w:val="44"/>
          <w:lang w:val="en-US" w:eastAsia="zh-CN"/>
        </w:rPr>
        <w:t>发布机构：</w:t>
      </w:r>
      <w:r>
        <w:rPr>
          <w:rFonts w:hint="default" w:ascii="Times New Roman" w:hAnsi="Times New Roman" w:eastAsia="方正仿宋_GB2312" w:cs="Times New Roman"/>
          <w:sz w:val="44"/>
          <w:szCs w:val="44"/>
          <w:lang w:eastAsia="zh-CN"/>
        </w:rPr>
        <w:t>芷江侗族自治县</w:t>
      </w:r>
      <w:r>
        <w:rPr>
          <w:rFonts w:hint="default" w:ascii="Times New Roman" w:hAnsi="Times New Roman" w:eastAsia="方正仿宋_GB2312" w:cs="Times New Roman"/>
          <w:sz w:val="44"/>
          <w:szCs w:val="44"/>
        </w:rPr>
        <w:t>人民政府</w:t>
      </w:r>
    </w:p>
    <w:p w14:paraId="0BB15F18">
      <w:pPr>
        <w:keepNext w:val="0"/>
        <w:keepLines w:val="0"/>
        <w:pageBreakBefore w:val="0"/>
        <w:widowControl w:val="0"/>
        <w:kinsoku/>
        <w:wordWrap/>
        <w:overflowPunct/>
        <w:topLinePunct w:val="0"/>
        <w:autoSpaceDE/>
        <w:autoSpaceDN/>
        <w:bidi w:val="0"/>
        <w:adjustRightInd/>
        <w:snapToGrid/>
        <w:spacing w:line="620" w:lineRule="exact"/>
        <w:ind w:firstLine="5280" w:firstLineChars="1200"/>
        <w:textAlignment w:val="auto"/>
        <w:rPr>
          <w:rFonts w:hint="eastAsia" w:ascii="Times New Roman" w:hAnsi="Times New Roman" w:eastAsia="方正仿宋_GB2312" w:cs="Times New Roman"/>
          <w:sz w:val="44"/>
          <w:szCs w:val="44"/>
          <w:lang w:val="en-US" w:eastAsia="zh-CN"/>
        </w:rPr>
      </w:pPr>
      <w:r>
        <w:rPr>
          <w:rFonts w:hint="default" w:ascii="Times New Roman" w:hAnsi="Times New Roman" w:eastAsia="方正仿宋_GB2312" w:cs="Times New Roman"/>
          <w:sz w:val="44"/>
          <w:szCs w:val="44"/>
          <w:lang w:val="en-US" w:eastAsia="zh-CN"/>
        </w:rPr>
        <w:t xml:space="preserve">  </w:t>
      </w:r>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 xml:space="preserve">   2024年1</w:t>
      </w:r>
      <w:r>
        <w:rPr>
          <w:rFonts w:hint="eastAsia" w:ascii="Times New Roman" w:hAnsi="Times New Roman" w:eastAsia="方正仿宋_GB2312" w:cs="Times New Roman"/>
          <w:sz w:val="44"/>
          <w:szCs w:val="44"/>
          <w:lang w:val="en-US" w:eastAsia="zh-CN"/>
        </w:rPr>
        <w:t>2</w:t>
      </w:r>
      <w:r>
        <w:rPr>
          <w:rFonts w:hint="default" w:ascii="Times New Roman" w:hAnsi="Times New Roman" w:eastAsia="方正仿宋_GB2312" w:cs="Times New Roman"/>
          <w:sz w:val="44"/>
          <w:szCs w:val="44"/>
          <w:lang w:val="en-US" w:eastAsia="zh-CN"/>
        </w:rPr>
        <w:t>月</w:t>
      </w:r>
      <w:r>
        <w:rPr>
          <w:rFonts w:hint="eastAsia" w:ascii="Times New Roman" w:hAnsi="Times New Roman" w:eastAsia="方正仿宋_GB2312" w:cs="Times New Roman"/>
          <w:sz w:val="44"/>
          <w:szCs w:val="44"/>
          <w:lang w:val="en-US" w:eastAsia="zh-CN"/>
        </w:rPr>
        <w:t xml:space="preserve"> 4</w:t>
      </w:r>
      <w:bookmarkStart w:id="0" w:name="_GoBack"/>
      <w:bookmarkEnd w:id="0"/>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日</w:t>
      </w:r>
    </w:p>
    <w:p w14:paraId="702CA7A8">
      <w:pPr>
        <w:ind w:firstLine="5280" w:firstLineChars="1200"/>
        <w:jc w:val="center"/>
        <w:rPr>
          <w:rFonts w:hint="default" w:ascii="仿宋_GB2312" w:hAnsi="仿宋_GB2312" w:eastAsia="方正小标宋_GBK" w:cs="仿宋_GB2312"/>
          <w:sz w:val="44"/>
          <w:szCs w:val="44"/>
          <w:lang w:val="en-US" w:eastAsia="zh-CN"/>
        </w:rPr>
      </w:pPr>
      <w:r>
        <w:rPr>
          <w:rFonts w:hint="eastAsia" w:ascii="仿宋_GB2312" w:hAnsi="仿宋_GB2312" w:eastAsia="仿宋_GB2312" w:cs="仿宋_GB2312"/>
          <w:sz w:val="44"/>
          <w:szCs w:val="44"/>
          <w:lang w:val="en-US" w:eastAsia="zh-CN"/>
        </w:rPr>
        <w:br w:type="textWrapping"/>
      </w:r>
      <w:r>
        <w:rPr>
          <w:rFonts w:hint="eastAsia" w:ascii="方正小标宋_GBK" w:hAnsi="方正小标宋_GBK" w:eastAsia="方正小标宋_GBK" w:cs="方正小标宋_GBK"/>
          <w:sz w:val="96"/>
          <w:szCs w:val="96"/>
          <w:lang w:eastAsia="zh-CN"/>
        </w:rPr>
        <w:t>洞下场烈士陵园</w:t>
      </w:r>
      <w:r>
        <w:rPr>
          <w:rFonts w:hint="eastAsia" w:ascii="方正小标宋_GBK" w:hAnsi="方正小标宋_GBK" w:eastAsia="方正小标宋_GBK" w:cs="方正小标宋_GBK"/>
          <w:sz w:val="96"/>
          <w:szCs w:val="96"/>
        </w:rPr>
        <w:t>保护范围</w:t>
      </w:r>
      <w:r>
        <w:rPr>
          <w:rFonts w:hint="eastAsia" w:ascii="方正小标宋_GBK" w:hAnsi="方正小标宋_GBK" w:eastAsia="方正小标宋_GBK" w:cs="方正小标宋_GBK"/>
          <w:sz w:val="96"/>
          <w:szCs w:val="96"/>
          <w:lang w:val="en-US" w:eastAsia="zh-CN"/>
        </w:rPr>
        <w:t>红线图</w:t>
      </w:r>
    </w:p>
    <w:p w14:paraId="170B5255">
      <w:pPr>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drawing>
          <wp:inline distT="0" distB="0" distL="114300" distR="114300">
            <wp:extent cx="9182100" cy="10507345"/>
            <wp:effectExtent l="0" t="0" r="0" b="8255"/>
            <wp:docPr id="1" name="图片 1" descr="13洞下场烈士陵园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洞下场烈士陵园_00"/>
                    <pic:cNvPicPr>
                      <a:picLocks noChangeAspect="1"/>
                    </pic:cNvPicPr>
                  </pic:nvPicPr>
                  <pic:blipFill>
                    <a:blip r:embed="rId4"/>
                    <a:srcRect t="11216" b="8144"/>
                    <a:stretch>
                      <a:fillRect/>
                    </a:stretch>
                  </pic:blipFill>
                  <pic:spPr>
                    <a:xfrm>
                      <a:off x="0" y="0"/>
                      <a:ext cx="9182100" cy="10507345"/>
                    </a:xfrm>
                    <a:prstGeom prst="rect">
                      <a:avLst/>
                    </a:prstGeom>
                  </pic:spPr>
                </pic:pic>
              </a:graphicData>
            </a:graphic>
          </wp:inline>
        </w:drawing>
      </w:r>
    </w:p>
    <w:p w14:paraId="23E37620">
      <w:pPr>
        <w:jc w:val="center"/>
        <w:rPr>
          <w:rFonts w:hint="eastAsia" w:ascii="仿宋_GB2312" w:hAnsi="仿宋_GB2312" w:eastAsia="仿宋_GB2312" w:cs="仿宋_GB2312"/>
          <w:sz w:val="44"/>
          <w:szCs w:val="44"/>
          <w:lang w:val="en-US" w:eastAsia="zh-CN"/>
        </w:rPr>
      </w:pPr>
    </w:p>
    <w:p w14:paraId="093BF4DE">
      <w:pPr>
        <w:jc w:val="center"/>
        <w:rPr>
          <w:rFonts w:hint="eastAsia" w:ascii="仿宋_GB2312" w:hAnsi="仿宋_GB2312" w:eastAsia="仿宋_GB2312" w:cs="仿宋_GB2312"/>
          <w:sz w:val="44"/>
          <w:szCs w:val="44"/>
          <w:lang w:val="en-US" w:eastAsia="zh-CN"/>
        </w:rPr>
      </w:pPr>
    </w:p>
    <w:p w14:paraId="44C56E7C">
      <w:pPr>
        <w:ind w:firstLine="5280" w:firstLineChars="1200"/>
        <w:rPr>
          <w:rFonts w:hint="eastAsia" w:ascii="仿宋_GB2312" w:hAnsi="仿宋_GB2312" w:eastAsia="仿宋_GB2312" w:cs="仿宋_GB2312"/>
          <w:sz w:val="44"/>
          <w:szCs w:val="44"/>
          <w:lang w:val="en-US" w:eastAsia="zh-CN"/>
        </w:rPr>
      </w:pPr>
    </w:p>
    <w:sectPr>
      <w:pgSz w:w="16838" w:h="23811"/>
      <w:pgMar w:top="1723" w:right="1134"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E7E244-E122-434B-BC16-878DAAB66F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88DAD960-E9B2-4867-9E72-BDA0ED4BA4A8}"/>
  </w:font>
  <w:font w:name="仿宋_GB2312">
    <w:panose1 w:val="02010609030101010101"/>
    <w:charset w:val="86"/>
    <w:family w:val="auto"/>
    <w:pitch w:val="default"/>
    <w:sig w:usb0="00000001" w:usb1="080E0000" w:usb2="00000000" w:usb3="00000000" w:csb0="00040000" w:csb1="00000000"/>
    <w:embedRegular r:id="rId3" w:fontKey="{32B5EC82-30B1-4206-9903-12F253B8FD14}"/>
  </w:font>
  <w:font w:name="方正仿宋_GB2312">
    <w:panose1 w:val="02000000000000000000"/>
    <w:charset w:val="86"/>
    <w:family w:val="auto"/>
    <w:pitch w:val="default"/>
    <w:sig w:usb0="A00002BF" w:usb1="184F6CFA" w:usb2="00000012" w:usb3="00000000" w:csb0="00040001" w:csb1="00000000"/>
    <w:embedRegular r:id="rId4" w:fontKey="{84E02ECF-A815-403E-A7DB-5946F6F1856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Tg3N2FjMjM4Zjc5MWQ5YmU2NzJlOWJjM2FmZTkifQ=="/>
  </w:docVars>
  <w:rsids>
    <w:rsidRoot w:val="1E792E43"/>
    <w:rsid w:val="061E66FE"/>
    <w:rsid w:val="084D7C2D"/>
    <w:rsid w:val="0BEF4CA9"/>
    <w:rsid w:val="1365647B"/>
    <w:rsid w:val="1C340123"/>
    <w:rsid w:val="1E792E43"/>
    <w:rsid w:val="1EF56986"/>
    <w:rsid w:val="21C546AF"/>
    <w:rsid w:val="2ECD27D0"/>
    <w:rsid w:val="3A1E4827"/>
    <w:rsid w:val="42862F6A"/>
    <w:rsid w:val="45EE64D4"/>
    <w:rsid w:val="4C5E0AB3"/>
    <w:rsid w:val="5CFB78BC"/>
    <w:rsid w:val="5E361890"/>
    <w:rsid w:val="6ECC3397"/>
    <w:rsid w:val="6EF164B9"/>
    <w:rsid w:val="6FA731D8"/>
    <w:rsid w:val="6FEF882F"/>
    <w:rsid w:val="7BB76E4A"/>
    <w:rsid w:val="7FDA9C41"/>
    <w:rsid w:val="7FFF3221"/>
    <w:rsid w:val="7FFFC8BE"/>
    <w:rsid w:val="ABE7E8D1"/>
    <w:rsid w:val="DDFDBA72"/>
    <w:rsid w:val="ECFE3648"/>
    <w:rsid w:val="EE7F712C"/>
    <w:rsid w:val="EF6F4003"/>
    <w:rsid w:val="F9FA7213"/>
    <w:rsid w:val="FB6D6D20"/>
    <w:rsid w:val="FFB9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722</Words>
  <Characters>729</Characters>
  <Lines>0</Lines>
  <Paragraphs>0</Paragraphs>
  <TotalTime>1</TotalTime>
  <ScaleCrop>false</ScaleCrop>
  <LinksUpToDate>false</LinksUpToDate>
  <CharactersWithSpaces>744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2024-11-13T00:06:00Z</dcterms:created>
  <dc:creator>天下有余</dc:creator>
  <cp:lastModifiedBy>独</cp:lastModifiedBy>
  <dcterms:modified xsi:type="dcterms:W3CDTF">2024-12-04T02:17:02Z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F9F693AAAEA34FBA9730A7822BC5DA34_13</vt:lpwstr>
  </property>
</Properties>
</file>