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ind w:left="-420" w:leftChars="-200" w:firstLine="0" w:firstLineChars="0"/>
        <w:jc w:val="left"/>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附件</w:t>
      </w:r>
      <w:r>
        <w:rPr>
          <w:rFonts w:hint="eastAsia" w:ascii="黑体" w:hAnsi="黑体" w:eastAsia="黑体" w:cs="黑体"/>
          <w:b w:val="0"/>
          <w:bCs w:val="0"/>
          <w:sz w:val="36"/>
          <w:szCs w:val="36"/>
          <w:lang w:val="en-US" w:eastAsia="zh-CN"/>
        </w:rPr>
        <w:t>8</w:t>
      </w:r>
    </w:p>
    <w:p>
      <w:pPr>
        <w:snapToGrid w:val="0"/>
        <w:spacing w:line="588"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2020年</w:t>
      </w:r>
      <w:r>
        <w:rPr>
          <w:rFonts w:hint="eastAsia" w:ascii="黑体" w:hAnsi="黑体" w:eastAsia="黑体" w:cs="黑体"/>
          <w:b/>
          <w:bCs/>
          <w:sz w:val="44"/>
          <w:szCs w:val="44"/>
          <w:lang w:eastAsia="zh-CN"/>
        </w:rPr>
        <w:t>垃圾场</w:t>
      </w:r>
      <w:r>
        <w:rPr>
          <w:rFonts w:hint="eastAsia" w:ascii="黑体" w:hAnsi="黑体" w:eastAsia="黑体" w:cs="黑体"/>
          <w:b/>
          <w:bCs/>
          <w:sz w:val="44"/>
          <w:szCs w:val="44"/>
        </w:rPr>
        <w:t>渗滤液</w:t>
      </w:r>
      <w:r>
        <w:rPr>
          <w:rFonts w:hint="eastAsia" w:ascii="黑体" w:hAnsi="黑体" w:eastAsia="黑体" w:cs="黑体"/>
          <w:b/>
          <w:bCs/>
          <w:sz w:val="44"/>
          <w:szCs w:val="44"/>
          <w:lang w:eastAsia="zh-CN"/>
        </w:rPr>
        <w:t>运营专项资金</w:t>
      </w:r>
    </w:p>
    <w:p>
      <w:pPr>
        <w:snapToGrid w:val="0"/>
        <w:spacing w:line="588" w:lineRule="exact"/>
        <w:jc w:val="center"/>
        <w:rPr>
          <w:rFonts w:hint="eastAsia" w:ascii="黑体" w:hAnsi="黑体" w:eastAsia="黑体" w:cs="黑体"/>
          <w:b/>
          <w:bCs/>
          <w:sz w:val="44"/>
          <w:szCs w:val="44"/>
        </w:rPr>
      </w:pPr>
      <w:r>
        <w:rPr>
          <w:rFonts w:hint="eastAsia" w:ascii="黑体" w:hAnsi="黑体" w:eastAsia="黑体" w:cs="黑体"/>
          <w:b/>
          <w:bCs/>
          <w:sz w:val="44"/>
          <w:szCs w:val="44"/>
        </w:rPr>
        <w:t>绩效自评报告</w:t>
      </w:r>
    </w:p>
    <w:p>
      <w:pPr>
        <w:keepNext w:val="0"/>
        <w:keepLines w:val="0"/>
        <w:pageBreakBefore w:val="0"/>
        <w:kinsoku/>
        <w:wordWrap/>
        <w:overflowPunct/>
        <w:topLinePunct w:val="0"/>
        <w:autoSpaceDE/>
        <w:autoSpaceDN/>
        <w:bidi w:val="0"/>
        <w:adjustRightInd/>
        <w:spacing w:line="500" w:lineRule="exact"/>
        <w:textAlignment w:val="auto"/>
        <w:outlineLvl w:val="0"/>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一、项目基本情况</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（一）项目概况</w:t>
      </w:r>
    </w:p>
    <w:p>
      <w:pPr>
        <w:keepNext w:val="0"/>
        <w:keepLines w:val="0"/>
        <w:pageBreakBefore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垃圾场</w:t>
      </w:r>
      <w:r>
        <w:rPr>
          <w:rFonts w:hint="eastAsia" w:ascii="仿宋" w:hAnsi="仿宋" w:eastAsia="仿宋" w:cs="仿宋"/>
          <w:sz w:val="30"/>
          <w:szCs w:val="30"/>
        </w:rPr>
        <w:t>渗滤液</w:t>
      </w:r>
      <w:r>
        <w:rPr>
          <w:rFonts w:hint="eastAsia" w:ascii="仿宋" w:hAnsi="仿宋" w:eastAsia="仿宋" w:cs="仿宋"/>
          <w:sz w:val="30"/>
          <w:szCs w:val="30"/>
          <w:lang w:eastAsia="zh-CN"/>
        </w:rPr>
        <w:t>运营</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（二）项目绩效目标</w:t>
      </w:r>
    </w:p>
    <w:p>
      <w:pPr>
        <w:keepNext w:val="0"/>
        <w:keepLines w:val="0"/>
        <w:pageBreakBefore w:val="0"/>
        <w:kinsoku/>
        <w:wordWrap/>
        <w:overflowPunct/>
        <w:topLinePunct w:val="0"/>
        <w:autoSpaceDE/>
        <w:autoSpaceDN/>
        <w:bidi w:val="0"/>
        <w:adjustRightInd/>
        <w:spacing w:line="500" w:lineRule="exact"/>
        <w:ind w:left="178" w:leftChars="85" w:firstLine="486" w:firstLineChars="162"/>
        <w:textAlignment w:val="auto"/>
        <w:rPr>
          <w:rFonts w:hint="eastAsia" w:ascii="仿宋" w:hAnsi="仿宋" w:eastAsia="仿宋" w:cs="仿宋"/>
          <w:sz w:val="30"/>
          <w:szCs w:val="30"/>
        </w:rPr>
      </w:pPr>
      <w:r>
        <w:rPr>
          <w:rFonts w:hint="eastAsia" w:ascii="仿宋" w:hAnsi="仿宋" w:eastAsia="仿宋" w:cs="仿宋"/>
          <w:sz w:val="30"/>
          <w:szCs w:val="30"/>
        </w:rPr>
        <w:t>垃圾填埋场进入常态化管理，垃圾渗滤液处理是重点，为</w:t>
      </w:r>
      <w:bookmarkStart w:id="0" w:name="_GoBack"/>
      <w:r>
        <w:rPr>
          <w:rFonts w:hint="eastAsia" w:ascii="仿宋" w:hAnsi="仿宋" w:eastAsia="仿宋" w:cs="仿宋"/>
          <w:sz w:val="30"/>
          <w:szCs w:val="30"/>
        </w:rPr>
        <w:t>确保垃圾渗滤液不外漏，加大了渗滤液处理量（从150吨/天增</w:t>
      </w:r>
      <w:bookmarkEnd w:id="0"/>
      <w:r>
        <w:rPr>
          <w:rFonts w:hint="eastAsia" w:ascii="仿宋" w:hAnsi="仿宋" w:eastAsia="仿宋" w:cs="仿宋"/>
          <w:sz w:val="30"/>
          <w:szCs w:val="30"/>
        </w:rPr>
        <w:t>至180吨/天）。</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（三）项目实施情况分析</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由单位成立专项小组，报送县人民政府，经县人民政府工作会议研究决定本单位的垃圾覆盖和设施维修费用纳入本年度财政预算，县财政预算部门一次性下达全年度项目指标，单位资金管理部门根据需要分期分批申报，专项小组审批，单位成立的纪检监察小组对资金的使用进行审核和监督资金的运行全过程。</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二、绩效评价工作情况</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（一）绩效评价目的</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专款专用，合理运用资金，杜绝、挪用、挤占、截留项目资金，监督项目管理工作，使项目管理工作更具有合理性、规范性、效益性、真实性。</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（二）绩效评价工作过程</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相关部门建立了相应的合法、合规、完整的业务管理制度，项目资金管理办法，为了保障资金的安全、规范运行成立了纪检监察小组，明确相关职责，各部门根据工作业务流程进行协同推进项目管理工作，圆满完成了项目绩效工作。</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综合评价情况及评价结论</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绩效目标采取100分制进行综合评价，其中包括实际</w:t>
      </w:r>
      <w:r>
        <w:rPr>
          <w:rFonts w:hint="eastAsia" w:ascii="仿宋" w:hAnsi="仿宋" w:eastAsia="仿宋" w:cs="仿宋"/>
          <w:sz w:val="30"/>
          <w:szCs w:val="30"/>
          <w:lang w:eastAsia="zh-CN"/>
        </w:rPr>
        <w:t>民</w:t>
      </w:r>
      <w:r>
        <w:rPr>
          <w:rFonts w:hint="eastAsia" w:ascii="仿宋" w:hAnsi="仿宋" w:eastAsia="仿宋" w:cs="仿宋"/>
          <w:sz w:val="30"/>
          <w:szCs w:val="30"/>
        </w:rPr>
        <w:t>众问卷查结果，本项目绩效得分91分。</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项目主要绩效情况分析</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预算资金</w:t>
      </w:r>
      <w:r>
        <w:rPr>
          <w:rFonts w:hint="eastAsia" w:ascii="仿宋" w:hAnsi="仿宋" w:eastAsia="仿宋" w:cs="仿宋"/>
          <w:sz w:val="30"/>
          <w:szCs w:val="30"/>
          <w:lang w:val="en-US" w:eastAsia="zh-CN"/>
        </w:rPr>
        <w:t>138</w:t>
      </w:r>
      <w:r>
        <w:rPr>
          <w:rFonts w:hint="eastAsia" w:ascii="仿宋" w:hAnsi="仿宋" w:eastAsia="仿宋" w:cs="仿宋"/>
          <w:sz w:val="30"/>
          <w:szCs w:val="30"/>
        </w:rPr>
        <w:t>万元，实际支出</w:t>
      </w:r>
      <w:r>
        <w:rPr>
          <w:rFonts w:hint="eastAsia" w:ascii="仿宋" w:hAnsi="仿宋" w:eastAsia="仿宋" w:cs="仿宋"/>
          <w:sz w:val="30"/>
          <w:szCs w:val="30"/>
          <w:lang w:val="en-US" w:eastAsia="zh-CN"/>
        </w:rPr>
        <w:t>211</w:t>
      </w:r>
      <w:r>
        <w:rPr>
          <w:rFonts w:hint="eastAsia" w:ascii="仿宋" w:hAnsi="仿宋" w:eastAsia="仿宋" w:cs="仿宋"/>
          <w:sz w:val="30"/>
          <w:szCs w:val="30"/>
        </w:rPr>
        <w:t>万元，无结余。</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本年度以全面开展精准扶贫帮困及学习“两学一做”、“十九大会议精神”的工作。本项目预算资金</w:t>
      </w:r>
      <w:r>
        <w:rPr>
          <w:rFonts w:hint="eastAsia" w:ascii="仿宋" w:hAnsi="仿宋" w:eastAsia="仿宋" w:cs="仿宋"/>
          <w:sz w:val="30"/>
          <w:szCs w:val="30"/>
          <w:lang w:val="en-US" w:eastAsia="zh-CN"/>
        </w:rPr>
        <w:t>138</w:t>
      </w:r>
      <w:r>
        <w:rPr>
          <w:rFonts w:hint="eastAsia" w:ascii="仿宋" w:hAnsi="仿宋" w:eastAsia="仿宋" w:cs="仿宋"/>
          <w:sz w:val="30"/>
          <w:szCs w:val="30"/>
        </w:rPr>
        <w:t>万元，实际支出</w:t>
      </w:r>
      <w:r>
        <w:rPr>
          <w:rFonts w:hint="eastAsia" w:ascii="仿宋" w:hAnsi="仿宋" w:eastAsia="仿宋" w:cs="仿宋"/>
          <w:sz w:val="30"/>
          <w:szCs w:val="30"/>
          <w:lang w:val="en-US" w:eastAsia="zh-CN"/>
        </w:rPr>
        <w:t>211</w:t>
      </w:r>
      <w:r>
        <w:rPr>
          <w:rFonts w:hint="eastAsia" w:ascii="仿宋" w:hAnsi="仿宋" w:eastAsia="仿宋" w:cs="仿宋"/>
          <w:sz w:val="30"/>
          <w:szCs w:val="30"/>
        </w:rPr>
        <w:t>万元。垃圾处理场2020年处理垃圾渗滤液5.183万吨，于2020年8月1日开始新建渗滤液调节池10000立方米，对垃圾填埋区进行了中间封场覆盖，减少了垃圾渗滤液的产生量。</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五、存在的主要问题</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 xml:space="preserve">    我县的垃圾处理场工作尽管取得了一定的成绩，但随着城市化的快速推进，城市规模的不断扩张，城市管理工作与文明城、卫生城的要求和广大市民的期望相比还存在着不少的问题和差距。</w:t>
      </w:r>
    </w:p>
    <w:p>
      <w:pPr>
        <w:keepNext w:val="0"/>
        <w:keepLines w:val="0"/>
        <w:pageBreakBefore w:val="0"/>
        <w:kinsoku/>
        <w:wordWrap/>
        <w:overflowPunct/>
        <w:topLinePunct w:val="0"/>
        <w:autoSpaceDE/>
        <w:autoSpaceDN/>
        <w:bidi w:val="0"/>
        <w:adjustRightInd/>
        <w:spacing w:line="500" w:lineRule="exact"/>
        <w:ind w:firstLine="602" w:firstLineChars="200"/>
        <w:textAlignment w:val="auto"/>
        <w:outlineLvl w:val="0"/>
        <w:rPr>
          <w:rFonts w:hint="eastAsia" w:ascii="仿宋" w:hAnsi="仿宋" w:eastAsia="仿宋" w:cs="仿宋"/>
          <w:b/>
          <w:sz w:val="30"/>
          <w:szCs w:val="30"/>
        </w:rPr>
      </w:pPr>
      <w:r>
        <w:rPr>
          <w:rFonts w:hint="eastAsia" w:ascii="仿宋" w:hAnsi="仿宋" w:eastAsia="仿宋" w:cs="仿宋"/>
          <w:b/>
          <w:sz w:val="30"/>
          <w:szCs w:val="30"/>
        </w:rPr>
        <w:t>六、改进措施和有关建议</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624"/>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针对垃圾渗滤液设施老化，造成环境安全生产风险系数高问题。于2020年11月28日启动了芷江县县城垃圾一体化收运工程——第一期（垃圾填埋场维修加固扩容项目），投入大量人力物力，确保了垃圾场正常运行，为实现城市宜居、乐居、利居打下坚实的基础。</w: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sz w:val="30"/>
          <w:szCs w:val="30"/>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3"/>
        <w:tblpPr w:leftFromText="180" w:rightFromText="180" w:vertAnchor="text" w:horzAnchor="page" w:tblpX="1162" w:tblpY="207"/>
        <w:tblOverlap w:val="never"/>
        <w:tblW w:w="10140" w:type="dxa"/>
        <w:tblInd w:w="0" w:type="dxa"/>
        <w:tblLayout w:type="fixed"/>
        <w:tblCellMar>
          <w:top w:w="0" w:type="dxa"/>
          <w:left w:w="108" w:type="dxa"/>
          <w:bottom w:w="0" w:type="dxa"/>
          <w:right w:w="108" w:type="dxa"/>
        </w:tblCellMar>
      </w:tblPr>
      <w:tblGrid>
        <w:gridCol w:w="331"/>
        <w:gridCol w:w="405"/>
        <w:gridCol w:w="324"/>
        <w:gridCol w:w="398"/>
        <w:gridCol w:w="524"/>
        <w:gridCol w:w="401"/>
        <w:gridCol w:w="2378"/>
        <w:gridCol w:w="3879"/>
        <w:gridCol w:w="681"/>
        <w:gridCol w:w="819"/>
      </w:tblGrid>
      <w:tr>
        <w:tblPrEx>
          <w:tblCellMar>
            <w:top w:w="0" w:type="dxa"/>
            <w:left w:w="108" w:type="dxa"/>
            <w:bottom w:w="0" w:type="dxa"/>
            <w:right w:w="108" w:type="dxa"/>
          </w:tblCellMar>
        </w:tblPrEx>
        <w:trPr>
          <w:trHeight w:val="585" w:hRule="atLeast"/>
        </w:trPr>
        <w:tc>
          <w:tcPr>
            <w:tcW w:w="10140" w:type="dxa"/>
            <w:gridSpan w:val="10"/>
            <w:tcMar>
              <w:top w:w="15" w:type="dxa"/>
              <w:left w:w="15" w:type="dxa"/>
              <w:bottom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eastAsia="zh-CN"/>
              </w:rPr>
              <w:t>垃圾场渗滤液运营专项资金</w:t>
            </w:r>
            <w:r>
              <w:rPr>
                <w:rFonts w:hint="eastAsia" w:ascii="宋体" w:hAnsi="宋体" w:cs="宋体"/>
                <w:b/>
                <w:color w:val="000000"/>
                <w:kern w:val="0"/>
                <w:sz w:val="36"/>
                <w:szCs w:val="36"/>
              </w:rPr>
              <w:t>绩效评价指标</w:t>
            </w:r>
          </w:p>
        </w:tc>
      </w:tr>
      <w:tr>
        <w:tblPrEx>
          <w:tblCellMar>
            <w:top w:w="0" w:type="dxa"/>
            <w:left w:w="108" w:type="dxa"/>
            <w:bottom w:w="0" w:type="dxa"/>
            <w:right w:w="108" w:type="dxa"/>
          </w:tblCellMar>
        </w:tblPrEx>
        <w:trPr>
          <w:trHeight w:val="435" w:hRule="atLeast"/>
        </w:trPr>
        <w:tc>
          <w:tcPr>
            <w:tcW w:w="10140" w:type="dxa"/>
            <w:gridSpan w:val="10"/>
            <w:tcBorders>
              <w:top w:val="nil"/>
              <w:left w:val="nil"/>
              <w:bottom w:val="single" w:color="000000" w:sz="4" w:space="0"/>
              <w:right w:val="nil"/>
            </w:tcBorders>
            <w:tcMar>
              <w:top w:w="15" w:type="dxa"/>
              <w:left w:w="15" w:type="dxa"/>
              <w:bottom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填报单位：城市管理和综合执法局</w:t>
            </w:r>
          </w:p>
        </w:tc>
      </w:tr>
      <w:tr>
        <w:tblPrEx>
          <w:tblCellMar>
            <w:top w:w="0" w:type="dxa"/>
            <w:left w:w="108" w:type="dxa"/>
            <w:bottom w:w="0" w:type="dxa"/>
            <w:right w:w="108" w:type="dxa"/>
          </w:tblCellMar>
        </w:tblPrEx>
        <w:trPr>
          <w:trHeight w:val="915" w:hRule="atLeast"/>
        </w:trPr>
        <w:tc>
          <w:tcPr>
            <w:tcW w:w="3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一级指标</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二级指标</w:t>
            </w: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三级指标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指标解释</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评价标准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right="273" w:rightChars="130"/>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0" w:type="dxa"/>
            <w:left w:w="108" w:type="dxa"/>
            <w:bottom w:w="0" w:type="dxa"/>
            <w:right w:w="108" w:type="dxa"/>
          </w:tblCellMar>
        </w:tblPrEx>
        <w:trPr>
          <w:trHeight w:val="111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投入</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ascii="宋体" w:hAnsi="宋体" w:cs="宋体"/>
                <w:color w:val="000000"/>
                <w:kern w:val="0"/>
                <w:sz w:val="18"/>
                <w:szCs w:val="18"/>
              </w:rPr>
              <w:drawing>
                <wp:inline distT="0" distB="0" distL="0" distR="0">
                  <wp:extent cx="10795" cy="10795"/>
                  <wp:effectExtent l="0" t="0" r="0" b="0"/>
                  <wp:docPr id="1" name="图片 9" descr="C:\Users\ADMINI~1\AppData\Local\Temp\ksohtml\clip_image3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1\AppData\Local\Temp\ksohtml\clip_image3073.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0" distR="0">
                  <wp:extent cx="10795" cy="10795"/>
                  <wp:effectExtent l="0" t="0" r="0" b="0"/>
                  <wp:docPr id="2" name="图片 10" descr="C:\Users\ADMINI~1\AppData\Local\Temp\ksohtml\clip_image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ADMINI~1\AppData\Local\Temp\ksohtml\clip_image3074.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3" name="图片 11" descr="C:\Users\ADMINI~1\AppData\Local\Temp\ksohtml\clip_image3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C:\Users\ADMINI~1\AppData\Local\Temp\ksohtml\clip_image3075.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4" name="图片 12" descr="C:\Users\ADMINI~1\AppData\Local\Temp\ksohtml\clip_image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C:\Users\ADMINI~1\AppData\Local\Temp\ksohtml\clip_image3076.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5" name="图片 13" descr="C:\Users\ADMINI~1\AppData\Local\Temp\ksohtml\clip_image3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C:\Users\ADMINI~1\AppData\Local\Temp\ksohtml\clip_image3077.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6" name="图片 14" descr="C:\Users\ADMINI~1\AppData\Local\Temp\ksohtml\clip_image3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C:\Users\ADMINI~1\AppData\Local\Temp\ksohtml\clip_image3078.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7" name="图片 15" descr="C:\Users\ADMINI~1\AppData\Local\Temp\ksohtml\clip_image3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ADMINI~1\AppData\Local\Temp\ksohtml\clip_image3079.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8" name="图片 16" descr="C:\Users\ADMINI~1\AppData\Local\Temp\ksohtml\clip_image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C:\Users\ADMINI~1\AppData\Local\Temp\ksohtml\clip_image3080.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65"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过程</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7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68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81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6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项目资金使用是否符合相关的财务管理制度规定，用以反映和考核项目资金的规范运行情况。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681"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819"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2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项目单位是否为保障资金的安全、规范运行而采取了必要的监控措施，用以反映和考核项目单位对资金运行的控制情况。</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“渗滤液处理”控制率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垃圾渗滤液处理为24小时运营制</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达到绩效目标得分</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分，没达到目标每减少一个百分点扣0.1分。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7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“渗滤液处理设施维修”控制率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垃圾场渗滤液设施年维修次数35次。</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分，没达到目标每增加一个百分点扣0.1分。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“渗滤液处理验收合格”控制率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垃圾处理合格率达到100%。</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达到绩效目标得4分，没达到目标每减少一个百分点扣0.1分。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“完成时间”控制率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项目时效指标为2020年12月底之前完成。</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达到绩效目标得4分，没达到目标每减少一个百分点扣0.1分。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FF0000"/>
                <w:kern w:val="2"/>
                <w:sz w:val="18"/>
                <w:szCs w:val="18"/>
                <w:lang w:val="en-US" w:eastAsia="zh-CN" w:bidi="ar-SA"/>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“成本指标”控制率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预算成本</w:t>
            </w:r>
            <w:r>
              <w:rPr>
                <w:rFonts w:hint="eastAsia" w:ascii="仿宋" w:hAnsi="仿宋" w:eastAsia="仿宋" w:cs="宋体"/>
                <w:color w:val="000000"/>
                <w:sz w:val="18"/>
                <w:szCs w:val="18"/>
              </w:rPr>
              <w:t>≤</w:t>
            </w:r>
            <w:r>
              <w:rPr>
                <w:rFonts w:hint="eastAsia" w:ascii="宋体" w:hAnsi="宋体" w:cs="宋体"/>
                <w:color w:val="000000"/>
                <w:sz w:val="18"/>
                <w:szCs w:val="18"/>
              </w:rPr>
              <w:t>204万。</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达到绩效目标得4分，没达到目标每减少一个百分点扣0.1分。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FF0000"/>
                <w:kern w:val="2"/>
                <w:sz w:val="18"/>
                <w:szCs w:val="18"/>
                <w:lang w:val="en-US" w:eastAsia="zh-CN" w:bidi="ar-SA"/>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r>
              <w:rPr>
                <w:rFonts w:hint="eastAsia"/>
              </w:rPr>
              <w:t>“维修验收合格率”控制率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垃圾场设施维修合格率100%。</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达到绩效目标得4分，没达到目标每减少一个百分点扣0.1分。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restart"/>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05" w:type="dxa"/>
            <w:vMerge w:val="restart"/>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52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良好的环境是否给芷江带来更好的旅游资源。（结合实际民众问卷调查）</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良好的环境是否让芷江市民感到更宜居、乐居、利居。（结合实际民众问卷调查）</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90" w:hRule="atLeast"/>
        </w:trPr>
        <w:tc>
          <w:tcPr>
            <w:tcW w:w="331"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项目产出能持续运用；项目运行所依赖的政策制度能持续执行</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结合调查问卷了解市民对城市管理工作一年的评分，今年比去年管理工作效果进步大记6分，一般记3分，没有进步记0分。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50" w:hRule="atLeast"/>
        </w:trPr>
        <w:tc>
          <w:tcPr>
            <w:tcW w:w="331"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市民对执法人员的满意度。结合实际民众问卷调查。</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满意度90分以上记7分，80-90分记6分，70-80分记5分，60-70分记4分，60分以下记0分。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510" w:hRule="atLeast"/>
        </w:trPr>
        <w:tc>
          <w:tcPr>
            <w:tcW w:w="33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总分</w:t>
            </w:r>
          </w:p>
        </w:tc>
        <w:tc>
          <w:tcPr>
            <w:tcW w:w="40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91</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AD"/>
    <w:rsid w:val="003B40FC"/>
    <w:rsid w:val="00A76DAD"/>
    <w:rsid w:val="00C3230E"/>
    <w:rsid w:val="00F864BC"/>
    <w:rsid w:val="0CDD7844"/>
    <w:rsid w:val="1475000C"/>
    <w:rsid w:val="18D326F6"/>
    <w:rsid w:val="26967043"/>
    <w:rsid w:val="46620CE6"/>
    <w:rsid w:val="5FC50E6A"/>
    <w:rsid w:val="6341504A"/>
    <w:rsid w:val="69BE47E4"/>
    <w:rsid w:val="7D7832C7"/>
    <w:rsid w:val="7DE61735"/>
    <w:rsid w:val="7FED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file:///C:\Users\ADMINI~1\AppData\Local\Temp\ksohtml\clip_image3080.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586</Words>
  <Characters>3341</Characters>
  <Lines>27</Lines>
  <Paragraphs>7</Paragraphs>
  <TotalTime>3</TotalTime>
  <ScaleCrop>false</ScaleCrop>
  <LinksUpToDate>false</LinksUpToDate>
  <CharactersWithSpaces>3920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2021-07-14T09:17:00Z</dcterms:created>
  <dc:creator>Administrator</dc:creator>
  <cp:lastModifiedBy>妖精的手指</cp:lastModifiedBy>
  <cp:lastPrinted>2021-07-15T03:28:55Z</cp:lastPrinted>
  <dcterms:modified xsi:type="dcterms:W3CDTF">2021-07-15T03:32:25Z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0A4625D4183B4755B729720D650BB324</vt:lpwstr>
  </property>
</Properties>
</file>