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8" w:lineRule="exact"/>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附件9</w:t>
      </w:r>
    </w:p>
    <w:p>
      <w:pPr>
        <w:snapToGrid w:val="0"/>
        <w:spacing w:line="588"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2020年垃圾场灭蝇除臭</w:t>
      </w:r>
      <w:r>
        <w:rPr>
          <w:rFonts w:hint="eastAsia" w:ascii="黑体" w:hAnsi="黑体" w:eastAsia="黑体" w:cs="黑体"/>
          <w:b/>
          <w:bCs/>
          <w:sz w:val="44"/>
          <w:szCs w:val="44"/>
          <w:lang w:eastAsia="zh-CN"/>
        </w:rPr>
        <w:t>专项资金</w:t>
      </w:r>
    </w:p>
    <w:p>
      <w:pPr>
        <w:snapToGrid w:val="0"/>
        <w:spacing w:line="588" w:lineRule="exact"/>
        <w:jc w:val="center"/>
        <w:rPr>
          <w:rFonts w:hint="eastAsia" w:ascii="黑体" w:hAnsi="黑体" w:eastAsia="黑体" w:cs="黑体"/>
          <w:b/>
          <w:bCs/>
          <w:sz w:val="44"/>
          <w:szCs w:val="44"/>
        </w:rPr>
      </w:pPr>
      <w:r>
        <w:rPr>
          <w:rFonts w:hint="eastAsia" w:ascii="黑体" w:hAnsi="黑体" w:eastAsia="黑体" w:cs="黑体"/>
          <w:b/>
          <w:bCs/>
          <w:sz w:val="44"/>
          <w:szCs w:val="44"/>
        </w:rPr>
        <w:t>绩效自评报告</w:t>
      </w:r>
    </w:p>
    <w:p>
      <w:pPr>
        <w:adjustRightInd w:val="0"/>
        <w:snapToGrid w:val="0"/>
        <w:spacing w:line="500" w:lineRule="exact"/>
        <w:jc w:val="center"/>
        <w:rPr>
          <w:rFonts w:ascii="黑体" w:hAnsi="黑体" w:eastAsia="黑体"/>
          <w:b/>
          <w:bCs/>
          <w:sz w:val="44"/>
          <w:szCs w:val="44"/>
        </w:rPr>
      </w:pP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rPr>
        <w:t>一、项目基本情况</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（一）项目概况</w:t>
      </w:r>
    </w:p>
    <w:p>
      <w:pPr>
        <w:keepNext w:val="0"/>
        <w:keepLines w:val="0"/>
        <w:pageBreakBefore w:val="0"/>
        <w:kinsoku/>
        <w:wordWrap/>
        <w:overflowPunct/>
        <w:topLinePunct w:val="0"/>
        <w:autoSpaceDE/>
        <w:autoSpaceDN/>
        <w:bidi w:val="0"/>
        <w:adjustRightInd/>
        <w:snapToGrid w:val="0"/>
        <w:spacing w:line="5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垃圾场灭蝇除臭处理</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（二）项目绩效目标</w:t>
      </w:r>
    </w:p>
    <w:p>
      <w:pPr>
        <w:keepNext w:val="0"/>
        <w:keepLines w:val="0"/>
        <w:pageBreakBefore w:val="0"/>
        <w:kinsoku/>
        <w:wordWrap/>
        <w:overflowPunct/>
        <w:topLinePunct w:val="0"/>
        <w:autoSpaceDE/>
        <w:autoSpaceDN/>
        <w:bidi w:val="0"/>
        <w:adjustRightInd/>
        <w:snapToGrid w:val="0"/>
        <w:spacing w:line="5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垃圾填埋场进入常态化管理，垃圾填埋场灭蝇除臭处理是重点，确保周边群众不因蚊蝇影响上访。</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（三）项目实施情况分析</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由单位成立专项小组，报送县人民政府，经县人民政府工作会议研究决定本单位的垃圾覆盖和设施维修费用纳入本年度财政预算，县财政预算部门一次性下达全年度项目指标，单位资金管理部门根据需要分期分批申报，专项小组审批，单位成立的纪检监察小组对资金的使用进行审核和监督资金的运行全过程。</w:t>
      </w: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rPr>
        <w:t>二、绩效评价工作情况</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（一）绩效评价目的</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专款专用，合理运用资金，杜绝、挪用、挤占、截留项目资金，监督项目管理工作，使项目管理工作更具有合理性、规范性、效益性、真实性。</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（二）绩效评价工作过程</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相关部门建立了相应的合法、合规、完整的业务管理制度，项目资金管理办法，为了保障资金的安全、规范运行成立了纪检监察小组，明确相关职责，各部门根据工作业务流程进行协同推进项目管理工作，圆满完成了项目绩效工作。</w:t>
      </w: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rPr>
        <w:t>三、综合评价情况及评价结论</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绩效目标采取100分制进行综合评价，其中包括实际民众问卷调查结果，本项目绩效得分92分。</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 xml:space="preserve"> 四、项目主要绩效情况分析</w:t>
      </w:r>
    </w:p>
    <w:p>
      <w:pPr>
        <w:keepNext w:val="0"/>
        <w:keepLines w:val="0"/>
        <w:pageBreakBefore w:val="0"/>
        <w:kinsoku/>
        <w:wordWrap/>
        <w:overflowPunct/>
        <w:topLinePunct w:val="0"/>
        <w:autoSpaceDE/>
        <w:autoSpaceDN/>
        <w:bidi w:val="0"/>
        <w:adjustRightInd/>
        <w:snapToGrid w:val="0"/>
        <w:spacing w:line="500" w:lineRule="exact"/>
        <w:ind w:firstLine="592" w:firstLineChars="200"/>
        <w:textAlignment w:val="auto"/>
        <w:rPr>
          <w:rFonts w:hint="eastAsia" w:ascii="仿宋" w:hAnsi="仿宋" w:eastAsia="仿宋" w:cs="仿宋"/>
          <w:spacing w:val="-2"/>
          <w:sz w:val="30"/>
          <w:szCs w:val="30"/>
        </w:rPr>
      </w:pPr>
      <w:r>
        <w:rPr>
          <w:rFonts w:hint="eastAsia" w:ascii="仿宋" w:hAnsi="仿宋" w:eastAsia="仿宋" w:cs="仿宋"/>
          <w:spacing w:val="-2"/>
          <w:sz w:val="30"/>
          <w:szCs w:val="30"/>
        </w:rPr>
        <w:t>项目预算资金</w:t>
      </w:r>
      <w:r>
        <w:rPr>
          <w:rFonts w:hint="eastAsia" w:ascii="仿宋" w:hAnsi="仿宋" w:eastAsia="仿宋" w:cs="仿宋"/>
          <w:spacing w:val="-2"/>
          <w:sz w:val="30"/>
          <w:szCs w:val="30"/>
          <w:lang w:val="en-US" w:eastAsia="zh-CN"/>
        </w:rPr>
        <w:t>14</w:t>
      </w:r>
      <w:r>
        <w:rPr>
          <w:rFonts w:hint="eastAsia" w:ascii="仿宋" w:hAnsi="仿宋" w:eastAsia="仿宋" w:cs="仿宋"/>
          <w:spacing w:val="-2"/>
          <w:sz w:val="30"/>
          <w:szCs w:val="30"/>
        </w:rPr>
        <w:t>万元，实际支出</w:t>
      </w:r>
      <w:r>
        <w:rPr>
          <w:rFonts w:hint="eastAsia" w:ascii="仿宋" w:hAnsi="仿宋" w:eastAsia="仿宋" w:cs="仿宋"/>
          <w:spacing w:val="-2"/>
          <w:sz w:val="30"/>
          <w:szCs w:val="30"/>
          <w:lang w:val="en-US" w:eastAsia="zh-CN"/>
        </w:rPr>
        <w:t>15.5</w:t>
      </w:r>
      <w:r>
        <w:rPr>
          <w:rFonts w:hint="eastAsia" w:ascii="仿宋" w:hAnsi="仿宋" w:eastAsia="仿宋" w:cs="仿宋"/>
          <w:spacing w:val="-2"/>
          <w:sz w:val="30"/>
          <w:szCs w:val="30"/>
        </w:rPr>
        <w:t>万元，无结余。</w:t>
      </w:r>
    </w:p>
    <w:p>
      <w:pPr>
        <w:keepNext w:val="0"/>
        <w:keepLines w:val="0"/>
        <w:pageBreakBefore w:val="0"/>
        <w:kinsoku/>
        <w:wordWrap/>
        <w:overflowPunct/>
        <w:topLinePunct w:val="0"/>
        <w:autoSpaceDE/>
        <w:autoSpaceDN/>
        <w:bidi w:val="0"/>
        <w:adjustRightInd/>
        <w:snapToGrid w:val="0"/>
        <w:spacing w:line="500" w:lineRule="exact"/>
        <w:ind w:firstLine="592" w:firstLineChars="200"/>
        <w:textAlignment w:val="auto"/>
        <w:rPr>
          <w:rFonts w:hint="eastAsia" w:ascii="仿宋" w:hAnsi="仿宋" w:eastAsia="仿宋" w:cs="仿宋"/>
          <w:spacing w:val="-2"/>
          <w:sz w:val="30"/>
          <w:szCs w:val="30"/>
        </w:rPr>
      </w:pPr>
      <w:r>
        <w:rPr>
          <w:rFonts w:hint="eastAsia" w:ascii="仿宋" w:hAnsi="仿宋" w:eastAsia="仿宋" w:cs="仿宋"/>
          <w:spacing w:val="-2"/>
          <w:sz w:val="30"/>
          <w:szCs w:val="30"/>
        </w:rPr>
        <w:t>本年度以全面开展精准扶贫帮困及学习“两学一做”、“十九大会议精神”的工作。本项目预算资金14万元，实际支出14万元。</w:t>
      </w:r>
    </w:p>
    <w:p>
      <w:pPr>
        <w:keepNext w:val="0"/>
        <w:keepLines w:val="0"/>
        <w:pageBreakBefore w:val="0"/>
        <w:widowControl/>
        <w:kinsoku/>
        <w:wordWrap/>
        <w:overflowPunct/>
        <w:topLinePunct w:val="0"/>
        <w:autoSpaceDE/>
        <w:autoSpaceDN/>
        <w:bidi w:val="0"/>
        <w:adjustRightInd/>
        <w:spacing w:line="500" w:lineRule="exact"/>
        <w:ind w:firstLine="450" w:firstLineChars="15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2020年垃圾填埋场使用灭蝇除臭药剂6吨，于2020年8月1日开始对垃圾填埋区进行了中间封场覆盖，减少了蚊蝇臭气滋生。</w:t>
      </w: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rPr>
        <w:t>五、存在的主要问题</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pacing w:val="-2"/>
          <w:sz w:val="30"/>
          <w:szCs w:val="30"/>
        </w:rPr>
      </w:pPr>
      <w:r>
        <w:rPr>
          <w:rFonts w:hint="eastAsia" w:ascii="仿宋" w:hAnsi="仿宋" w:eastAsia="仿宋" w:cs="仿宋"/>
          <w:spacing w:val="-2"/>
          <w:sz w:val="30"/>
          <w:szCs w:val="30"/>
        </w:rPr>
        <w:t xml:space="preserve">    我县的垃圾处理场工作尽管取得了一定的成绩，但随着城市化的快速推进，城市规模的不断扩张，城市管理工作与文明城、卫生城的要求和广大市民的期望相比还存在着不少的问题和差距。</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六、改进措施和有关建议</w:t>
      </w:r>
    </w:p>
    <w:p>
      <w:pPr>
        <w:keepNext w:val="0"/>
        <w:keepLines w:val="0"/>
        <w:pageBreakBefore w:val="0"/>
        <w:widowControl/>
        <w:shd w:val="clear" w:color="auto" w:fill="FFFFFF"/>
        <w:kinsoku/>
        <w:wordWrap/>
        <w:overflowPunct/>
        <w:topLinePunct w:val="0"/>
        <w:autoSpaceDE/>
        <w:autoSpaceDN/>
        <w:bidi w:val="0"/>
        <w:adjustRightInd/>
        <w:spacing w:line="500" w:lineRule="exact"/>
        <w:ind w:firstLine="624"/>
        <w:textAlignment w:val="auto"/>
        <w:rPr>
          <w:rFonts w:hint="eastAsia" w:ascii="仿宋" w:hAnsi="仿宋" w:eastAsia="仿宋" w:cs="仿宋"/>
          <w:spacing w:val="-2"/>
          <w:sz w:val="30"/>
          <w:szCs w:val="30"/>
        </w:rPr>
      </w:pPr>
      <w:r>
        <w:rPr>
          <w:rFonts w:hint="eastAsia" w:ascii="仿宋" w:hAnsi="仿宋" w:eastAsia="仿宋" w:cs="仿宋"/>
          <w:spacing w:val="-2"/>
          <w:sz w:val="30"/>
          <w:szCs w:val="30"/>
        </w:rPr>
        <w:t>针对垃圾填埋区滋生蚊蝇，影响周边群众问题，我们加大消杀力度，添置打药机2套，随着季节变化适时调整药剂。每日消杀次数从每日2次增至4次，特殊时期日消杀次数多达6次。</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hint="eastAsia" w:ascii="仿宋" w:hAnsi="仿宋" w:eastAsia="仿宋"/>
          <w:sz w:val="32"/>
          <w:szCs w:val="32"/>
        </w:rPr>
      </w:pPr>
    </w:p>
    <w:tbl>
      <w:tblPr>
        <w:tblStyle w:val="3"/>
        <w:tblpPr w:leftFromText="180" w:rightFromText="180" w:vertAnchor="text" w:horzAnchor="page" w:tblpX="1057" w:tblpY="243"/>
        <w:tblOverlap w:val="never"/>
        <w:tblW w:w="10155" w:type="dxa"/>
        <w:tblInd w:w="0" w:type="dxa"/>
        <w:tblLayout w:type="fixed"/>
        <w:tblCellMar>
          <w:top w:w="0" w:type="dxa"/>
          <w:left w:w="108" w:type="dxa"/>
          <w:bottom w:w="0" w:type="dxa"/>
          <w:right w:w="108" w:type="dxa"/>
        </w:tblCellMar>
      </w:tblPr>
      <w:tblGrid>
        <w:gridCol w:w="331"/>
        <w:gridCol w:w="405"/>
        <w:gridCol w:w="324"/>
        <w:gridCol w:w="398"/>
        <w:gridCol w:w="524"/>
        <w:gridCol w:w="401"/>
        <w:gridCol w:w="2735"/>
        <w:gridCol w:w="4395"/>
        <w:gridCol w:w="283"/>
        <w:gridCol w:w="359"/>
      </w:tblGrid>
      <w:tr>
        <w:tblPrEx>
          <w:tblCellMar>
            <w:top w:w="0" w:type="dxa"/>
            <w:left w:w="108" w:type="dxa"/>
            <w:bottom w:w="0" w:type="dxa"/>
            <w:right w:w="108" w:type="dxa"/>
          </w:tblCellMar>
        </w:tblPrEx>
        <w:trPr>
          <w:trHeight w:val="585" w:hRule="atLeast"/>
        </w:trPr>
        <w:tc>
          <w:tcPr>
            <w:tcW w:w="10155" w:type="dxa"/>
            <w:gridSpan w:val="10"/>
            <w:tcMar>
              <w:top w:w="15" w:type="dxa"/>
              <w:left w:w="15" w:type="dxa"/>
              <w:bottom w:w="15" w:type="dxa"/>
              <w:right w:w="15" w:type="dxa"/>
            </w:tcMar>
            <w:vAlign w:val="center"/>
          </w:tcPr>
          <w:p>
            <w:pPr>
              <w:widowControl/>
              <w:ind w:right="298" w:rightChars="142"/>
              <w:jc w:val="center"/>
              <w:textAlignment w:val="center"/>
              <w:rPr>
                <w:rFonts w:ascii="宋体" w:hAnsi="宋体" w:cs="宋体"/>
                <w:b/>
                <w:color w:val="000000"/>
                <w:sz w:val="36"/>
                <w:szCs w:val="36"/>
              </w:rPr>
            </w:pPr>
            <w:r>
              <w:rPr>
                <w:rFonts w:hint="eastAsia" w:ascii="宋体" w:hAnsi="宋体" w:cs="宋体"/>
                <w:b/>
                <w:color w:val="000000"/>
                <w:kern w:val="0"/>
                <w:sz w:val="36"/>
                <w:szCs w:val="36"/>
                <w:lang w:eastAsia="zh-CN"/>
              </w:rPr>
              <w:t>垃圾场灭蝇除臭专项资金</w:t>
            </w:r>
            <w:r>
              <w:rPr>
                <w:rFonts w:hint="eastAsia" w:ascii="宋体" w:hAnsi="宋体" w:cs="宋体"/>
                <w:b/>
                <w:color w:val="000000"/>
                <w:kern w:val="0"/>
                <w:sz w:val="36"/>
                <w:szCs w:val="36"/>
              </w:rPr>
              <w:t>绩效评价指标</w:t>
            </w:r>
          </w:p>
        </w:tc>
      </w:tr>
      <w:tr>
        <w:tblPrEx>
          <w:tblCellMar>
            <w:top w:w="0" w:type="dxa"/>
            <w:left w:w="108" w:type="dxa"/>
            <w:bottom w:w="0" w:type="dxa"/>
            <w:right w:w="108" w:type="dxa"/>
          </w:tblCellMar>
        </w:tblPrEx>
        <w:trPr>
          <w:trHeight w:val="435" w:hRule="atLeast"/>
        </w:trPr>
        <w:tc>
          <w:tcPr>
            <w:tcW w:w="10155" w:type="dxa"/>
            <w:gridSpan w:val="10"/>
            <w:tcBorders>
              <w:top w:val="nil"/>
              <w:left w:val="nil"/>
              <w:bottom w:val="single" w:color="000000" w:sz="4" w:space="0"/>
              <w:right w:val="nil"/>
            </w:tcBorders>
            <w:tcMar>
              <w:top w:w="15" w:type="dxa"/>
              <w:left w:w="15" w:type="dxa"/>
              <w:bottom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填报单位：城市管理和综合执法局</w:t>
            </w:r>
          </w:p>
        </w:tc>
      </w:tr>
      <w:tr>
        <w:tblPrEx>
          <w:tblCellMar>
            <w:top w:w="0" w:type="dxa"/>
            <w:left w:w="108" w:type="dxa"/>
            <w:bottom w:w="0" w:type="dxa"/>
            <w:right w:w="108" w:type="dxa"/>
          </w:tblCellMar>
        </w:tblPrEx>
        <w:trPr>
          <w:trHeight w:val="915" w:hRule="atLeast"/>
        </w:trPr>
        <w:tc>
          <w:tcPr>
            <w:tcW w:w="3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一级指标</w:t>
            </w: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二级指标</w:t>
            </w:r>
          </w:p>
        </w:tc>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三级指标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指标解释</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评价标准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评分</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备注</w:t>
            </w:r>
          </w:p>
        </w:tc>
      </w:tr>
      <w:tr>
        <w:tblPrEx>
          <w:tblCellMar>
            <w:top w:w="0" w:type="dxa"/>
            <w:left w:w="108" w:type="dxa"/>
            <w:bottom w:w="0" w:type="dxa"/>
            <w:right w:w="108" w:type="dxa"/>
          </w:tblCellMar>
        </w:tblPrEx>
        <w:trPr>
          <w:trHeight w:val="1110"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投入</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r>
              <w:rPr>
                <w:rFonts w:ascii="宋体" w:hAnsi="宋体" w:cs="宋体"/>
                <w:color w:val="000000"/>
                <w:kern w:val="0"/>
                <w:sz w:val="18"/>
                <w:szCs w:val="18"/>
              </w:rPr>
              <w:drawing>
                <wp:inline distT="0" distB="0" distL="0" distR="0">
                  <wp:extent cx="10795" cy="10795"/>
                  <wp:effectExtent l="0" t="0" r="0" b="0"/>
                  <wp:docPr id="1" name="图片 9" descr="C:\Users\ADMINI~1\AppData\Local\Temp\ksohtml\clip_image3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1\AppData\Local\Temp\ksohtml\clip_image3073.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hint="eastAsia" w:ascii="宋体" w:hAnsi="宋体" w:cs="宋体"/>
                <w:color w:val="000000"/>
                <w:kern w:val="0"/>
                <w:sz w:val="18"/>
                <w:szCs w:val="18"/>
              </w:rPr>
              <w:t xml:space="preserve"> </w:t>
            </w:r>
            <w:r>
              <w:rPr>
                <w:rFonts w:ascii="宋体" w:hAnsi="宋体" w:cs="宋体"/>
                <w:color w:val="000000"/>
                <w:kern w:val="0"/>
                <w:sz w:val="18"/>
                <w:szCs w:val="18"/>
              </w:rPr>
              <w:drawing>
                <wp:inline distT="0" distB="0" distL="0" distR="0">
                  <wp:extent cx="10795" cy="10795"/>
                  <wp:effectExtent l="0" t="0" r="0" b="0"/>
                  <wp:docPr id="2" name="图片 10" descr="C:\Users\ADMINI~1\AppData\Local\Temp\ksohtml\clip_image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ADMINI~1\AppData\Local\Temp\ksohtml\clip_image3074.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3" name="图片 11" descr="C:\Users\ADMINI~1\AppData\Local\Temp\ksohtml\clip_image3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C:\Users\ADMINI~1\AppData\Local\Temp\ksohtml\clip_image3075.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4" name="图片 12" descr="C:\Users\ADMINI~1\AppData\Local\Temp\ksohtml\clip_image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C:\Users\ADMINI~1\AppData\Local\Temp\ksohtml\clip_image3076.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5" name="图片 13" descr="C:\Users\ADMINI~1\AppData\Local\Temp\ksohtml\clip_image3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C:\Users\ADMINI~1\AppData\Local\Temp\ksohtml\clip_image3077.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6" name="图片 14" descr="C:\Users\ADMINI~1\AppData\Local\Temp\ksohtml\clip_image3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C:\Users\ADMINI~1\AppData\Local\Temp\ksohtml\clip_image3078.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7" name="图片 15" descr="C:\Users\ADMINI~1\AppData\Local\Temp\ksohtml\clip_image3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ADMINI~1\AppData\Local\Temp\ksohtml\clip_image3079.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8" name="图片 16" descr="C:\Users\ADMINI~1\AppData\Local\Temp\ksohtml\clip_image3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C:\Users\ADMINI~1\AppData\Local\Temp\ksohtml\clip_image3080.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项目立项规范性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项目的申请、设立过程是否符合相关要求，用以反映和考核项目立项的规范情况。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8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项目所设定的绩效目标是否依据充分，是否符合客观实际，用以反映和考核项目绩效目标与项目实施的相符情况。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依据绩效目标设定的绩效指标是否清晰、细化、可衡量等，用以反映和考核项目绩效目标的明细化情况。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资金落实</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资金到位率＝（实际到位资金/计划投入资金）×100%</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资金足额到位记5分，未足额到位按比例计分。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到位及时率＝（及时到位资金/应到位资金）×100%</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资金按时到位记5分，未按时按比例计分。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65"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过程</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业务管理</w:t>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项目实施单位的业务管理制度是否健全，用以反映和考核业务管理制度对项目顺利实施的保障情况。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①已制定或具有相应的业务管理制度记2.5分， 不制定不记分；                                        ②业务管理制度合法、合规、完整记2.5分；不合法、不合规、不完整不记分。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4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项目实施是否符合相关业务管理规定，用以反映和考核业务管理制度的有效执行情况。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遵守相关法律法规和业务管理规定记5分，否则不记分。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7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项目质量可控性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项目实施至位是否为达到项目质量要求而采取了必需的措施，用以反映和考核项目实施单位对项目质量的控制情况。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①制定或有相应的项目质量要求或标准记2.5分，否则不记分；                                          ②采取了相应的项目质量检查、验收等必需的控制措施或手段记2.5分，否则不记分。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项目实施单位的财务制度是否健全，用以反映和考核财务管理制度对资金规范、安全运行的保障情况。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①已制定或具有相应的项目资金管理办法记2.5分，否则不记分；                                           ②项目资金管理办法符合相关财务会计制定记2.5分，否则不记分。</w:t>
            </w:r>
          </w:p>
        </w:tc>
        <w:tc>
          <w:tcPr>
            <w:tcW w:w="28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35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16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项目资金使用是否符合相关的财务管理制度规定，用以反映和考核项目资金的规范运行情况。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283"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359"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126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财务监控有效性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项目单位是否为保障资金的安全、规范运行而采取了必要的监控措施，用以反映和考核项目单位对资金运行的控制情况。</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①已制定或具有相应的监控机制记2.5分，否则不记分；                                       ②采取了相应的财务检查等必要的监控措施或手段记2.5分，否则不记分。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项目产出</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“灭蝇除臭处理”控制率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垃圾填埋场灭蝇除臭每日最少消杀4次，并建立应急处置运营机制。</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达到绩效目标得分</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分，没达到目标每减少一个百分点扣0.1分。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7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“灭蝇除臭处理设施维修”控制率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垃圾填埋场灭蝇除臭年维修次数12次。</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分，没达到目标每增加一个百分点扣0.1分。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6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“灭蝇除臭处理验收合格”控制率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垃圾处理合格率达到100%。</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达到绩效目标得4分，没达到目标每减少一个百分点扣0.1分。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“完成时间”控制率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4</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项目时效指标为2020年12月底之前完成。</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达到绩效目标得4分，没达到目标每减少一个百分点扣0.1分。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FF0000"/>
                <w:kern w:val="2"/>
                <w:sz w:val="18"/>
                <w:szCs w:val="18"/>
                <w:lang w:val="en-US" w:eastAsia="zh-CN" w:bidi="ar-SA"/>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“成本指标”控制率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4</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预算成本</w:t>
            </w:r>
            <w:r>
              <w:rPr>
                <w:rFonts w:hint="eastAsia" w:ascii="仿宋" w:hAnsi="仿宋" w:eastAsia="仿宋" w:cs="宋体"/>
                <w:color w:val="000000"/>
                <w:sz w:val="18"/>
                <w:szCs w:val="18"/>
              </w:rPr>
              <w:t>≤</w:t>
            </w:r>
            <w:r>
              <w:rPr>
                <w:rFonts w:hint="eastAsia" w:ascii="宋体" w:hAnsi="宋体" w:cs="宋体"/>
                <w:color w:val="000000"/>
                <w:sz w:val="18"/>
                <w:szCs w:val="18"/>
              </w:rPr>
              <w:t>14万。</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达到绩效目标得4分，没达到目标每减少一个百分点扣0.1分。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4</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FF0000"/>
                <w:kern w:val="2"/>
                <w:sz w:val="18"/>
                <w:szCs w:val="18"/>
                <w:lang w:val="en-US" w:eastAsia="zh-CN" w:bidi="ar-SA"/>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“维修验收合格率”控制率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ascii="宋体" w:hAnsi="宋体" w:cs="宋体"/>
                <w:color w:val="000000"/>
                <w:sz w:val="18"/>
                <w:szCs w:val="18"/>
              </w:rPr>
            </w:pPr>
            <w:r>
              <w:rPr>
                <w:rFonts w:hint="eastAsia" w:ascii="宋体" w:hAnsi="宋体" w:cs="宋体"/>
                <w:color w:val="000000"/>
                <w:sz w:val="18"/>
                <w:szCs w:val="18"/>
              </w:rPr>
              <w:t>垃圾场设施维修合格率100%。</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达到绩效目标得4分，没达到目标每减少一个百分点扣0.1分。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810" w:hRule="atLeast"/>
        </w:trPr>
        <w:tc>
          <w:tcPr>
            <w:tcW w:w="331"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4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w:t>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52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6 </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良好的环境是否给芷江带来更好的旅游资源。（结合实际民众问卷调查）</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100%为6分，每减少一个百分点扣0.2分。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810" w:hRule="atLeast"/>
        </w:trPr>
        <w:tc>
          <w:tcPr>
            <w:tcW w:w="3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良好的环境是否让芷江市民感到更宜居、乐居、利居。（结合实际民众问卷调查）</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100%为6分，每减少一个百分点扣0.2分。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90" w:hRule="atLeast"/>
        </w:trPr>
        <w:tc>
          <w:tcPr>
            <w:tcW w:w="3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项目产出能持续运用；项目运行所依赖的政策制度能持续执行</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结合调查问卷了解市民对城市管理工作一年的评分，今年比去年管理工作效果进步大记6分，一般记3分，没有进步记0分。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1050" w:hRule="atLeast"/>
        </w:trPr>
        <w:tc>
          <w:tcPr>
            <w:tcW w:w="3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公众满意度</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市民对执法人员的满意度。结合实际民众问卷调查。</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满意度90分以上记7分，80-90分记6分，70-80分记5分，60-70分记4分，60分以下记0分。</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510" w:hRule="atLeast"/>
        </w:trPr>
        <w:tc>
          <w:tcPr>
            <w:tcW w:w="3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总分</w:t>
            </w: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2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92</w:t>
            </w:r>
          </w:p>
        </w:tc>
        <w:tc>
          <w:tcPr>
            <w:tcW w:w="3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r>
    </w:tbl>
    <w:p>
      <w:pPr>
        <w:spacing w:line="560" w:lineRule="exact"/>
        <w:rPr>
          <w:rFonts w:hint="eastAsia" w:ascii="仿宋" w:hAnsi="仿宋" w:eastAsia="仿宋"/>
          <w:sz w:val="32"/>
          <w:szCs w:val="32"/>
        </w:rPr>
      </w:pPr>
      <w:bookmarkStart w:id="0" w:name="_GoBack"/>
      <w:bookmarkEnd w:id="0"/>
    </w:p>
    <w:p>
      <w:pPr>
        <w:spacing w:line="560" w:lineRule="exact"/>
        <w:rPr>
          <w:rFonts w:ascii="仿宋" w:hAnsi="仿宋" w:eastAsia="仿宋"/>
          <w:sz w:val="32"/>
          <w:szCs w:val="32"/>
        </w:rPr>
      </w:pPr>
    </w:p>
    <w:p>
      <w:pPr>
        <w:spacing w:line="560" w:lineRule="exact"/>
        <w:rPr>
          <w:rFonts w:ascii="仿宋" w:hAnsi="仿宋" w:eastAsia="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FA"/>
    <w:rsid w:val="00306DFA"/>
    <w:rsid w:val="00733166"/>
    <w:rsid w:val="00DB5151"/>
    <w:rsid w:val="16B76FBE"/>
    <w:rsid w:val="1E46372C"/>
    <w:rsid w:val="26B62192"/>
    <w:rsid w:val="33B65523"/>
    <w:rsid w:val="42DC3614"/>
    <w:rsid w:val="47A51028"/>
    <w:rsid w:val="4A6F6FCA"/>
    <w:rsid w:val="59DC4B00"/>
    <w:rsid w:val="5C8951D9"/>
    <w:rsid w:val="636D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file:///C:\Users\ADMINI~1\AppData\Local\Temp\ksohtml\clip_image3080.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576</Words>
  <Characters>3288</Characters>
  <Lines>27</Lines>
  <Paragraphs>7</Paragraphs>
  <TotalTime>1</TotalTime>
  <ScaleCrop>false</ScaleCrop>
  <LinksUpToDate>false</LinksUpToDate>
  <CharactersWithSpaces>3857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2021-07-14T09:37:00Z</dcterms:created>
  <dc:creator>Administrator</dc:creator>
  <cp:lastModifiedBy>妖精的手指</cp:lastModifiedBy>
  <cp:lastPrinted>2021-07-15T03:30:11Z</cp:lastPrinted>
  <dcterms:modified xsi:type="dcterms:W3CDTF">2021-07-15T03:32:23Z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BA615452BB5B401BA6F3BAEE48D7F709</vt:lpwstr>
  </property>
</Properties>
</file>