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8" w:lineRule="exact"/>
        <w:jc w:val="both"/>
        <w:rPr>
          <w:rFonts w:hint="eastAsia" w:ascii="黑体" w:hAnsi="黑体" w:eastAsia="黑体" w:cs="黑体"/>
          <w:sz w:val="36"/>
          <w:szCs w:val="36"/>
          <w:lang w:val="en-US" w:eastAsia="zh-CN"/>
        </w:rPr>
      </w:pPr>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10</w:t>
      </w:r>
    </w:p>
    <w:p>
      <w:pPr>
        <w:adjustRightInd w:val="0"/>
        <w:snapToGrid w:val="0"/>
        <w:spacing w:line="5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20</w:t>
      </w:r>
      <w:r>
        <w:rPr>
          <w:rFonts w:hint="eastAsia" w:ascii="黑体" w:hAnsi="黑体" w:eastAsia="黑体" w:cs="黑体"/>
          <w:b/>
          <w:bCs/>
          <w:sz w:val="44"/>
          <w:szCs w:val="44"/>
        </w:rPr>
        <w:t>年</w:t>
      </w:r>
      <w:r>
        <w:rPr>
          <w:rFonts w:hint="eastAsia" w:ascii="黑体" w:hAnsi="黑体" w:eastAsia="黑体" w:cs="黑体"/>
          <w:b/>
          <w:bCs/>
          <w:sz w:val="44"/>
          <w:szCs w:val="44"/>
          <w:lang w:eastAsia="zh-CN"/>
        </w:rPr>
        <w:t>环卫维修采购专项资金</w:t>
      </w:r>
    </w:p>
    <w:p>
      <w:pPr>
        <w:adjustRightInd w:val="0"/>
        <w:snapToGrid w:val="0"/>
        <w:spacing w:line="500" w:lineRule="exact"/>
        <w:jc w:val="center"/>
        <w:rPr>
          <w:rFonts w:hint="eastAsia" w:ascii="黑体" w:hAnsi="黑体" w:eastAsia="黑体" w:cs="黑体"/>
          <w:b/>
          <w:bCs/>
          <w:sz w:val="44"/>
          <w:szCs w:val="44"/>
        </w:rPr>
      </w:pPr>
      <w:r>
        <w:rPr>
          <w:rFonts w:hint="eastAsia" w:ascii="黑体" w:hAnsi="黑体" w:eastAsia="黑体" w:cs="黑体"/>
          <w:b/>
          <w:bCs/>
          <w:sz w:val="44"/>
          <w:szCs w:val="44"/>
        </w:rPr>
        <w:t>绩效自评报告</w:t>
      </w:r>
    </w:p>
    <w:p>
      <w:pPr>
        <w:spacing w:line="500" w:lineRule="exact"/>
        <w:outlineLvl w:val="0"/>
        <w:rPr>
          <w:rFonts w:hint="eastAsia" w:ascii="黑体" w:hAnsi="黑体" w:eastAsia="黑体" w:cs="黑体"/>
          <w:b/>
          <w:bCs/>
          <w:sz w:val="44"/>
          <w:szCs w:val="44"/>
        </w:rPr>
      </w:pPr>
    </w:p>
    <w:p>
      <w:pPr>
        <w:spacing w:line="500" w:lineRule="exact"/>
        <w:ind w:firstLine="602" w:firstLineChars="200"/>
        <w:outlineLvl w:val="0"/>
        <w:rPr>
          <w:rFonts w:hint="eastAsia" w:ascii="仿宋" w:hAnsi="仿宋" w:eastAsia="仿宋" w:cs="仿宋"/>
          <w:b/>
          <w:sz w:val="30"/>
          <w:szCs w:val="30"/>
        </w:rPr>
      </w:pPr>
      <w:r>
        <w:rPr>
          <w:rFonts w:hint="eastAsia" w:ascii="仿宋" w:hAnsi="仿宋" w:eastAsia="仿宋" w:cs="仿宋"/>
          <w:b/>
          <w:sz w:val="30"/>
          <w:szCs w:val="30"/>
        </w:rPr>
        <w:t>一、项目基本情况</w:t>
      </w:r>
    </w:p>
    <w:p>
      <w:pPr>
        <w:spacing w:line="5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（一）项目概况</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环卫维修采购专项</w:t>
      </w:r>
    </w:p>
    <w:p>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项目绩效目标</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在县城区纳入城市管理事务中心环卫股垃圾清运范围内按照城区环境卫生管理标准对城区垃圾收集点、垃圾中转站、勾臂箱等实行定时定点收集垃圾，及时转运垃圾中转站垃圾和吊运勾臂箱垃圾，对单位、学校、市场、医院、机场、高铁站、高速收费站、高速服务区以及景区景点做到随满随吊，对每年各节产生的大量垃圾及时清运，保证城区各点站不堆积垃圾，同时不间断清理久积垃圾和农副产品销售后的遗留垃圾，对城区公厕进行专人值守及时维护。认真落实中央、省市领导来芷会务、考察调研等各项突出垃圾清运任务。保证垃圾清运工作运转正常使芷江城区环境卫生在创国卫的基础上街道更加靓丽整洁，市民工作环境和生活环境更加舒适。</w:t>
      </w:r>
    </w:p>
    <w:p>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（三）项目实施情况分析</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项目由单位成立专项小组，报送县人民政府，经县人民政府工作会议研究决定本单位的车辆使用及维护费用纳入本年度财政预算，县财政预算部门一次性下达全年度项目指标，单位资金管理部门根据需要分期分批申报，专项小组审批，单位成立的纪检监察小组对资金的使用进行审核和监督资金的运行全过程。</w:t>
      </w:r>
    </w:p>
    <w:p>
      <w:pPr>
        <w:spacing w:line="500" w:lineRule="exact"/>
        <w:ind w:firstLine="602" w:firstLineChars="200"/>
        <w:outlineLvl w:val="0"/>
        <w:rPr>
          <w:rFonts w:hint="eastAsia" w:ascii="仿宋" w:hAnsi="仿宋" w:eastAsia="仿宋" w:cs="仿宋"/>
          <w:b/>
          <w:sz w:val="30"/>
          <w:szCs w:val="30"/>
        </w:rPr>
      </w:pPr>
      <w:r>
        <w:rPr>
          <w:rFonts w:hint="eastAsia" w:ascii="仿宋" w:hAnsi="仿宋" w:eastAsia="仿宋" w:cs="仿宋"/>
          <w:b/>
          <w:sz w:val="30"/>
          <w:szCs w:val="30"/>
        </w:rPr>
        <w:t>二、绩效评价工作情况</w:t>
      </w:r>
    </w:p>
    <w:p>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（一）绩效评价目的</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专款专用，合理运用资金，杜绝挪用、挤占、截留项目资金，监督项目管理工作，使项目管理工作更具有合理性、规范性、效益性、真实性。</w:t>
      </w:r>
    </w:p>
    <w:p>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（二）绩效评价工作过程</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相关部门建立了相应的合法、合规、完整的业务管理制度，项目资金管理办法，为了保障资金的安全、规范运行成立了纪检监察小组，明确相关职责，各部门根据工作业务流程进行协同推进项目管理工作，圆满完成了项目绩效工作。</w:t>
      </w:r>
    </w:p>
    <w:p>
      <w:pPr>
        <w:spacing w:line="50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三、综合评价情况及评价结论</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绩效目标采取100分制进行综合评价，其中包括实际民众问卷调查结果，本项目绩效得分8</w:t>
      </w:r>
      <w:r>
        <w:rPr>
          <w:rFonts w:hint="eastAsia" w:ascii="仿宋" w:hAnsi="仿宋" w:eastAsia="仿宋" w:cs="仿宋"/>
          <w:sz w:val="30"/>
          <w:szCs w:val="30"/>
          <w:lang w:val="en-US" w:eastAsia="zh-CN"/>
        </w:rPr>
        <w:t>8</w:t>
      </w:r>
      <w:r>
        <w:rPr>
          <w:rFonts w:hint="eastAsia" w:ascii="仿宋" w:hAnsi="仿宋" w:eastAsia="仿宋" w:cs="仿宋"/>
          <w:sz w:val="30"/>
          <w:szCs w:val="30"/>
        </w:rPr>
        <w:t>分。</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四、项目主要绩效情况分析</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pacing w:val="-2"/>
          <w:sz w:val="30"/>
          <w:szCs w:val="30"/>
        </w:rPr>
        <w:t>本年度项目预算资金</w:t>
      </w:r>
      <w:r>
        <w:rPr>
          <w:rFonts w:hint="eastAsia" w:ascii="仿宋" w:hAnsi="仿宋" w:eastAsia="仿宋" w:cs="仿宋"/>
          <w:spacing w:val="-2"/>
          <w:sz w:val="30"/>
          <w:szCs w:val="30"/>
          <w:lang w:val="en-US" w:eastAsia="zh-CN"/>
        </w:rPr>
        <w:t>160</w:t>
      </w:r>
      <w:r>
        <w:rPr>
          <w:rFonts w:hint="eastAsia" w:ascii="仿宋" w:hAnsi="仿宋" w:eastAsia="仿宋" w:cs="仿宋"/>
          <w:spacing w:val="-2"/>
          <w:sz w:val="30"/>
          <w:szCs w:val="30"/>
        </w:rPr>
        <w:t>万元，实际支出约</w:t>
      </w:r>
      <w:r>
        <w:rPr>
          <w:rFonts w:hint="eastAsia" w:ascii="仿宋" w:hAnsi="仿宋" w:eastAsia="仿宋" w:cs="仿宋"/>
          <w:spacing w:val="-2"/>
          <w:sz w:val="30"/>
          <w:szCs w:val="30"/>
          <w:lang w:val="en-US" w:eastAsia="zh-CN"/>
        </w:rPr>
        <w:t>161.7</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eastAsia="zh-CN"/>
        </w:rPr>
        <w:t>对单位、学校、市场、医院、机场、高铁站、高速收费站、高速服务区以及景区景点做到随满随吊，对每年各节产生的大量垃圾及时清运，保证城区各点站不堆积垃圾，同时不间断清理久积垃圾和农副产品销售后的遗留垃圾，认真落实中央、省市领导来芷会务、考察调研等各项突出垃圾清运任务，对城区公厕进行专人值守及时维护，保证垃圾清运工作运转正常。使芷江城区环境卫生在创国卫的基础上街道更加靓丽整洁，市民工作环境和生活环境更加舒适。年清运垃圾</w:t>
      </w:r>
      <w:r>
        <w:rPr>
          <w:rFonts w:hint="eastAsia" w:ascii="仿宋" w:hAnsi="仿宋" w:eastAsia="仿宋" w:cs="仿宋"/>
          <w:sz w:val="30"/>
          <w:szCs w:val="30"/>
          <w:lang w:val="en-US" w:eastAsia="zh-CN"/>
        </w:rPr>
        <w:t>47450吨。</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五、存在的主要问题</w:t>
      </w:r>
    </w:p>
    <w:p>
      <w:pPr>
        <w:numPr>
          <w:ilvl w:val="0"/>
          <w:numId w:val="0"/>
        </w:numPr>
        <w:ind w:firstLine="592" w:firstLineChars="200"/>
        <w:rPr>
          <w:rFonts w:hint="eastAsia" w:ascii="仿宋" w:hAnsi="仿宋" w:eastAsia="仿宋" w:cs="仿宋"/>
          <w:spacing w:val="-2"/>
          <w:sz w:val="30"/>
          <w:szCs w:val="30"/>
          <w:lang w:val="en-US" w:eastAsia="zh-CN"/>
        </w:rPr>
      </w:pPr>
      <w:r>
        <w:rPr>
          <w:rFonts w:hint="eastAsia" w:ascii="仿宋" w:hAnsi="仿宋" w:eastAsia="仿宋" w:cs="仿宋"/>
          <w:spacing w:val="-2"/>
          <w:sz w:val="30"/>
          <w:szCs w:val="30"/>
          <w:lang w:val="en-US" w:eastAsia="zh-CN"/>
        </w:rPr>
        <w:t>垃圾车辆、垃圾收集设备老化、设备受腐蚀情况严重，维修工作难度增大。</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六、改进措施和有关建议</w:t>
      </w:r>
    </w:p>
    <w:p>
      <w:pPr>
        <w:numPr>
          <w:ilvl w:val="0"/>
          <w:numId w:val="0"/>
        </w:numPr>
        <w:ind w:firstLine="592" w:firstLineChars="200"/>
        <w:rPr>
          <w:rFonts w:hint="eastAsia" w:ascii="仿宋" w:hAnsi="仿宋" w:eastAsia="仿宋" w:cs="仿宋"/>
          <w:spacing w:val="-2"/>
          <w:sz w:val="30"/>
          <w:szCs w:val="30"/>
          <w:lang w:val="en-US" w:eastAsia="zh-CN"/>
        </w:rPr>
      </w:pPr>
      <w:r>
        <w:rPr>
          <w:rFonts w:hint="eastAsia" w:ascii="仿宋" w:hAnsi="仿宋" w:eastAsia="仿宋" w:cs="仿宋"/>
          <w:spacing w:val="-2"/>
          <w:sz w:val="30"/>
          <w:szCs w:val="30"/>
          <w:lang w:val="en-US" w:eastAsia="zh-CN"/>
        </w:rPr>
        <w:t>因单位体制，人员逐步退休减少，加上事业单位只出不进，城区清扫保洁面积增加，人口增多，建议实行市场一体化。</w:t>
      </w:r>
    </w:p>
    <w:p>
      <w:pPr>
        <w:numPr>
          <w:ilvl w:val="0"/>
          <w:numId w:val="0"/>
        </w:numPr>
        <w:ind w:firstLine="632" w:firstLineChars="200"/>
        <w:rPr>
          <w:rFonts w:hint="eastAsia" w:ascii="仿宋" w:hAnsi="仿宋" w:eastAsia="仿宋"/>
          <w:spacing w:val="-2"/>
          <w:sz w:val="32"/>
          <w:szCs w:val="32"/>
          <w:lang w:val="en-US" w:eastAsia="zh-CN"/>
        </w:rPr>
      </w:pPr>
    </w:p>
    <w:p>
      <w:pPr>
        <w:numPr>
          <w:ilvl w:val="0"/>
          <w:numId w:val="0"/>
        </w:numPr>
        <w:ind w:firstLine="632" w:firstLineChars="200"/>
        <w:rPr>
          <w:rFonts w:hint="eastAsia" w:ascii="仿宋" w:hAnsi="仿宋" w:eastAsia="仿宋"/>
          <w:spacing w:val="-2"/>
          <w:sz w:val="32"/>
          <w:szCs w:val="32"/>
          <w:lang w:val="en-US" w:eastAsia="zh-CN"/>
        </w:rPr>
      </w:pPr>
    </w:p>
    <w:p>
      <w:pPr>
        <w:numPr>
          <w:ilvl w:val="0"/>
          <w:numId w:val="0"/>
        </w:numPr>
        <w:ind w:firstLine="632" w:firstLineChars="200"/>
        <w:rPr>
          <w:rFonts w:hint="eastAsia" w:ascii="仿宋" w:hAnsi="仿宋" w:eastAsia="仿宋"/>
          <w:spacing w:val="-2"/>
          <w:sz w:val="32"/>
          <w:szCs w:val="32"/>
          <w:lang w:val="en-US" w:eastAsia="zh-CN"/>
        </w:rPr>
      </w:pPr>
    </w:p>
    <w:p>
      <w:pPr>
        <w:numPr>
          <w:ilvl w:val="0"/>
          <w:numId w:val="0"/>
        </w:numPr>
        <w:ind w:firstLine="632" w:firstLineChars="200"/>
        <w:rPr>
          <w:rFonts w:hint="eastAsia" w:ascii="仿宋" w:hAnsi="仿宋" w:eastAsia="仿宋"/>
          <w:spacing w:val="-2"/>
          <w:sz w:val="32"/>
          <w:szCs w:val="32"/>
          <w:lang w:val="en-US" w:eastAsia="zh-CN"/>
        </w:rPr>
      </w:pPr>
    </w:p>
    <w:p>
      <w:pPr>
        <w:numPr>
          <w:ilvl w:val="0"/>
          <w:numId w:val="0"/>
        </w:numPr>
        <w:ind w:firstLine="632" w:firstLineChars="200"/>
        <w:rPr>
          <w:rFonts w:hint="eastAsia" w:ascii="仿宋" w:hAnsi="仿宋" w:eastAsia="仿宋"/>
          <w:spacing w:val="-2"/>
          <w:sz w:val="32"/>
          <w:szCs w:val="32"/>
          <w:lang w:val="en-US" w:eastAsia="zh-CN"/>
        </w:rPr>
      </w:pPr>
    </w:p>
    <w:p>
      <w:pPr>
        <w:numPr>
          <w:ilvl w:val="0"/>
          <w:numId w:val="0"/>
        </w:numPr>
        <w:ind w:firstLine="632" w:firstLineChars="200"/>
        <w:rPr>
          <w:rFonts w:hint="eastAsia" w:ascii="仿宋" w:hAnsi="仿宋" w:eastAsia="仿宋"/>
          <w:spacing w:val="-2"/>
          <w:sz w:val="32"/>
          <w:szCs w:val="32"/>
          <w:lang w:val="en-US" w:eastAsia="zh-CN"/>
        </w:rPr>
      </w:pPr>
    </w:p>
    <w:p>
      <w:pPr>
        <w:numPr>
          <w:ilvl w:val="0"/>
          <w:numId w:val="0"/>
        </w:numPr>
        <w:ind w:firstLine="632" w:firstLineChars="200"/>
        <w:rPr>
          <w:rFonts w:hint="eastAsia" w:ascii="仿宋" w:hAnsi="仿宋" w:eastAsia="仿宋"/>
          <w:spacing w:val="-2"/>
          <w:sz w:val="32"/>
          <w:szCs w:val="32"/>
          <w:lang w:val="en-US" w:eastAsia="zh-CN"/>
        </w:rPr>
      </w:pPr>
    </w:p>
    <w:p>
      <w:pPr>
        <w:numPr>
          <w:ilvl w:val="0"/>
          <w:numId w:val="0"/>
        </w:numPr>
        <w:rPr>
          <w:rFonts w:hint="eastAsia" w:ascii="仿宋" w:hAnsi="仿宋" w:eastAsia="仿宋"/>
          <w:spacing w:val="-2"/>
          <w:sz w:val="32"/>
          <w:szCs w:val="32"/>
          <w:lang w:val="en-US" w:eastAsia="zh-CN"/>
        </w:rPr>
      </w:pPr>
    </w:p>
    <w:p>
      <w:pPr>
        <w:numPr>
          <w:ilvl w:val="0"/>
          <w:numId w:val="0"/>
        </w:numPr>
        <w:rPr>
          <w:rFonts w:hint="eastAsia" w:ascii="仿宋" w:hAnsi="仿宋" w:eastAsia="仿宋"/>
          <w:spacing w:val="-2"/>
          <w:sz w:val="32"/>
          <w:szCs w:val="32"/>
          <w:lang w:val="en-US" w:eastAsia="zh-CN"/>
        </w:rPr>
      </w:pPr>
    </w:p>
    <w:p>
      <w:pPr>
        <w:numPr>
          <w:ilvl w:val="0"/>
          <w:numId w:val="0"/>
        </w:numPr>
        <w:rPr>
          <w:rFonts w:hint="eastAsia" w:ascii="仿宋" w:hAnsi="仿宋" w:eastAsia="仿宋"/>
          <w:spacing w:val="-2"/>
          <w:sz w:val="32"/>
          <w:szCs w:val="32"/>
          <w:lang w:val="en-US" w:eastAsia="zh-CN"/>
        </w:rPr>
      </w:pPr>
    </w:p>
    <w:p>
      <w:pPr>
        <w:numPr>
          <w:ilvl w:val="0"/>
          <w:numId w:val="0"/>
        </w:numPr>
        <w:rPr>
          <w:rFonts w:hint="eastAsia" w:ascii="仿宋" w:hAnsi="仿宋" w:eastAsia="仿宋"/>
          <w:spacing w:val="-2"/>
          <w:sz w:val="32"/>
          <w:szCs w:val="32"/>
          <w:lang w:val="en-US" w:eastAsia="zh-CN"/>
        </w:rPr>
      </w:pPr>
    </w:p>
    <w:p>
      <w:pPr>
        <w:numPr>
          <w:ilvl w:val="0"/>
          <w:numId w:val="0"/>
        </w:numPr>
        <w:rPr>
          <w:rFonts w:hint="eastAsia" w:ascii="仿宋" w:hAnsi="仿宋" w:eastAsia="仿宋"/>
          <w:spacing w:val="-2"/>
          <w:sz w:val="32"/>
          <w:szCs w:val="32"/>
          <w:lang w:val="en-US" w:eastAsia="zh-CN"/>
        </w:rPr>
      </w:pPr>
    </w:p>
    <w:p>
      <w:pPr>
        <w:numPr>
          <w:ilvl w:val="0"/>
          <w:numId w:val="0"/>
        </w:numPr>
        <w:rPr>
          <w:rFonts w:hint="eastAsia" w:ascii="仿宋" w:hAnsi="仿宋" w:eastAsia="仿宋"/>
          <w:spacing w:val="-2"/>
          <w:sz w:val="32"/>
          <w:szCs w:val="32"/>
          <w:lang w:val="en-US" w:eastAsia="zh-CN"/>
        </w:rPr>
      </w:pPr>
    </w:p>
    <w:p>
      <w:pPr>
        <w:numPr>
          <w:ilvl w:val="0"/>
          <w:numId w:val="0"/>
        </w:numPr>
        <w:rPr>
          <w:rFonts w:hint="eastAsia" w:ascii="仿宋" w:hAnsi="仿宋" w:eastAsia="仿宋"/>
          <w:spacing w:val="-2"/>
          <w:sz w:val="32"/>
          <w:szCs w:val="32"/>
          <w:lang w:val="en-US" w:eastAsia="zh-CN"/>
        </w:rPr>
      </w:pPr>
    </w:p>
    <w:p>
      <w:pPr>
        <w:numPr>
          <w:ilvl w:val="0"/>
          <w:numId w:val="0"/>
        </w:numPr>
        <w:rPr>
          <w:rFonts w:hint="eastAsia" w:ascii="仿宋" w:hAnsi="仿宋" w:eastAsia="仿宋"/>
          <w:spacing w:val="-2"/>
          <w:sz w:val="32"/>
          <w:szCs w:val="32"/>
          <w:lang w:val="en-US" w:eastAsia="zh-CN"/>
        </w:rPr>
      </w:pPr>
    </w:p>
    <w:tbl>
      <w:tblPr>
        <w:tblStyle w:val="2"/>
        <w:tblW w:w="9441" w:type="dxa"/>
        <w:tblInd w:w="0" w:type="dxa"/>
        <w:tblLayout w:type="fixed"/>
        <w:tblCellMar>
          <w:top w:w="15" w:type="dxa"/>
          <w:left w:w="15" w:type="dxa"/>
          <w:bottom w:w="15" w:type="dxa"/>
          <w:right w:w="15" w:type="dxa"/>
        </w:tblCellMar>
      </w:tblPr>
      <w:tblGrid>
        <w:gridCol w:w="331"/>
        <w:gridCol w:w="405"/>
        <w:gridCol w:w="324"/>
        <w:gridCol w:w="398"/>
        <w:gridCol w:w="524"/>
        <w:gridCol w:w="401"/>
        <w:gridCol w:w="2884"/>
        <w:gridCol w:w="3364"/>
        <w:gridCol w:w="390"/>
        <w:gridCol w:w="420"/>
      </w:tblGrid>
      <w:tr>
        <w:tblPrEx>
          <w:tblCellMar>
            <w:top w:w="15" w:type="dxa"/>
            <w:left w:w="15" w:type="dxa"/>
            <w:bottom w:w="15" w:type="dxa"/>
            <w:right w:w="15" w:type="dxa"/>
          </w:tblCellMar>
        </w:tblPrEx>
        <w:trPr>
          <w:trHeight w:val="585" w:hRule="atLeast"/>
        </w:trPr>
        <w:tc>
          <w:tcPr>
            <w:tcW w:w="9441" w:type="dxa"/>
            <w:gridSpan w:val="10"/>
            <w:noWrap w:val="0"/>
            <w:vAlign w:val="center"/>
          </w:tcPr>
          <w:p>
            <w:pPr>
              <w:widowControl/>
              <w:ind w:right="73" w:rightChars="35" w:firstLine="1807" w:firstLineChars="500"/>
              <w:jc w:val="both"/>
              <w:textAlignment w:val="center"/>
              <w:rPr>
                <w:rFonts w:hint="eastAsia" w:ascii="宋体" w:hAnsi="宋体" w:cs="宋体"/>
                <w:b/>
                <w:color w:val="000000"/>
                <w:sz w:val="36"/>
                <w:szCs w:val="36"/>
              </w:rPr>
            </w:pPr>
            <w:r>
              <w:rPr>
                <w:rFonts w:hint="eastAsia" w:ascii="宋体" w:hAnsi="宋体" w:cs="宋体"/>
                <w:b/>
                <w:color w:val="000000"/>
                <w:kern w:val="0"/>
                <w:sz w:val="36"/>
                <w:szCs w:val="36"/>
                <w:lang w:eastAsia="zh-CN" w:bidi="ar"/>
              </w:rPr>
              <w:t>环卫维修采购</w:t>
            </w:r>
            <w:r>
              <w:rPr>
                <w:rFonts w:hint="eastAsia" w:ascii="宋体" w:hAnsi="宋体" w:eastAsia="宋体" w:cs="宋体"/>
                <w:b/>
                <w:color w:val="000000"/>
                <w:kern w:val="0"/>
                <w:sz w:val="36"/>
                <w:szCs w:val="36"/>
                <w:lang w:eastAsia="zh-CN" w:bidi="ar"/>
              </w:rPr>
              <w:t>专项资金</w:t>
            </w:r>
            <w:r>
              <w:rPr>
                <w:rFonts w:hint="eastAsia" w:ascii="宋体" w:hAnsi="宋体" w:eastAsia="宋体" w:cs="宋体"/>
                <w:b/>
                <w:color w:val="000000"/>
                <w:kern w:val="0"/>
                <w:sz w:val="36"/>
                <w:szCs w:val="36"/>
                <w:lang w:bidi="ar"/>
              </w:rPr>
              <w:t>绩效评价指标</w:t>
            </w:r>
          </w:p>
        </w:tc>
      </w:tr>
      <w:tr>
        <w:tblPrEx>
          <w:tblCellMar>
            <w:top w:w="15" w:type="dxa"/>
            <w:left w:w="15" w:type="dxa"/>
            <w:bottom w:w="15" w:type="dxa"/>
            <w:right w:w="15" w:type="dxa"/>
          </w:tblCellMar>
        </w:tblPrEx>
        <w:trPr>
          <w:trHeight w:val="435" w:hRule="atLeast"/>
        </w:trPr>
        <w:tc>
          <w:tcPr>
            <w:tcW w:w="9441" w:type="dxa"/>
            <w:gridSpan w:val="10"/>
            <w:tcBorders>
              <w:bottom w:val="single" w:color="000000" w:sz="4" w:space="0"/>
            </w:tcBorders>
            <w:noWrap w:val="0"/>
            <w:vAlign w:val="center"/>
          </w:tcPr>
          <w:p>
            <w:pPr>
              <w:widowControl/>
              <w:ind w:right="73" w:rightChars="35"/>
              <w:jc w:val="left"/>
              <w:textAlignment w:val="center"/>
              <w:rPr>
                <w:rFonts w:hint="eastAsia" w:ascii="宋体" w:hAnsi="宋体" w:eastAsia="宋体" w:cs="宋体"/>
                <w:b/>
                <w:color w:val="000000"/>
                <w:sz w:val="24"/>
                <w:szCs w:val="24"/>
                <w:lang w:eastAsia="zh-CN"/>
              </w:rPr>
            </w:pPr>
            <w:r>
              <w:rPr>
                <w:rFonts w:hint="eastAsia" w:ascii="宋体" w:hAnsi="宋体" w:cs="宋体"/>
                <w:b/>
                <w:color w:val="000000"/>
                <w:kern w:val="0"/>
                <w:sz w:val="24"/>
                <w:szCs w:val="24"/>
                <w:lang w:bidi="ar"/>
              </w:rPr>
              <w:t>填报单位：城市管理</w:t>
            </w:r>
            <w:r>
              <w:rPr>
                <w:rFonts w:hint="eastAsia" w:ascii="宋体" w:hAnsi="宋体" w:cs="宋体"/>
                <w:b/>
                <w:color w:val="000000"/>
                <w:kern w:val="0"/>
                <w:sz w:val="24"/>
                <w:szCs w:val="24"/>
                <w:lang w:eastAsia="zh-CN" w:bidi="ar"/>
              </w:rPr>
              <w:t>和综合执法局</w:t>
            </w:r>
          </w:p>
        </w:tc>
      </w:tr>
      <w:tr>
        <w:tblPrEx>
          <w:tblCellMar>
            <w:top w:w="15" w:type="dxa"/>
            <w:left w:w="15" w:type="dxa"/>
            <w:bottom w:w="15" w:type="dxa"/>
            <w:right w:w="15" w:type="dxa"/>
          </w:tblCellMar>
        </w:tblPrEx>
        <w:trPr>
          <w:trHeight w:val="915" w:hRule="atLeast"/>
        </w:trPr>
        <w:tc>
          <w:tcPr>
            <w:tcW w:w="3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一级指标</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c>
          <w:tcPr>
            <w:tcW w:w="3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二级指标</w:t>
            </w: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三级指标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指标解释</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评价标准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备注</w:t>
            </w:r>
          </w:p>
        </w:tc>
      </w:tr>
      <w:tr>
        <w:tblPrEx>
          <w:tblCellMar>
            <w:top w:w="15" w:type="dxa"/>
            <w:left w:w="15" w:type="dxa"/>
            <w:bottom w:w="15" w:type="dxa"/>
            <w:right w:w="15" w:type="dxa"/>
          </w:tblCellMar>
        </w:tblPrEx>
        <w:trPr>
          <w:trHeight w:val="1110" w:hRule="atLeast"/>
        </w:trPr>
        <w:tc>
          <w:tcPr>
            <w:tcW w:w="33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投入</w:t>
            </w:r>
          </w:p>
        </w:tc>
        <w:tc>
          <w:tcPr>
            <w:tcW w:w="4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3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项目立项</w:t>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"../../ADMINI~1/AppData/Local/Temp/ksohtml/clip_image3073.png"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2"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"../../ADMINI~1/AppData/Local/Temp/ksohtml/clip_image3074.png"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6"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"../../ADMINI~1/AppData/Local/Temp/ksohtml/clip_image3075.png"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5"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"../../ADMINI~1/AppData/Local/Temp/ksohtml/clip_image3076.png"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3"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"../../ADMINI~1/AppData/Local/Temp/ksohtml/clip_image3077.png"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4"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"../../ADMINI~1/AppData/Local/Temp/ksohtml/clip_image3078.png"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9"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"../../ADMINI~1/AppData/Local/Temp/ksohtml/clip_image3079.png"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1"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ascii="宋体" w:hAnsi="宋体" w:cs="宋体"/>
                <w:color w:val="000000"/>
                <w:kern w:val="0"/>
                <w:sz w:val="18"/>
                <w:szCs w:val="18"/>
                <w:lang w:bidi="ar"/>
              </w:rPr>
              <w:instrText xml:space="preserve"> INCLUDEPICTURE "../../ADMINI~1/AppData/Local/Temp/ksohtml/clip_image3080.png" \* MERGEFORMAT \d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drawing>
                <wp:inline distT="0" distB="0" distL="114300" distR="114300">
                  <wp:extent cx="9525" cy="9525"/>
                  <wp:effectExtent l="0" t="0" r="0" b="0"/>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kern w:val="0"/>
                <w:sz w:val="18"/>
                <w:szCs w:val="18"/>
                <w:lang w:bidi="ar"/>
              </w:rPr>
              <w:fldChar w:fldCharType="end"/>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项目立项规范性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项目的申请、设立过程是否符合相关要求，用以反映和考核项目立项的规范情况。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textAlignment w:val="center"/>
              <w:rPr>
                <w:rFonts w:hint="eastAsia" w:ascii="宋体" w:hAnsi="宋体" w:cs="宋体"/>
                <w:color w:val="000000"/>
                <w:sz w:val="18"/>
                <w:szCs w:val="18"/>
              </w:rPr>
            </w:pPr>
            <w:r>
              <w:rPr>
                <w:rFonts w:hint="eastAsia" w:ascii="仿宋" w:hAnsi="仿宋" w:eastAsia="仿宋" w:cs="宋体"/>
                <w:color w:val="000000"/>
                <w:kern w:val="0"/>
                <w:sz w:val="18"/>
                <w:szCs w:val="18"/>
                <w:lang w:bidi="ar"/>
              </w:rPr>
              <w:t>①</w:t>
            </w:r>
            <w:r>
              <w:rPr>
                <w:rFonts w:hint="eastAsia" w:ascii="宋体" w:hAnsi="宋体" w:cs="宋体"/>
                <w:color w:val="000000"/>
                <w:kern w:val="0"/>
                <w:sz w:val="18"/>
                <w:szCs w:val="18"/>
                <w:lang w:bidi="ar"/>
              </w:rPr>
              <w:t xml:space="preserve">目按照规定的程序设立1分，否则不记分； ②所提交的文件、材料是否符合相关要求记1分，否则不记分；③事前经过必要的可行性研究、专家论证、风险评估、集体决策等记1分，否则不记分。                                 </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18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绩效目标合理性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项目所设定的绩效目标是否依据充分，是否符合客观实际，用以反映和考核项目绩效目标与项目实施的相符情况。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09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绩效指标明确性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依据绩效目标设定的绩效指标是否清晰、细化、可衡量等，用以反映和考核项目绩效目标的明细化情况。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资金落实</w:t>
            </w:r>
          </w:p>
        </w:tc>
        <w:tc>
          <w:tcPr>
            <w:tcW w:w="39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资金到位率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资金到位率＝（实际到位资金/计划投入资金）×100%</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资金足额到位记5分，未足额到位按比例计分。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到位及时率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到位及时率＝（及时到位资金/应到位资金）×100%</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资金按时到位记5分，未按时按比例计分。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065" w:hRule="atLeast"/>
        </w:trPr>
        <w:tc>
          <w:tcPr>
            <w:tcW w:w="33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过程</w:t>
            </w:r>
          </w:p>
        </w:tc>
        <w:tc>
          <w:tcPr>
            <w:tcW w:w="4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3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业务管理</w:t>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管理制度健全性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项目实施单位的业务管理制度是否健全，用以反映和考核业务管理制度对项目顺利实施的保障情况。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①已制定或具有相应的业务管理制度记2.5分， 不制定不记分；                                        ②业务管理制度合法、合规、完整记2.5分；不合法、不合规、不完整不记分。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140"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制度执行有效性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项目实施是否符合相关业务管理规定，用以反映和考核业务管理制度的有效执行情况。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遵守相关法律法规和业务管理规定记5分，否则不记分。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3</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170"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项目质量可控性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项目实施至位是否为达到项目质量要求而采取了必需的措施，用以反映和考核项目实施单位对项目质量的控制情况。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①制定或有相应的项目质量要求或标准记2.5分，否则不记分；                                          ②采取了相应的项目质量检查、验收等必需的控制措施或手段记2.5分，否则不记分。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03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财务管理</w:t>
            </w:r>
          </w:p>
        </w:tc>
        <w:tc>
          <w:tcPr>
            <w:tcW w:w="39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管理制度健全性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项目实施单位的财务制度是否健全，用以反映和考核财务管理制度对资金规范、安全运行的保障情况。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①已制定或具有相应的项目资金管理办法记2.5分，否则不记分；                                           ②项目资金管理办法符合相关财务会计制定记2.5分，否则不记分。</w:t>
            </w:r>
          </w:p>
        </w:tc>
        <w:tc>
          <w:tcPr>
            <w:tcW w:w="39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5</w:t>
            </w:r>
          </w:p>
        </w:tc>
        <w:tc>
          <w:tcPr>
            <w:tcW w:w="420" w:type="dxa"/>
            <w:tcBorders>
              <w:top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695"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资金使用合规性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项目资金使用是否符合相关的财务管理制度规定，用以反映和考核项目资金的规范运行情况。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390" w:type="dxa"/>
            <w:tcBorders>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5</w:t>
            </w:r>
          </w:p>
        </w:tc>
        <w:tc>
          <w:tcPr>
            <w:tcW w:w="420" w:type="dxa"/>
            <w:tcBorders>
              <w:bottom w:val="single" w:color="000000" w:sz="4" w:space="0"/>
              <w:right w:val="single" w:color="000000" w:sz="4" w:space="0"/>
            </w:tcBorders>
            <w:noWrap w:val="0"/>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260"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财务监控有效性</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项目单位是否为保障资金的安全、规范运行而采取了必要的监控措施，用以反映和考核项目单位对资金运行的控制情况。</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①已制定或具有相应的监控机制记2.5分，否则不记分；                                       ②采取了相应的财务检查等必要的监控措施或手段记2.5分，否则不记分。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661" w:hRule="atLeast"/>
        </w:trPr>
        <w:tc>
          <w:tcPr>
            <w:tcW w:w="33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w:t>
            </w:r>
          </w:p>
        </w:tc>
        <w:tc>
          <w:tcPr>
            <w:tcW w:w="4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项目产出</w:t>
            </w:r>
          </w:p>
        </w:tc>
        <w:tc>
          <w:tcPr>
            <w:tcW w:w="39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sz w:val="18"/>
                <w:szCs w:val="18"/>
                <w:lang w:val="en-US" w:eastAsia="zh-CN"/>
              </w:rPr>
              <w:t>环卫日常维修和保养</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sz w:val="18"/>
                <w:szCs w:val="18"/>
                <w:lang w:val="en-US" w:eastAsia="zh-CN"/>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sz w:val="18"/>
                <w:szCs w:val="18"/>
                <w:lang w:val="en-US" w:eastAsia="zh-CN"/>
              </w:rPr>
              <w:t>环卫日常维修和保养次数是否达到日常工作需要</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达到绩效目标得5分，没达到目标每减少一个百分点扣0.1分。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FF0000"/>
                <w:sz w:val="18"/>
                <w:szCs w:val="18"/>
              </w:rPr>
            </w:pPr>
          </w:p>
        </w:tc>
      </w:tr>
      <w:tr>
        <w:tblPrEx>
          <w:tblCellMar>
            <w:top w:w="15" w:type="dxa"/>
            <w:left w:w="15" w:type="dxa"/>
            <w:bottom w:w="15" w:type="dxa"/>
            <w:right w:w="15" w:type="dxa"/>
          </w:tblCellMar>
        </w:tblPrEx>
        <w:trPr>
          <w:trHeight w:val="658"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城区环卫设施维修及保养</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val="en-US" w:eastAsia="zh-CN" w:bidi="ar"/>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城区环卫设施维修及保养次数</w:t>
            </w:r>
            <w:r>
              <w:rPr>
                <w:rFonts w:hint="eastAsia" w:ascii="宋体" w:hAnsi="宋体" w:cs="宋体"/>
                <w:color w:val="000000"/>
                <w:sz w:val="18"/>
                <w:szCs w:val="18"/>
                <w:lang w:val="en-US" w:eastAsia="zh-CN"/>
              </w:rPr>
              <w:t>是否达到日常工作需要</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达到绩效目标得5分，没达到目标每增加一个百分点扣0.1分。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FF0000"/>
                <w:sz w:val="18"/>
                <w:szCs w:val="18"/>
              </w:rPr>
            </w:pPr>
          </w:p>
        </w:tc>
      </w:tr>
      <w:tr>
        <w:tblPrEx>
          <w:tblCellMar>
            <w:top w:w="15" w:type="dxa"/>
            <w:left w:w="15" w:type="dxa"/>
            <w:bottom w:w="15" w:type="dxa"/>
            <w:right w:w="15" w:type="dxa"/>
          </w:tblCellMar>
        </w:tblPrEx>
        <w:trPr>
          <w:trHeight w:val="658"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车辆日常养护覆盖率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color w:val="000000"/>
                <w:kern w:val="0"/>
                <w:sz w:val="18"/>
                <w:szCs w:val="18"/>
                <w:lang w:val="en-US" w:eastAsia="zh-CN" w:bidi="ar"/>
              </w:rPr>
              <w:t>4</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车辆日常养护覆盖比重</w:t>
            </w:r>
            <w:r>
              <w:rPr>
                <w:rFonts w:hint="eastAsia" w:ascii="宋体" w:hAnsi="宋体" w:cs="宋体"/>
                <w:color w:val="000000"/>
                <w:sz w:val="18"/>
                <w:szCs w:val="18"/>
                <w:lang w:val="en-US" w:eastAsia="zh-CN"/>
              </w:rPr>
              <w:t>是否达到日常工作需要</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达到绩效目标得</w:t>
            </w:r>
            <w:r>
              <w:rPr>
                <w:rFonts w:hint="eastAsia" w:ascii="宋体" w:hAnsi="宋体" w:cs="宋体"/>
                <w:color w:val="000000"/>
                <w:kern w:val="0"/>
                <w:sz w:val="18"/>
                <w:szCs w:val="18"/>
                <w:lang w:val="en-US" w:eastAsia="zh-CN" w:bidi="ar"/>
              </w:rPr>
              <w:t>4</w:t>
            </w:r>
            <w:bookmarkStart w:id="0" w:name="_GoBack"/>
            <w:bookmarkEnd w:id="0"/>
            <w:r>
              <w:rPr>
                <w:rFonts w:hint="eastAsia" w:ascii="宋体" w:hAnsi="宋体" w:cs="宋体"/>
                <w:color w:val="000000"/>
                <w:kern w:val="0"/>
                <w:sz w:val="18"/>
                <w:szCs w:val="18"/>
                <w:lang w:bidi="ar"/>
              </w:rPr>
              <w:t>分，没达到目标每减少一个百分点扣0.1分。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FF0000"/>
                <w:sz w:val="18"/>
                <w:szCs w:val="18"/>
              </w:rPr>
            </w:pPr>
          </w:p>
        </w:tc>
      </w:tr>
      <w:tr>
        <w:tblPrEx>
          <w:tblCellMar>
            <w:top w:w="15" w:type="dxa"/>
            <w:left w:w="15" w:type="dxa"/>
            <w:bottom w:w="15" w:type="dxa"/>
            <w:right w:w="15" w:type="dxa"/>
          </w:tblCellMar>
        </w:tblPrEx>
        <w:trPr>
          <w:trHeight w:val="658"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垃圾中转站日常养护覆盖率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val="en-US" w:eastAsia="zh-CN" w:bidi="ar"/>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垃圾中转站日常养护覆盖比重</w:t>
            </w:r>
            <w:r>
              <w:rPr>
                <w:rFonts w:hint="eastAsia" w:ascii="宋体" w:hAnsi="宋体" w:cs="宋体"/>
                <w:color w:val="000000"/>
                <w:sz w:val="18"/>
                <w:szCs w:val="18"/>
                <w:lang w:val="en-US" w:eastAsia="zh-CN"/>
              </w:rPr>
              <w:t>是否达到日常工作需要</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达到绩效目标得5分，没达到目标每减少一个百分点扣0.1分。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FF0000"/>
                <w:sz w:val="18"/>
                <w:szCs w:val="18"/>
              </w:rPr>
            </w:pPr>
          </w:p>
        </w:tc>
      </w:tr>
      <w:tr>
        <w:tblPrEx>
          <w:tblCellMar>
            <w:top w:w="15" w:type="dxa"/>
            <w:left w:w="15" w:type="dxa"/>
            <w:bottom w:w="15" w:type="dxa"/>
            <w:right w:w="15" w:type="dxa"/>
          </w:tblCellMar>
        </w:tblPrEx>
        <w:trPr>
          <w:trHeight w:val="658" w:hRule="atLeast"/>
        </w:trPr>
        <w:tc>
          <w:tcPr>
            <w:tcW w:w="33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eastAsia="zh-CN" w:bidi="ar"/>
              </w:rPr>
              <w:t>公厕日常养护覆盖率</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sz w:val="18"/>
                <w:szCs w:val="18"/>
                <w:lang w:val="en-US" w:eastAsia="zh-CN"/>
              </w:rPr>
            </w:pPr>
            <w:r>
              <w:rPr>
                <w:rFonts w:hint="eastAsia" w:ascii="宋体" w:hAnsi="宋体" w:cs="宋体"/>
                <w:color w:val="000000"/>
                <w:kern w:val="0"/>
                <w:sz w:val="18"/>
                <w:szCs w:val="18"/>
                <w:lang w:bidi="ar"/>
              </w:rPr>
              <w:t>5</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eastAsia="zh-CN" w:bidi="ar"/>
              </w:rPr>
              <w:t>公厕日常养护覆盖比重</w:t>
            </w:r>
            <w:r>
              <w:rPr>
                <w:rFonts w:hint="eastAsia" w:ascii="宋体" w:hAnsi="宋体" w:cs="宋体"/>
                <w:color w:val="000000"/>
                <w:sz w:val="18"/>
                <w:szCs w:val="18"/>
                <w:lang w:val="en-US" w:eastAsia="zh-CN"/>
              </w:rPr>
              <w:t>是否达到日常工作需要</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color w:val="000000"/>
                <w:kern w:val="0"/>
                <w:sz w:val="18"/>
                <w:szCs w:val="18"/>
                <w:lang w:bidi="ar"/>
              </w:rPr>
              <w:t>达到绩效目标得5分，没达到目标每减少一个百分点扣0.1分。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bidi="ar"/>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FF0000"/>
                <w:sz w:val="18"/>
                <w:szCs w:val="18"/>
              </w:rPr>
            </w:pPr>
          </w:p>
        </w:tc>
      </w:tr>
      <w:tr>
        <w:tblPrEx>
          <w:tblCellMar>
            <w:top w:w="15" w:type="dxa"/>
            <w:left w:w="15" w:type="dxa"/>
            <w:bottom w:w="15" w:type="dxa"/>
            <w:right w:w="15" w:type="dxa"/>
          </w:tblCellMar>
        </w:tblPrEx>
        <w:trPr>
          <w:trHeight w:val="810" w:hRule="atLeast"/>
        </w:trPr>
        <w:tc>
          <w:tcPr>
            <w:tcW w:w="331" w:type="dxa"/>
            <w:vMerge w:val="restar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效果</w:t>
            </w:r>
          </w:p>
        </w:tc>
        <w:tc>
          <w:tcPr>
            <w:tcW w:w="4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项目效益</w:t>
            </w:r>
          </w:p>
        </w:tc>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524"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 </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良好的环境是否给芷江带来更好的旅游资源。（结合实际民众问卷调查）</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100%为6分，每减少一个百分点扣0.2分。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810" w:hRule="atLeast"/>
        </w:trPr>
        <w:tc>
          <w:tcPr>
            <w:tcW w:w="33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良好的环境是否让芷江市民感到更宜居、乐居、利居。（结合实际民众问卷调查）</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100%为6分，每减少一个百分点扣0.2分。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990" w:hRule="atLeast"/>
        </w:trPr>
        <w:tc>
          <w:tcPr>
            <w:tcW w:w="33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可持续影响</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项目产出能持续运用；项目运行所依赖的政策制度能持续执行</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结合调查问卷了解市民对城市管理工作一年的评分，今年比去年管理工作效果进步大记6分，一般记3分，没有进步记0分。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1050" w:hRule="atLeast"/>
        </w:trPr>
        <w:tc>
          <w:tcPr>
            <w:tcW w:w="33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公众满意度</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市民对执法人员的满意度。结合实际民众问卷调查。</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满意度90分以上记7分，80-90分记6分，70-80分记5分，60-70分记4分，60分以下记0分。</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rPr>
            </w:pPr>
          </w:p>
        </w:tc>
      </w:tr>
      <w:tr>
        <w:tblPrEx>
          <w:tblCellMar>
            <w:top w:w="15" w:type="dxa"/>
            <w:left w:w="15" w:type="dxa"/>
            <w:bottom w:w="15" w:type="dxa"/>
            <w:right w:w="15" w:type="dxa"/>
          </w:tblCellMar>
        </w:tblPrEx>
        <w:trPr>
          <w:trHeight w:val="510" w:hRule="atLeast"/>
        </w:trPr>
        <w:tc>
          <w:tcPr>
            <w:tcW w:w="3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总分</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100</w:t>
            </w:r>
          </w:p>
        </w:tc>
        <w:tc>
          <w:tcPr>
            <w:tcW w:w="3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100</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100</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33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eastAsiaTheme="minorEastAsia"/>
                <w:color w:val="000000"/>
                <w:sz w:val="24"/>
                <w:szCs w:val="24"/>
                <w:lang w:val="en-US" w:eastAsia="zh-CN"/>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88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r>
    </w:tbl>
    <w:p>
      <w:pPr>
        <w:numPr>
          <w:ilvl w:val="0"/>
          <w:numId w:val="0"/>
        </w:numPr>
        <w:rPr>
          <w:rFonts w:hint="eastAsia" w:ascii="仿宋" w:hAnsi="仿宋" w:eastAsia="仿宋"/>
          <w:spacing w:val="-2"/>
          <w:sz w:val="32"/>
          <w:szCs w:val="32"/>
          <w:lang w:val="en-US" w:eastAsia="zh-CN"/>
        </w:rPr>
      </w:pPr>
    </w:p>
    <w:p>
      <w:pPr>
        <w:numPr>
          <w:ilvl w:val="0"/>
          <w:numId w:val="0"/>
        </w:numPr>
        <w:rPr>
          <w:rFonts w:hint="default" w:ascii="仿宋" w:hAnsi="仿宋" w:eastAsia="仿宋"/>
          <w:spacing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04858"/>
    <w:rsid w:val="0F5457A1"/>
    <w:rsid w:val="178713C4"/>
    <w:rsid w:val="18740D43"/>
    <w:rsid w:val="1FA97CA0"/>
    <w:rsid w:val="20404858"/>
    <w:rsid w:val="3416560F"/>
    <w:rsid w:val="34CD31C8"/>
    <w:rsid w:val="40650E06"/>
    <w:rsid w:val="43065647"/>
    <w:rsid w:val="45054F2E"/>
    <w:rsid w:val="54AD075C"/>
    <w:rsid w:val="5A963B37"/>
    <w:rsid w:val="5D5A1786"/>
    <w:rsid w:val="70B92A1F"/>
    <w:rsid w:val="76C7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2021-07-14T08:44:00Z</dcterms:created>
  <dc:creator>Administrator</dc:creator>
  <cp:lastModifiedBy>妖精的手指</cp:lastModifiedBy>
  <dcterms:modified xsi:type="dcterms:W3CDTF">2021-07-15T03:33:34Z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4FA9B9EA6B1A4B67BD3DED5814FDE95D</vt:lpwstr>
  </property>
</Properties>
</file>