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8" w:lineRule="exact"/>
        <w:jc w:val="left"/>
        <w:rPr>
          <w:rFonts w:hint="default" w:ascii="黑体" w:hAnsi="黑体" w:eastAsia="黑体" w:cs="黑体"/>
          <w:b w:val="0"/>
          <w:bCs w:val="0"/>
          <w:sz w:val="36"/>
          <w:szCs w:val="36"/>
          <w:lang w:val="en-US"/>
        </w:rPr>
      </w:pPr>
      <w:r>
        <w:rPr>
          <w:rFonts w:hint="eastAsia" w:ascii="黑体" w:hAnsi="黑体" w:eastAsia="黑体" w:cs="黑体"/>
          <w:b w:val="0"/>
          <w:bCs w:val="0"/>
          <w:sz w:val="36"/>
          <w:szCs w:val="36"/>
          <w:lang w:eastAsia="zh-CN"/>
        </w:rPr>
        <w:t>附件</w:t>
      </w:r>
      <w:r>
        <w:rPr>
          <w:rFonts w:hint="eastAsia" w:ascii="黑体" w:hAnsi="黑体" w:eastAsia="黑体" w:cs="黑体"/>
          <w:b w:val="0"/>
          <w:bCs w:val="0"/>
          <w:sz w:val="36"/>
          <w:szCs w:val="36"/>
          <w:lang w:val="en-US" w:eastAsia="zh-CN"/>
        </w:rPr>
        <w:t>5</w:t>
      </w:r>
    </w:p>
    <w:p>
      <w:pPr>
        <w:snapToGrid w:val="0"/>
        <w:spacing w:line="588" w:lineRule="exact"/>
        <w:jc w:val="center"/>
        <w:rPr>
          <w:rFonts w:hint="eastAsia" w:ascii="黑体" w:hAnsi="黑体" w:eastAsia="黑体" w:cs="黑体"/>
          <w:b/>
          <w:bCs/>
          <w:sz w:val="44"/>
          <w:szCs w:val="44"/>
          <w:lang w:eastAsia="zh-CN"/>
        </w:rPr>
      </w:pPr>
      <w:r>
        <w:rPr>
          <w:rFonts w:hint="eastAsia" w:ascii="黑体" w:hAnsi="黑体" w:eastAsia="黑体" w:cs="黑体"/>
          <w:b/>
          <w:bCs/>
          <w:sz w:val="44"/>
          <w:szCs w:val="44"/>
        </w:rPr>
        <w:t>2020年垃圾覆盖和设施维修</w:t>
      </w:r>
      <w:r>
        <w:rPr>
          <w:rFonts w:hint="eastAsia" w:ascii="黑体" w:hAnsi="黑体" w:eastAsia="黑体" w:cs="黑体"/>
          <w:b/>
          <w:bCs/>
          <w:sz w:val="44"/>
          <w:szCs w:val="44"/>
          <w:lang w:eastAsia="zh-CN"/>
        </w:rPr>
        <w:t>专项资金</w:t>
      </w:r>
    </w:p>
    <w:p>
      <w:pPr>
        <w:snapToGrid w:val="0"/>
        <w:spacing w:line="588" w:lineRule="exact"/>
        <w:jc w:val="center"/>
        <w:rPr>
          <w:rFonts w:hint="eastAsia" w:ascii="黑体" w:hAnsi="黑体" w:eastAsia="黑体" w:cs="黑体"/>
          <w:b/>
          <w:bCs/>
          <w:sz w:val="44"/>
          <w:szCs w:val="44"/>
        </w:rPr>
      </w:pPr>
      <w:r>
        <w:rPr>
          <w:rFonts w:hint="eastAsia" w:ascii="黑体" w:hAnsi="黑体" w:eastAsia="黑体" w:cs="黑体"/>
          <w:b/>
          <w:bCs/>
          <w:sz w:val="44"/>
          <w:szCs w:val="44"/>
        </w:rPr>
        <w:t>绩效自评报告</w:t>
      </w:r>
    </w:p>
    <w:p>
      <w:pPr>
        <w:keepNext w:val="0"/>
        <w:keepLines w:val="0"/>
        <w:pageBreakBefore w:val="0"/>
        <w:kinsoku/>
        <w:wordWrap/>
        <w:overflowPunct/>
        <w:topLinePunct w:val="0"/>
        <w:autoSpaceDE/>
        <w:autoSpaceDN/>
        <w:bidi w:val="0"/>
        <w:adjustRightInd/>
        <w:spacing w:line="500" w:lineRule="exact"/>
        <w:textAlignment w:val="auto"/>
        <w:outlineLvl w:val="0"/>
        <w:rPr>
          <w:rFonts w:hint="eastAsia" w:ascii="仿宋" w:hAnsi="仿宋" w:eastAsia="仿宋" w:cs="仿宋"/>
          <w:b/>
          <w:sz w:val="30"/>
          <w:szCs w:val="30"/>
        </w:rPr>
      </w:pPr>
    </w:p>
    <w:p>
      <w:pPr>
        <w:keepNext w:val="0"/>
        <w:keepLines w:val="0"/>
        <w:pageBreakBefore w:val="0"/>
        <w:kinsoku/>
        <w:wordWrap/>
        <w:overflowPunct/>
        <w:topLinePunct w:val="0"/>
        <w:autoSpaceDE/>
        <w:autoSpaceDN/>
        <w:bidi w:val="0"/>
        <w:adjustRightInd/>
        <w:spacing w:line="500" w:lineRule="exact"/>
        <w:textAlignment w:val="auto"/>
        <w:outlineLvl w:val="0"/>
        <w:rPr>
          <w:rFonts w:hint="eastAsia" w:ascii="仿宋" w:hAnsi="仿宋" w:eastAsia="仿宋" w:cs="仿宋"/>
          <w:b/>
          <w:sz w:val="30"/>
          <w:szCs w:val="30"/>
        </w:rPr>
      </w:pPr>
      <w:r>
        <w:rPr>
          <w:rFonts w:hint="eastAsia" w:ascii="仿宋" w:hAnsi="仿宋" w:eastAsia="仿宋" w:cs="仿宋"/>
          <w:b/>
          <w:sz w:val="30"/>
          <w:szCs w:val="30"/>
        </w:rPr>
        <w:t>一、项目基本情况</w:t>
      </w:r>
    </w:p>
    <w:p>
      <w:pPr>
        <w:keepNext w:val="0"/>
        <w:keepLines w:val="0"/>
        <w:pageBreakBefore w:val="0"/>
        <w:kinsoku/>
        <w:wordWrap/>
        <w:overflowPunct/>
        <w:topLinePunct w:val="0"/>
        <w:autoSpaceDE/>
        <w:autoSpaceDN/>
        <w:bidi w:val="0"/>
        <w:adjustRightInd/>
        <w:spacing w:line="500" w:lineRule="exact"/>
        <w:ind w:firstLine="301" w:firstLineChars="100"/>
        <w:textAlignment w:val="auto"/>
        <w:rPr>
          <w:rFonts w:hint="eastAsia" w:ascii="仿宋" w:hAnsi="仿宋" w:eastAsia="仿宋" w:cs="仿宋"/>
          <w:b/>
          <w:bCs/>
          <w:sz w:val="30"/>
          <w:szCs w:val="30"/>
        </w:rPr>
      </w:pPr>
      <w:r>
        <w:rPr>
          <w:rFonts w:hint="eastAsia" w:ascii="仿宋" w:hAnsi="仿宋" w:eastAsia="仿宋" w:cs="仿宋"/>
          <w:b/>
          <w:bCs/>
          <w:sz w:val="30"/>
          <w:szCs w:val="30"/>
        </w:rPr>
        <w:t>（一）项目概况</w:t>
      </w:r>
    </w:p>
    <w:p>
      <w:pPr>
        <w:keepNext w:val="0"/>
        <w:keepLines w:val="0"/>
        <w:pageBreakBefore w:val="0"/>
        <w:kinsoku/>
        <w:wordWrap/>
        <w:overflowPunct/>
        <w:topLinePunct w:val="0"/>
        <w:autoSpaceDE/>
        <w:autoSpaceDN/>
        <w:bidi w:val="0"/>
        <w:adjustRightInd/>
        <w:snapToGrid w:val="0"/>
        <w:spacing w:line="500" w:lineRule="exact"/>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垃圾覆盖和设施维修</w:t>
      </w:r>
    </w:p>
    <w:p>
      <w:pPr>
        <w:keepNext w:val="0"/>
        <w:keepLines w:val="0"/>
        <w:pageBreakBefore w:val="0"/>
        <w:kinsoku/>
        <w:wordWrap/>
        <w:overflowPunct/>
        <w:topLinePunct w:val="0"/>
        <w:autoSpaceDE/>
        <w:autoSpaceDN/>
        <w:bidi w:val="0"/>
        <w:adjustRightInd/>
        <w:spacing w:line="500" w:lineRule="exact"/>
        <w:ind w:firstLine="301" w:firstLineChars="100"/>
        <w:textAlignment w:val="auto"/>
        <w:rPr>
          <w:rFonts w:hint="eastAsia" w:ascii="仿宋" w:hAnsi="仿宋" w:eastAsia="仿宋" w:cs="仿宋"/>
          <w:b/>
          <w:bCs/>
          <w:sz w:val="30"/>
          <w:szCs w:val="30"/>
        </w:rPr>
      </w:pPr>
      <w:r>
        <w:rPr>
          <w:rFonts w:hint="eastAsia" w:ascii="仿宋" w:hAnsi="仿宋" w:eastAsia="仿宋" w:cs="仿宋"/>
          <w:b/>
          <w:bCs/>
          <w:sz w:val="30"/>
          <w:szCs w:val="30"/>
        </w:rPr>
        <w:t>（二）项目绩效目标</w:t>
      </w:r>
    </w:p>
    <w:p>
      <w:pPr>
        <w:keepNext w:val="0"/>
        <w:keepLines w:val="0"/>
        <w:pageBreakBefore w:val="0"/>
        <w:kinsoku/>
        <w:wordWrap/>
        <w:overflowPunct/>
        <w:topLinePunct w:val="0"/>
        <w:autoSpaceDE/>
        <w:autoSpaceDN/>
        <w:bidi w:val="0"/>
        <w:adjustRightInd/>
        <w:spacing w:line="5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垃圾处理进入常态化管理，垃圾覆盖、填埋处理效果明显无外露。</w:t>
      </w:r>
    </w:p>
    <w:p>
      <w:pPr>
        <w:keepNext w:val="0"/>
        <w:keepLines w:val="0"/>
        <w:pageBreakBefore w:val="0"/>
        <w:kinsoku/>
        <w:wordWrap/>
        <w:overflowPunct/>
        <w:topLinePunct w:val="0"/>
        <w:autoSpaceDE/>
        <w:autoSpaceDN/>
        <w:bidi w:val="0"/>
        <w:adjustRightInd/>
        <w:spacing w:line="500" w:lineRule="exact"/>
        <w:ind w:firstLine="301" w:firstLineChars="100"/>
        <w:textAlignment w:val="auto"/>
        <w:rPr>
          <w:rFonts w:hint="eastAsia" w:ascii="仿宋" w:hAnsi="仿宋" w:eastAsia="仿宋" w:cs="仿宋"/>
          <w:b/>
          <w:bCs/>
          <w:sz w:val="30"/>
          <w:szCs w:val="30"/>
        </w:rPr>
      </w:pPr>
      <w:r>
        <w:rPr>
          <w:rFonts w:hint="eastAsia" w:ascii="仿宋" w:hAnsi="仿宋" w:eastAsia="仿宋" w:cs="仿宋"/>
          <w:b/>
          <w:bCs/>
          <w:sz w:val="30"/>
          <w:szCs w:val="30"/>
        </w:rPr>
        <w:t>（三）项目实施情况分析</w:t>
      </w:r>
    </w:p>
    <w:p>
      <w:pPr>
        <w:keepNext w:val="0"/>
        <w:keepLines w:val="0"/>
        <w:pageBreakBefore w:val="0"/>
        <w:kinsoku/>
        <w:wordWrap/>
        <w:overflowPunct/>
        <w:topLinePunct w:val="0"/>
        <w:autoSpaceDE/>
        <w:autoSpaceDN/>
        <w:bidi w:val="0"/>
        <w:adjustRightInd/>
        <w:spacing w:line="5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项目由单位成立专项小组，报送县人民政府，经县人民政府工作会议研究决定本单位的垃圾覆盖和设施维修费用纳入本年度财政预算，县财政预算部门一次性下达全年度项目指标，单位资金管理部门根据需要分期分批申报，专项小组审批，单位成立的纪检监察小组对资金的使用进行审核和监督资金的运行全过程。</w:t>
      </w:r>
    </w:p>
    <w:p>
      <w:pPr>
        <w:keepNext w:val="0"/>
        <w:keepLines w:val="0"/>
        <w:pageBreakBefore w:val="0"/>
        <w:kinsoku/>
        <w:wordWrap/>
        <w:overflowPunct/>
        <w:topLinePunct w:val="0"/>
        <w:autoSpaceDE/>
        <w:autoSpaceDN/>
        <w:bidi w:val="0"/>
        <w:adjustRightInd/>
        <w:spacing w:line="500" w:lineRule="exact"/>
        <w:textAlignment w:val="auto"/>
        <w:outlineLvl w:val="0"/>
        <w:rPr>
          <w:rFonts w:hint="eastAsia" w:ascii="仿宋" w:hAnsi="仿宋" w:eastAsia="仿宋" w:cs="仿宋"/>
          <w:b/>
          <w:sz w:val="30"/>
          <w:szCs w:val="30"/>
        </w:rPr>
      </w:pPr>
      <w:r>
        <w:rPr>
          <w:rFonts w:hint="eastAsia" w:ascii="仿宋" w:hAnsi="仿宋" w:eastAsia="仿宋" w:cs="仿宋"/>
          <w:b/>
          <w:sz w:val="30"/>
          <w:szCs w:val="30"/>
        </w:rPr>
        <w:t>二、绩效评价工作情况</w:t>
      </w:r>
    </w:p>
    <w:p>
      <w:pPr>
        <w:keepNext w:val="0"/>
        <w:keepLines w:val="0"/>
        <w:pageBreakBefore w:val="0"/>
        <w:kinsoku/>
        <w:wordWrap/>
        <w:overflowPunct/>
        <w:topLinePunct w:val="0"/>
        <w:autoSpaceDE/>
        <w:autoSpaceDN/>
        <w:bidi w:val="0"/>
        <w:adjustRightInd/>
        <w:spacing w:line="500" w:lineRule="exact"/>
        <w:ind w:firstLine="301" w:firstLineChars="100"/>
        <w:textAlignment w:val="auto"/>
        <w:rPr>
          <w:rFonts w:hint="eastAsia" w:ascii="仿宋" w:hAnsi="仿宋" w:eastAsia="仿宋" w:cs="仿宋"/>
          <w:b/>
          <w:bCs/>
          <w:sz w:val="30"/>
          <w:szCs w:val="30"/>
        </w:rPr>
      </w:pPr>
      <w:r>
        <w:rPr>
          <w:rFonts w:hint="eastAsia" w:ascii="仿宋" w:hAnsi="仿宋" w:eastAsia="仿宋" w:cs="仿宋"/>
          <w:b/>
          <w:bCs/>
          <w:sz w:val="30"/>
          <w:szCs w:val="30"/>
        </w:rPr>
        <w:t>（一）绩效评价目的</w:t>
      </w:r>
    </w:p>
    <w:p>
      <w:pPr>
        <w:keepNext w:val="0"/>
        <w:keepLines w:val="0"/>
        <w:pageBreakBefore w:val="0"/>
        <w:kinsoku/>
        <w:wordWrap/>
        <w:overflowPunct/>
        <w:topLinePunct w:val="0"/>
        <w:autoSpaceDE/>
        <w:autoSpaceDN/>
        <w:bidi w:val="0"/>
        <w:adjustRightInd/>
        <w:spacing w:line="5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专款专用，合理运用资金，杜绝、挪用、挤占、截留项目资金，监督项目管理工作，使项目管理工作更具有合理性、规范性、效益性、真实性。</w:t>
      </w:r>
    </w:p>
    <w:p>
      <w:pPr>
        <w:keepNext w:val="0"/>
        <w:keepLines w:val="0"/>
        <w:pageBreakBefore w:val="0"/>
        <w:kinsoku/>
        <w:wordWrap/>
        <w:overflowPunct/>
        <w:topLinePunct w:val="0"/>
        <w:autoSpaceDE/>
        <w:autoSpaceDN/>
        <w:bidi w:val="0"/>
        <w:adjustRightInd/>
        <w:spacing w:line="500" w:lineRule="exact"/>
        <w:ind w:firstLine="301" w:firstLineChars="100"/>
        <w:textAlignment w:val="auto"/>
        <w:rPr>
          <w:rFonts w:hint="eastAsia" w:ascii="仿宋" w:hAnsi="仿宋" w:eastAsia="仿宋" w:cs="仿宋"/>
          <w:b/>
          <w:bCs/>
          <w:sz w:val="30"/>
          <w:szCs w:val="30"/>
        </w:rPr>
      </w:pPr>
      <w:r>
        <w:rPr>
          <w:rFonts w:hint="eastAsia" w:ascii="仿宋" w:hAnsi="仿宋" w:eastAsia="仿宋" w:cs="仿宋"/>
          <w:b/>
          <w:bCs/>
          <w:sz w:val="30"/>
          <w:szCs w:val="30"/>
        </w:rPr>
        <w:t>（二）绩效评价工作过程</w:t>
      </w:r>
    </w:p>
    <w:p>
      <w:pPr>
        <w:keepNext w:val="0"/>
        <w:keepLines w:val="0"/>
        <w:pageBreakBefore w:val="0"/>
        <w:kinsoku/>
        <w:wordWrap/>
        <w:overflowPunct/>
        <w:topLinePunct w:val="0"/>
        <w:autoSpaceDE/>
        <w:autoSpaceDN/>
        <w:bidi w:val="0"/>
        <w:adjustRightInd/>
        <w:spacing w:line="5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相关部门建立了相应的合法、合规、完整的业务管理制度，项目资金管理办法，为了保障资金的安全、规范运行成立了纪检监察小组，明确相关职责，各部门根据工作业务流程进行协同推进项目管理工作，圆满完成了项目绩效工作。</w:t>
      </w:r>
    </w:p>
    <w:p>
      <w:pPr>
        <w:keepNext w:val="0"/>
        <w:keepLines w:val="0"/>
        <w:pageBreakBefore w:val="0"/>
        <w:kinsoku/>
        <w:wordWrap/>
        <w:overflowPunct/>
        <w:topLinePunct w:val="0"/>
        <w:autoSpaceDE/>
        <w:autoSpaceDN/>
        <w:bidi w:val="0"/>
        <w:adjustRightInd/>
        <w:spacing w:line="500" w:lineRule="exact"/>
        <w:textAlignment w:val="auto"/>
        <w:rPr>
          <w:rFonts w:hint="eastAsia" w:ascii="仿宋" w:hAnsi="仿宋" w:eastAsia="仿宋" w:cs="仿宋"/>
          <w:sz w:val="30"/>
          <w:szCs w:val="30"/>
        </w:rPr>
      </w:pPr>
      <w:r>
        <w:rPr>
          <w:rFonts w:hint="eastAsia" w:ascii="仿宋" w:hAnsi="仿宋" w:eastAsia="仿宋" w:cs="仿宋"/>
          <w:b/>
          <w:sz w:val="30"/>
          <w:szCs w:val="30"/>
        </w:rPr>
        <w:t>三、综合评价情况及评价结论</w:t>
      </w:r>
      <w:r>
        <w:rPr>
          <w:rFonts w:hint="eastAsia" w:ascii="仿宋" w:hAnsi="仿宋" w:eastAsia="仿宋" w:cs="仿宋"/>
          <w:sz w:val="30"/>
          <w:szCs w:val="30"/>
        </w:rPr>
        <w:t>（附相关评分表）</w:t>
      </w:r>
    </w:p>
    <w:p>
      <w:pPr>
        <w:keepNext w:val="0"/>
        <w:keepLines w:val="0"/>
        <w:pageBreakBefore w:val="0"/>
        <w:kinsoku/>
        <w:wordWrap/>
        <w:overflowPunct/>
        <w:topLinePunct w:val="0"/>
        <w:autoSpaceDE/>
        <w:autoSpaceDN/>
        <w:bidi w:val="0"/>
        <w:adjustRightInd/>
        <w:spacing w:line="50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绩效目标采取100分制进行综合评价，其中包括实际民众问卷调查结果，本项目绩效得分</w:t>
      </w:r>
      <w:r>
        <w:rPr>
          <w:rFonts w:hint="eastAsia" w:ascii="仿宋" w:hAnsi="仿宋" w:eastAsia="仿宋" w:cs="仿宋"/>
          <w:sz w:val="30"/>
          <w:szCs w:val="30"/>
          <w:lang w:val="en-US" w:eastAsia="zh-CN"/>
        </w:rPr>
        <w:t>90</w:t>
      </w:r>
      <w:r>
        <w:rPr>
          <w:rFonts w:hint="eastAsia" w:ascii="仿宋" w:hAnsi="仿宋" w:eastAsia="仿宋" w:cs="仿宋"/>
          <w:sz w:val="30"/>
          <w:szCs w:val="30"/>
        </w:rPr>
        <w:t>分。</w:t>
      </w:r>
    </w:p>
    <w:p>
      <w:pPr>
        <w:keepNext w:val="0"/>
        <w:keepLines w:val="0"/>
        <w:pageBreakBefore w:val="0"/>
        <w:numPr>
          <w:ilvl w:val="0"/>
          <w:numId w:val="0"/>
        </w:numPr>
        <w:kinsoku/>
        <w:wordWrap/>
        <w:overflowPunct/>
        <w:topLinePunct w:val="0"/>
        <w:autoSpaceDE/>
        <w:autoSpaceDN/>
        <w:bidi w:val="0"/>
        <w:adjustRightInd/>
        <w:spacing w:line="500" w:lineRule="exact"/>
        <w:textAlignment w:val="auto"/>
        <w:rPr>
          <w:rFonts w:hint="eastAsia" w:ascii="仿宋" w:hAnsi="仿宋" w:eastAsia="仿宋" w:cs="仿宋"/>
          <w:b/>
          <w:sz w:val="30"/>
          <w:szCs w:val="30"/>
        </w:rPr>
      </w:pPr>
      <w:r>
        <w:rPr>
          <w:rFonts w:hint="eastAsia" w:ascii="仿宋" w:hAnsi="仿宋" w:eastAsia="仿宋" w:cs="仿宋"/>
          <w:b/>
          <w:sz w:val="30"/>
          <w:szCs w:val="30"/>
          <w:lang w:eastAsia="zh-CN"/>
        </w:rPr>
        <w:t>四、</w:t>
      </w:r>
      <w:r>
        <w:rPr>
          <w:rFonts w:hint="eastAsia" w:ascii="仿宋" w:hAnsi="仿宋" w:eastAsia="仿宋" w:cs="仿宋"/>
          <w:b/>
          <w:sz w:val="30"/>
          <w:szCs w:val="30"/>
        </w:rPr>
        <w:t>项目主要绩效情况分析</w:t>
      </w:r>
    </w:p>
    <w:p>
      <w:pPr>
        <w:keepNext w:val="0"/>
        <w:keepLines w:val="0"/>
        <w:pageBreakBefore w:val="0"/>
        <w:numPr>
          <w:ilvl w:val="0"/>
          <w:numId w:val="0"/>
        </w:numPr>
        <w:kinsoku/>
        <w:wordWrap/>
        <w:overflowPunct/>
        <w:topLinePunct w:val="0"/>
        <w:autoSpaceDE/>
        <w:autoSpaceDN/>
        <w:bidi w:val="0"/>
        <w:adjustRightInd/>
        <w:spacing w:line="500" w:lineRule="exact"/>
        <w:ind w:left="640" w:leftChars="0"/>
        <w:textAlignment w:val="auto"/>
        <w:rPr>
          <w:rFonts w:hint="eastAsia" w:ascii="仿宋" w:hAnsi="仿宋" w:eastAsia="仿宋" w:cs="仿宋"/>
          <w:b/>
          <w:sz w:val="30"/>
          <w:szCs w:val="30"/>
        </w:rPr>
      </w:pPr>
      <w:r>
        <w:rPr>
          <w:rFonts w:hint="eastAsia" w:ascii="仿宋" w:hAnsi="仿宋" w:eastAsia="仿宋" w:cs="仿宋"/>
          <w:spacing w:val="-2"/>
          <w:sz w:val="30"/>
          <w:szCs w:val="30"/>
        </w:rPr>
        <w:t>项目预算资金</w:t>
      </w:r>
      <w:r>
        <w:rPr>
          <w:rFonts w:hint="eastAsia" w:ascii="仿宋" w:hAnsi="仿宋" w:eastAsia="仿宋" w:cs="仿宋"/>
          <w:spacing w:val="-2"/>
          <w:sz w:val="30"/>
          <w:szCs w:val="30"/>
          <w:lang w:val="en-US" w:eastAsia="zh-CN"/>
        </w:rPr>
        <w:t>30</w:t>
      </w:r>
      <w:r>
        <w:rPr>
          <w:rFonts w:hint="eastAsia" w:ascii="仿宋" w:hAnsi="仿宋" w:eastAsia="仿宋" w:cs="仿宋"/>
          <w:spacing w:val="-2"/>
          <w:sz w:val="30"/>
          <w:szCs w:val="30"/>
        </w:rPr>
        <w:t>万元，实际支出</w:t>
      </w:r>
      <w:r>
        <w:rPr>
          <w:rFonts w:hint="eastAsia" w:ascii="仿宋" w:hAnsi="仿宋" w:eastAsia="仿宋" w:cs="仿宋"/>
          <w:spacing w:val="-2"/>
          <w:sz w:val="30"/>
          <w:szCs w:val="30"/>
          <w:lang w:val="en-US" w:eastAsia="zh-CN"/>
        </w:rPr>
        <w:t>67.7</w:t>
      </w:r>
      <w:r>
        <w:rPr>
          <w:rFonts w:hint="eastAsia" w:ascii="仿宋" w:hAnsi="仿宋" w:eastAsia="仿宋" w:cs="仿宋"/>
          <w:spacing w:val="-2"/>
          <w:sz w:val="30"/>
          <w:szCs w:val="30"/>
        </w:rPr>
        <w:t>万元，无结余。</w:t>
      </w:r>
    </w:p>
    <w:p>
      <w:pPr>
        <w:keepNext w:val="0"/>
        <w:keepLines w:val="0"/>
        <w:pageBreakBefore w:val="0"/>
        <w:kinsoku/>
        <w:wordWrap/>
        <w:overflowPunct/>
        <w:topLinePunct w:val="0"/>
        <w:autoSpaceDE/>
        <w:autoSpaceDN/>
        <w:bidi w:val="0"/>
        <w:adjustRightInd/>
        <w:snapToGrid w:val="0"/>
        <w:spacing w:line="500" w:lineRule="exact"/>
        <w:ind w:firstLine="592" w:firstLineChars="200"/>
        <w:textAlignment w:val="auto"/>
        <w:rPr>
          <w:rFonts w:hint="eastAsia" w:ascii="仿宋" w:hAnsi="仿宋" w:eastAsia="仿宋" w:cs="仿宋"/>
          <w:kern w:val="0"/>
          <w:sz w:val="30"/>
          <w:szCs w:val="30"/>
        </w:rPr>
      </w:pPr>
      <w:r>
        <w:rPr>
          <w:rFonts w:hint="eastAsia" w:ascii="仿宋" w:hAnsi="仿宋" w:eastAsia="仿宋" w:cs="仿宋"/>
          <w:spacing w:val="-2"/>
          <w:sz w:val="30"/>
          <w:szCs w:val="30"/>
        </w:rPr>
        <w:t>本年度以全面开展精准扶贫帮困及学习“两学一做”、“十九大会议精神”的工作。本项目预算资金30万元，实际支出</w:t>
      </w:r>
      <w:r>
        <w:rPr>
          <w:rFonts w:hint="eastAsia" w:ascii="仿宋" w:hAnsi="仿宋" w:eastAsia="仿宋" w:cs="仿宋"/>
          <w:spacing w:val="-2"/>
          <w:sz w:val="30"/>
          <w:szCs w:val="30"/>
          <w:lang w:val="en-US" w:eastAsia="zh-CN"/>
        </w:rPr>
        <w:t>67.68</w:t>
      </w:r>
      <w:r>
        <w:rPr>
          <w:rFonts w:hint="eastAsia" w:ascii="仿宋" w:hAnsi="仿宋" w:eastAsia="仿宋" w:cs="仿宋"/>
          <w:spacing w:val="-2"/>
          <w:sz w:val="30"/>
          <w:szCs w:val="30"/>
        </w:rPr>
        <w:t>万元。</w:t>
      </w:r>
      <w:r>
        <w:rPr>
          <w:rFonts w:hint="eastAsia" w:ascii="仿宋" w:hAnsi="仿宋" w:eastAsia="仿宋" w:cs="仿宋"/>
          <w:kern w:val="0"/>
          <w:sz w:val="30"/>
          <w:szCs w:val="30"/>
        </w:rPr>
        <w:t>垃圾处理场2020年处理生活垃圾6.493万吨，于2020年8月1日开始对垃圾场拦渣大坝进行了应急维修加固、新建渗滤液调节池10000立方米，对垃圾填埋区进行了中间封场覆盖。</w:t>
      </w:r>
    </w:p>
    <w:p>
      <w:pPr>
        <w:keepNext w:val="0"/>
        <w:keepLines w:val="0"/>
        <w:pageBreakBefore w:val="0"/>
        <w:widowControl/>
        <w:shd w:val="clear" w:color="auto" w:fill="FFFFFF"/>
        <w:kinsoku/>
        <w:wordWrap/>
        <w:overflowPunct/>
        <w:topLinePunct w:val="0"/>
        <w:autoSpaceDE/>
        <w:autoSpaceDN/>
        <w:bidi w:val="0"/>
        <w:adjustRightInd/>
        <w:spacing w:line="500" w:lineRule="exact"/>
        <w:textAlignment w:val="auto"/>
        <w:rPr>
          <w:rFonts w:hint="eastAsia" w:ascii="仿宋" w:hAnsi="仿宋" w:eastAsia="仿宋" w:cs="仿宋"/>
          <w:b/>
          <w:spacing w:val="-2"/>
          <w:sz w:val="30"/>
          <w:szCs w:val="30"/>
        </w:rPr>
      </w:pPr>
      <w:r>
        <w:rPr>
          <w:rFonts w:hint="eastAsia" w:ascii="仿宋" w:hAnsi="仿宋" w:eastAsia="仿宋" w:cs="仿宋"/>
          <w:b/>
          <w:spacing w:val="-2"/>
          <w:sz w:val="30"/>
          <w:szCs w:val="30"/>
        </w:rPr>
        <w:t>五、存在的主要问题</w:t>
      </w:r>
    </w:p>
    <w:p>
      <w:pPr>
        <w:keepNext w:val="0"/>
        <w:keepLines w:val="0"/>
        <w:pageBreakBefore w:val="0"/>
        <w:kinsoku/>
        <w:wordWrap/>
        <w:overflowPunct/>
        <w:topLinePunct w:val="0"/>
        <w:autoSpaceDE/>
        <w:autoSpaceDN/>
        <w:bidi w:val="0"/>
        <w:adjustRightInd/>
        <w:spacing w:line="500" w:lineRule="exact"/>
        <w:textAlignment w:val="auto"/>
        <w:rPr>
          <w:rFonts w:hint="eastAsia" w:ascii="仿宋" w:hAnsi="仿宋" w:eastAsia="仿宋" w:cs="仿宋"/>
          <w:spacing w:val="-2"/>
          <w:sz w:val="30"/>
          <w:szCs w:val="30"/>
        </w:rPr>
      </w:pPr>
      <w:r>
        <w:rPr>
          <w:rFonts w:hint="eastAsia" w:ascii="仿宋" w:hAnsi="仿宋" w:eastAsia="仿宋" w:cs="仿宋"/>
          <w:spacing w:val="-2"/>
          <w:sz w:val="30"/>
          <w:szCs w:val="30"/>
        </w:rPr>
        <w:t xml:space="preserve">    我县的垃圾处理场工作尽管取得了一定的成绩，但随着城市化的快速推进，城市规模的不断扩张，城市管理工作与文明城、卫生城的要求和广大市民的期望相比还存在着不少的问题和差距。</w:t>
      </w:r>
    </w:p>
    <w:p>
      <w:pPr>
        <w:keepNext w:val="0"/>
        <w:keepLines w:val="0"/>
        <w:pageBreakBefore w:val="0"/>
        <w:widowControl/>
        <w:shd w:val="clear" w:color="auto" w:fill="FFFFFF"/>
        <w:kinsoku/>
        <w:wordWrap/>
        <w:overflowPunct/>
        <w:topLinePunct w:val="0"/>
        <w:autoSpaceDE/>
        <w:autoSpaceDN/>
        <w:bidi w:val="0"/>
        <w:adjustRightInd/>
        <w:spacing w:line="500" w:lineRule="exact"/>
        <w:textAlignment w:val="auto"/>
        <w:rPr>
          <w:rFonts w:hint="eastAsia" w:ascii="仿宋" w:hAnsi="仿宋" w:eastAsia="仿宋" w:cs="仿宋"/>
          <w:spacing w:val="-2"/>
          <w:sz w:val="30"/>
          <w:szCs w:val="30"/>
        </w:rPr>
      </w:pPr>
      <w:r>
        <w:rPr>
          <w:rFonts w:hint="eastAsia" w:ascii="仿宋" w:hAnsi="仿宋" w:eastAsia="仿宋" w:cs="仿宋"/>
          <w:b/>
          <w:spacing w:val="-2"/>
          <w:sz w:val="30"/>
          <w:szCs w:val="30"/>
        </w:rPr>
        <w:t>六、改进措施和有关建议</w:t>
      </w:r>
    </w:p>
    <w:p>
      <w:pPr>
        <w:keepNext w:val="0"/>
        <w:keepLines w:val="0"/>
        <w:pageBreakBefore w:val="0"/>
        <w:widowControl/>
        <w:shd w:val="clear" w:color="auto" w:fill="FFFFFF"/>
        <w:kinsoku/>
        <w:wordWrap/>
        <w:overflowPunct/>
        <w:topLinePunct w:val="0"/>
        <w:autoSpaceDE/>
        <w:autoSpaceDN/>
        <w:bidi w:val="0"/>
        <w:adjustRightInd/>
        <w:spacing w:line="500" w:lineRule="exact"/>
        <w:ind w:firstLine="624"/>
        <w:textAlignment w:val="auto"/>
        <w:rPr>
          <w:rFonts w:hint="eastAsia" w:ascii="仿宋" w:hAnsi="仿宋" w:eastAsia="仿宋" w:cs="仿宋"/>
          <w:spacing w:val="-2"/>
          <w:sz w:val="30"/>
          <w:szCs w:val="30"/>
        </w:rPr>
      </w:pPr>
      <w:r>
        <w:rPr>
          <w:rFonts w:hint="eastAsia" w:ascii="仿宋" w:hAnsi="仿宋" w:eastAsia="仿宋" w:cs="仿宋"/>
          <w:spacing w:val="-2"/>
          <w:sz w:val="30"/>
          <w:szCs w:val="30"/>
        </w:rPr>
        <w:t>针对垃圾场设施老化、库容量告急、环境安全生产风险系数高问题。于2020年11月28日启动了芷江县县城垃圾一体化收运工程——第一期（垃圾填埋场维修加固扩容项目），投入大量人力物力，确保了垃圾场正常运行，为实现城市宜居、乐居、利居打下坚实的基础。</w:t>
      </w:r>
    </w:p>
    <w:p>
      <w:pPr>
        <w:keepNext w:val="0"/>
        <w:keepLines w:val="0"/>
        <w:pageBreakBefore w:val="0"/>
        <w:kinsoku/>
        <w:wordWrap/>
        <w:overflowPunct/>
        <w:topLinePunct w:val="0"/>
        <w:autoSpaceDE/>
        <w:autoSpaceDN/>
        <w:bidi w:val="0"/>
        <w:adjustRightInd/>
        <w:spacing w:line="500" w:lineRule="exact"/>
        <w:textAlignment w:val="auto"/>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tbl>
      <w:tblPr>
        <w:tblStyle w:val="3"/>
        <w:tblW w:w="9705" w:type="dxa"/>
        <w:tblInd w:w="-729" w:type="dxa"/>
        <w:tblLayout w:type="fixed"/>
        <w:tblCellMar>
          <w:top w:w="0" w:type="dxa"/>
          <w:left w:w="108" w:type="dxa"/>
          <w:bottom w:w="0" w:type="dxa"/>
          <w:right w:w="108" w:type="dxa"/>
        </w:tblCellMar>
      </w:tblPr>
      <w:tblGrid>
        <w:gridCol w:w="331"/>
        <w:gridCol w:w="405"/>
        <w:gridCol w:w="324"/>
        <w:gridCol w:w="398"/>
        <w:gridCol w:w="524"/>
        <w:gridCol w:w="401"/>
        <w:gridCol w:w="2514"/>
        <w:gridCol w:w="3878"/>
        <w:gridCol w:w="435"/>
        <w:gridCol w:w="495"/>
      </w:tblGrid>
      <w:tr>
        <w:tblPrEx>
          <w:tblCellMar>
            <w:top w:w="0" w:type="dxa"/>
            <w:left w:w="108" w:type="dxa"/>
            <w:bottom w:w="0" w:type="dxa"/>
            <w:right w:w="108" w:type="dxa"/>
          </w:tblCellMar>
        </w:tblPrEx>
        <w:trPr>
          <w:trHeight w:val="585" w:hRule="atLeast"/>
        </w:trPr>
        <w:tc>
          <w:tcPr>
            <w:tcW w:w="9705" w:type="dxa"/>
            <w:gridSpan w:val="10"/>
            <w:tcMar>
              <w:top w:w="15" w:type="dxa"/>
              <w:left w:w="15" w:type="dxa"/>
              <w:bottom w:w="15" w:type="dxa"/>
              <w:right w:w="15" w:type="dxa"/>
            </w:tcMar>
            <w:vAlign w:val="center"/>
          </w:tcPr>
          <w:p>
            <w:pPr>
              <w:widowControl/>
              <w:jc w:val="center"/>
              <w:textAlignment w:val="center"/>
              <w:rPr>
                <w:rFonts w:ascii="宋体" w:hAnsi="宋体" w:cs="宋体"/>
                <w:b/>
                <w:color w:val="000000"/>
                <w:sz w:val="36"/>
                <w:szCs w:val="36"/>
              </w:rPr>
            </w:pPr>
            <w:r>
              <w:rPr>
                <w:rFonts w:hint="eastAsia" w:ascii="宋体" w:hAnsi="宋体" w:cs="宋体"/>
                <w:b/>
                <w:color w:val="000000"/>
                <w:kern w:val="0"/>
                <w:sz w:val="36"/>
                <w:szCs w:val="36"/>
                <w:lang w:eastAsia="zh-CN"/>
              </w:rPr>
              <w:t>垃圾覆盖与设施维修</w:t>
            </w:r>
            <w:r>
              <w:rPr>
                <w:rFonts w:hint="eastAsia" w:ascii="宋体" w:hAnsi="宋体" w:cs="宋体"/>
                <w:b/>
                <w:color w:val="000000"/>
                <w:kern w:val="0"/>
                <w:sz w:val="36"/>
                <w:szCs w:val="36"/>
              </w:rPr>
              <w:t>经费绩效评价指标</w:t>
            </w:r>
          </w:p>
        </w:tc>
      </w:tr>
      <w:tr>
        <w:tblPrEx>
          <w:tblCellMar>
            <w:top w:w="0" w:type="dxa"/>
            <w:left w:w="108" w:type="dxa"/>
            <w:bottom w:w="0" w:type="dxa"/>
            <w:right w:w="108" w:type="dxa"/>
          </w:tblCellMar>
        </w:tblPrEx>
        <w:trPr>
          <w:trHeight w:val="435" w:hRule="atLeast"/>
        </w:trPr>
        <w:tc>
          <w:tcPr>
            <w:tcW w:w="9705" w:type="dxa"/>
            <w:gridSpan w:val="10"/>
            <w:tcBorders>
              <w:top w:val="nil"/>
              <w:left w:val="nil"/>
              <w:bottom w:val="single" w:color="000000" w:sz="4" w:space="0"/>
              <w:right w:val="nil"/>
            </w:tcBorders>
            <w:tcMar>
              <w:top w:w="15" w:type="dxa"/>
              <w:left w:w="15" w:type="dxa"/>
              <w:bottom w:w="15" w:type="dxa"/>
              <w:right w:w="15" w:type="dxa"/>
            </w:tcMar>
            <w:vAlign w:val="center"/>
          </w:tcPr>
          <w:p>
            <w:pPr>
              <w:widowControl/>
              <w:jc w:val="left"/>
              <w:textAlignment w:val="center"/>
              <w:rPr>
                <w:rFonts w:ascii="宋体" w:hAnsi="宋体" w:cs="宋体"/>
                <w:b/>
                <w:color w:val="000000"/>
                <w:sz w:val="24"/>
                <w:szCs w:val="24"/>
              </w:rPr>
            </w:pPr>
            <w:r>
              <w:rPr>
                <w:rFonts w:hint="eastAsia" w:ascii="宋体" w:hAnsi="宋体" w:cs="宋体"/>
                <w:b/>
                <w:color w:val="000000"/>
                <w:kern w:val="0"/>
                <w:sz w:val="24"/>
                <w:szCs w:val="24"/>
              </w:rPr>
              <w:t>填报单位：城市管理和综合执法局</w:t>
            </w:r>
          </w:p>
        </w:tc>
      </w:tr>
      <w:tr>
        <w:tblPrEx>
          <w:tblCellMar>
            <w:top w:w="0" w:type="dxa"/>
            <w:left w:w="108" w:type="dxa"/>
            <w:bottom w:w="0" w:type="dxa"/>
            <w:right w:w="108" w:type="dxa"/>
          </w:tblCellMar>
        </w:tblPrEx>
        <w:trPr>
          <w:trHeight w:val="915" w:hRule="atLeast"/>
        </w:trPr>
        <w:tc>
          <w:tcPr>
            <w:tcW w:w="3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rPr>
              <w:t>一级指标</w:t>
            </w:r>
          </w:p>
        </w:tc>
        <w:tc>
          <w:tcPr>
            <w:tcW w:w="4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rPr>
              <w:t>分值</w:t>
            </w:r>
          </w:p>
        </w:tc>
        <w:tc>
          <w:tcPr>
            <w:tcW w:w="3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rPr>
              <w:t>二级指标</w:t>
            </w:r>
          </w:p>
        </w:tc>
        <w:tc>
          <w:tcPr>
            <w:tcW w:w="39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rPr>
              <w:t>分值</w:t>
            </w:r>
          </w:p>
        </w:tc>
        <w:tc>
          <w:tcPr>
            <w:tcW w:w="5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rPr>
              <w:t>三级指标</w:t>
            </w:r>
          </w:p>
        </w:tc>
        <w:tc>
          <w:tcPr>
            <w:tcW w:w="4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rPr>
              <w:t>分值</w:t>
            </w:r>
          </w:p>
        </w:tc>
        <w:tc>
          <w:tcPr>
            <w:tcW w:w="251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rPr>
              <w:t>指标解释</w:t>
            </w:r>
          </w:p>
        </w:tc>
        <w:tc>
          <w:tcPr>
            <w:tcW w:w="38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rPr>
              <w:t>评价标准</w:t>
            </w:r>
          </w:p>
        </w:tc>
        <w:tc>
          <w:tcPr>
            <w:tcW w:w="4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rPr>
              <w:t>评分</w:t>
            </w:r>
          </w:p>
        </w:tc>
        <w:tc>
          <w:tcPr>
            <w:tcW w:w="49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rPr>
              <w:t>备注</w:t>
            </w:r>
          </w:p>
        </w:tc>
      </w:tr>
      <w:tr>
        <w:tblPrEx>
          <w:tblCellMar>
            <w:top w:w="0" w:type="dxa"/>
            <w:left w:w="108" w:type="dxa"/>
            <w:bottom w:w="0" w:type="dxa"/>
            <w:right w:w="108" w:type="dxa"/>
          </w:tblCellMar>
        </w:tblPrEx>
        <w:trPr>
          <w:trHeight w:val="1110" w:hRule="atLeast"/>
        </w:trPr>
        <w:tc>
          <w:tcPr>
            <w:tcW w:w="331" w:type="dxa"/>
            <w:vMerge w:val="restart"/>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投入</w:t>
            </w:r>
          </w:p>
        </w:tc>
        <w:tc>
          <w:tcPr>
            <w:tcW w:w="405" w:type="dxa"/>
            <w:vMerge w:val="restart"/>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w:t>
            </w:r>
          </w:p>
        </w:tc>
        <w:tc>
          <w:tcPr>
            <w:tcW w:w="32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项目立项</w:t>
            </w:r>
            <w:r>
              <w:rPr>
                <w:rFonts w:ascii="宋体" w:hAnsi="宋体" w:cs="宋体"/>
                <w:color w:val="000000"/>
                <w:kern w:val="0"/>
                <w:sz w:val="18"/>
                <w:szCs w:val="18"/>
              </w:rPr>
              <w:drawing>
                <wp:inline distT="0" distB="0" distL="0" distR="0">
                  <wp:extent cx="10795" cy="10795"/>
                  <wp:effectExtent l="0" t="0" r="0" b="0"/>
                  <wp:docPr id="1" name="图片 9" descr="C:\Users\ADMINI~1\AppData\Local\Temp\ksohtml\clip_image30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descr="C:\Users\ADMINI~1\AppData\Local\Temp\ksohtml\clip_image3073.png"/>
                          <pic:cNvPicPr>
                            <a:picLocks noChangeAspect="1" noChangeArrowheads="1"/>
                          </pic:cNvPicPr>
                        </pic:nvPicPr>
                        <pic:blipFill>
                          <a:blip r:embed="rId4" r:link="rId5"/>
                          <a:srcRect/>
                          <a:stretch>
                            <a:fillRect/>
                          </a:stretch>
                        </pic:blipFill>
                        <pic:spPr>
                          <a:xfrm>
                            <a:off x="0" y="0"/>
                            <a:ext cx="10795" cy="10795"/>
                          </a:xfrm>
                          <a:prstGeom prst="rect">
                            <a:avLst/>
                          </a:prstGeom>
                          <a:noFill/>
                          <a:ln w="9525">
                            <a:noFill/>
                            <a:miter lim="800000"/>
                            <a:headEnd/>
                            <a:tailEnd/>
                          </a:ln>
                        </pic:spPr>
                      </pic:pic>
                    </a:graphicData>
                  </a:graphic>
                </wp:inline>
              </w:drawing>
            </w:r>
            <w:r>
              <w:rPr>
                <w:rFonts w:hint="eastAsia" w:ascii="宋体" w:hAnsi="宋体" w:cs="宋体"/>
                <w:color w:val="000000"/>
                <w:kern w:val="0"/>
                <w:sz w:val="18"/>
                <w:szCs w:val="18"/>
              </w:rPr>
              <w:t xml:space="preserve"> </w:t>
            </w:r>
            <w:r>
              <w:rPr>
                <w:rFonts w:ascii="宋体" w:hAnsi="宋体" w:cs="宋体"/>
                <w:color w:val="000000"/>
                <w:kern w:val="0"/>
                <w:sz w:val="18"/>
                <w:szCs w:val="18"/>
              </w:rPr>
              <w:drawing>
                <wp:inline distT="0" distB="0" distL="0" distR="0">
                  <wp:extent cx="10795" cy="10795"/>
                  <wp:effectExtent l="0" t="0" r="0" b="0"/>
                  <wp:docPr id="2" name="图片 10" descr="C:\Users\ADMINI~1\AppData\Local\Temp\ksohtml\clip_image30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 descr="C:\Users\ADMINI~1\AppData\Local\Temp\ksohtml\clip_image3074.png"/>
                          <pic:cNvPicPr>
                            <a:picLocks noChangeAspect="1" noChangeArrowheads="1"/>
                          </pic:cNvPicPr>
                        </pic:nvPicPr>
                        <pic:blipFill>
                          <a:blip r:embed="rId4" r:link="rId5"/>
                          <a:srcRect/>
                          <a:stretch>
                            <a:fillRect/>
                          </a:stretch>
                        </pic:blipFill>
                        <pic:spPr>
                          <a:xfrm>
                            <a:off x="0" y="0"/>
                            <a:ext cx="10795" cy="10795"/>
                          </a:xfrm>
                          <a:prstGeom prst="rect">
                            <a:avLst/>
                          </a:prstGeom>
                          <a:noFill/>
                          <a:ln w="9525">
                            <a:noFill/>
                            <a:miter lim="800000"/>
                            <a:headEnd/>
                            <a:tailEnd/>
                          </a:ln>
                        </pic:spPr>
                      </pic:pic>
                    </a:graphicData>
                  </a:graphic>
                </wp:inline>
              </w:drawing>
            </w:r>
            <w:r>
              <w:rPr>
                <w:rFonts w:ascii="宋体" w:hAnsi="宋体" w:cs="宋体"/>
                <w:color w:val="000000"/>
                <w:kern w:val="0"/>
                <w:sz w:val="18"/>
                <w:szCs w:val="18"/>
              </w:rPr>
              <w:drawing>
                <wp:inline distT="0" distB="0" distL="0" distR="0">
                  <wp:extent cx="10795" cy="10795"/>
                  <wp:effectExtent l="0" t="0" r="0" b="0"/>
                  <wp:docPr id="3" name="图片 11" descr="C:\Users\ADMINI~1\AppData\Local\Temp\ksohtml\clip_image30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1" descr="C:\Users\ADMINI~1\AppData\Local\Temp\ksohtml\clip_image3075.png"/>
                          <pic:cNvPicPr>
                            <a:picLocks noChangeAspect="1" noChangeArrowheads="1"/>
                          </pic:cNvPicPr>
                        </pic:nvPicPr>
                        <pic:blipFill>
                          <a:blip r:embed="rId4" r:link="rId5"/>
                          <a:srcRect/>
                          <a:stretch>
                            <a:fillRect/>
                          </a:stretch>
                        </pic:blipFill>
                        <pic:spPr>
                          <a:xfrm>
                            <a:off x="0" y="0"/>
                            <a:ext cx="10795" cy="10795"/>
                          </a:xfrm>
                          <a:prstGeom prst="rect">
                            <a:avLst/>
                          </a:prstGeom>
                          <a:noFill/>
                          <a:ln w="9525">
                            <a:noFill/>
                            <a:miter lim="800000"/>
                            <a:headEnd/>
                            <a:tailEnd/>
                          </a:ln>
                        </pic:spPr>
                      </pic:pic>
                    </a:graphicData>
                  </a:graphic>
                </wp:inline>
              </w:drawing>
            </w:r>
            <w:r>
              <w:rPr>
                <w:rFonts w:ascii="宋体" w:hAnsi="宋体" w:cs="宋体"/>
                <w:color w:val="000000"/>
                <w:kern w:val="0"/>
                <w:sz w:val="18"/>
                <w:szCs w:val="18"/>
              </w:rPr>
              <w:drawing>
                <wp:inline distT="0" distB="0" distL="0" distR="0">
                  <wp:extent cx="10795" cy="10795"/>
                  <wp:effectExtent l="0" t="0" r="0" b="0"/>
                  <wp:docPr id="4" name="图片 12" descr="C:\Users\ADMINI~1\AppData\Local\Temp\ksohtml\clip_image30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2" descr="C:\Users\ADMINI~1\AppData\Local\Temp\ksohtml\clip_image3076.png"/>
                          <pic:cNvPicPr>
                            <a:picLocks noChangeAspect="1" noChangeArrowheads="1"/>
                          </pic:cNvPicPr>
                        </pic:nvPicPr>
                        <pic:blipFill>
                          <a:blip r:embed="rId4" r:link="rId5"/>
                          <a:srcRect/>
                          <a:stretch>
                            <a:fillRect/>
                          </a:stretch>
                        </pic:blipFill>
                        <pic:spPr>
                          <a:xfrm>
                            <a:off x="0" y="0"/>
                            <a:ext cx="10795" cy="10795"/>
                          </a:xfrm>
                          <a:prstGeom prst="rect">
                            <a:avLst/>
                          </a:prstGeom>
                          <a:noFill/>
                          <a:ln w="9525">
                            <a:noFill/>
                            <a:miter lim="800000"/>
                            <a:headEnd/>
                            <a:tailEnd/>
                          </a:ln>
                        </pic:spPr>
                      </pic:pic>
                    </a:graphicData>
                  </a:graphic>
                </wp:inline>
              </w:drawing>
            </w:r>
            <w:r>
              <w:rPr>
                <w:rFonts w:ascii="宋体" w:hAnsi="宋体" w:cs="宋体"/>
                <w:color w:val="000000"/>
                <w:kern w:val="0"/>
                <w:sz w:val="18"/>
                <w:szCs w:val="18"/>
              </w:rPr>
              <w:drawing>
                <wp:inline distT="0" distB="0" distL="0" distR="0">
                  <wp:extent cx="10795" cy="10795"/>
                  <wp:effectExtent l="0" t="0" r="0" b="0"/>
                  <wp:docPr id="5" name="图片 13" descr="C:\Users\ADMINI~1\AppData\Local\Temp\ksohtml\clip_image30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3" descr="C:\Users\ADMINI~1\AppData\Local\Temp\ksohtml\clip_image3077.png"/>
                          <pic:cNvPicPr>
                            <a:picLocks noChangeAspect="1" noChangeArrowheads="1"/>
                          </pic:cNvPicPr>
                        </pic:nvPicPr>
                        <pic:blipFill>
                          <a:blip r:embed="rId4" r:link="rId5"/>
                          <a:srcRect/>
                          <a:stretch>
                            <a:fillRect/>
                          </a:stretch>
                        </pic:blipFill>
                        <pic:spPr>
                          <a:xfrm>
                            <a:off x="0" y="0"/>
                            <a:ext cx="10795" cy="10795"/>
                          </a:xfrm>
                          <a:prstGeom prst="rect">
                            <a:avLst/>
                          </a:prstGeom>
                          <a:noFill/>
                          <a:ln w="9525">
                            <a:noFill/>
                            <a:miter lim="800000"/>
                            <a:headEnd/>
                            <a:tailEnd/>
                          </a:ln>
                        </pic:spPr>
                      </pic:pic>
                    </a:graphicData>
                  </a:graphic>
                </wp:inline>
              </w:drawing>
            </w:r>
            <w:r>
              <w:rPr>
                <w:rFonts w:ascii="宋体" w:hAnsi="宋体" w:cs="宋体"/>
                <w:color w:val="000000"/>
                <w:kern w:val="0"/>
                <w:sz w:val="18"/>
                <w:szCs w:val="18"/>
              </w:rPr>
              <w:drawing>
                <wp:inline distT="0" distB="0" distL="0" distR="0">
                  <wp:extent cx="10795" cy="10795"/>
                  <wp:effectExtent l="0" t="0" r="0" b="0"/>
                  <wp:docPr id="6" name="图片 14" descr="C:\Users\ADMINI~1\AppData\Local\Temp\ksohtml\clip_image30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4" descr="C:\Users\ADMINI~1\AppData\Local\Temp\ksohtml\clip_image3078.png"/>
                          <pic:cNvPicPr>
                            <a:picLocks noChangeAspect="1" noChangeArrowheads="1"/>
                          </pic:cNvPicPr>
                        </pic:nvPicPr>
                        <pic:blipFill>
                          <a:blip r:embed="rId4" r:link="rId5"/>
                          <a:srcRect/>
                          <a:stretch>
                            <a:fillRect/>
                          </a:stretch>
                        </pic:blipFill>
                        <pic:spPr>
                          <a:xfrm>
                            <a:off x="0" y="0"/>
                            <a:ext cx="10795" cy="10795"/>
                          </a:xfrm>
                          <a:prstGeom prst="rect">
                            <a:avLst/>
                          </a:prstGeom>
                          <a:noFill/>
                          <a:ln w="9525">
                            <a:noFill/>
                            <a:miter lim="800000"/>
                            <a:headEnd/>
                            <a:tailEnd/>
                          </a:ln>
                        </pic:spPr>
                      </pic:pic>
                    </a:graphicData>
                  </a:graphic>
                </wp:inline>
              </w:drawing>
            </w:r>
            <w:r>
              <w:rPr>
                <w:rFonts w:ascii="宋体" w:hAnsi="宋体" w:cs="宋体"/>
                <w:color w:val="000000"/>
                <w:kern w:val="0"/>
                <w:sz w:val="18"/>
                <w:szCs w:val="18"/>
              </w:rPr>
              <w:drawing>
                <wp:inline distT="0" distB="0" distL="0" distR="0">
                  <wp:extent cx="10795" cy="10795"/>
                  <wp:effectExtent l="0" t="0" r="0" b="0"/>
                  <wp:docPr id="7" name="图片 15" descr="C:\Users\ADMINI~1\AppData\Local\Temp\ksohtml\clip_image30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5" descr="C:\Users\ADMINI~1\AppData\Local\Temp\ksohtml\clip_image3079.png"/>
                          <pic:cNvPicPr>
                            <a:picLocks noChangeAspect="1" noChangeArrowheads="1"/>
                          </pic:cNvPicPr>
                        </pic:nvPicPr>
                        <pic:blipFill>
                          <a:blip r:embed="rId4" r:link="rId5"/>
                          <a:srcRect/>
                          <a:stretch>
                            <a:fillRect/>
                          </a:stretch>
                        </pic:blipFill>
                        <pic:spPr>
                          <a:xfrm>
                            <a:off x="0" y="0"/>
                            <a:ext cx="10795" cy="10795"/>
                          </a:xfrm>
                          <a:prstGeom prst="rect">
                            <a:avLst/>
                          </a:prstGeom>
                          <a:noFill/>
                          <a:ln w="9525">
                            <a:noFill/>
                            <a:miter lim="800000"/>
                            <a:headEnd/>
                            <a:tailEnd/>
                          </a:ln>
                        </pic:spPr>
                      </pic:pic>
                    </a:graphicData>
                  </a:graphic>
                </wp:inline>
              </w:drawing>
            </w:r>
            <w:r>
              <w:rPr>
                <w:rFonts w:ascii="宋体" w:hAnsi="宋体" w:cs="宋体"/>
                <w:color w:val="000000"/>
                <w:kern w:val="0"/>
                <w:sz w:val="18"/>
                <w:szCs w:val="18"/>
              </w:rPr>
              <w:drawing>
                <wp:inline distT="0" distB="0" distL="0" distR="0">
                  <wp:extent cx="10795" cy="10795"/>
                  <wp:effectExtent l="0" t="0" r="0" b="0"/>
                  <wp:docPr id="8" name="图片 16" descr="C:\Users\ADMINI~1\AppData\Local\Temp\ksohtml\clip_image30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6" descr="C:\Users\ADMINI~1\AppData\Local\Temp\ksohtml\clip_image3080.png"/>
                          <pic:cNvPicPr>
                            <a:picLocks noChangeAspect="1" noChangeArrowheads="1"/>
                          </pic:cNvPicPr>
                        </pic:nvPicPr>
                        <pic:blipFill>
                          <a:blip r:embed="rId4" r:link="rId5"/>
                          <a:srcRect/>
                          <a:stretch>
                            <a:fillRect/>
                          </a:stretch>
                        </pic:blipFill>
                        <pic:spPr>
                          <a:xfrm>
                            <a:off x="0" y="0"/>
                            <a:ext cx="10795" cy="10795"/>
                          </a:xfrm>
                          <a:prstGeom prst="rect">
                            <a:avLst/>
                          </a:prstGeom>
                          <a:noFill/>
                          <a:ln w="9525">
                            <a:noFill/>
                            <a:miter lim="800000"/>
                            <a:headEnd/>
                            <a:tailEnd/>
                          </a:ln>
                        </pic:spPr>
                      </pic:pic>
                    </a:graphicData>
                  </a:graphic>
                </wp:inline>
              </w:drawing>
            </w:r>
          </w:p>
        </w:tc>
        <w:tc>
          <w:tcPr>
            <w:tcW w:w="398"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5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项目立项规范性</w:t>
            </w:r>
          </w:p>
        </w:tc>
        <w:tc>
          <w:tcPr>
            <w:tcW w:w="4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251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项目的申请、设立过程是否符合相关要求，用以反映和考核项目立项的规范情况。</w:t>
            </w:r>
          </w:p>
        </w:tc>
        <w:tc>
          <w:tcPr>
            <w:tcW w:w="38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①项目按照规定的程序设立1分，否则不记分；                                   ②所提交的文件、材料是否符合相关要求记1分，否则不记分；                                          ③事前经过必要的可行性研究、专家论证、风险评估、集体决策等记1分，否则不记分。                                 </w:t>
            </w:r>
          </w:p>
        </w:tc>
        <w:tc>
          <w:tcPr>
            <w:tcW w:w="4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49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1185" w:hRule="atLeast"/>
        </w:trPr>
        <w:tc>
          <w:tcPr>
            <w:tcW w:w="331"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20"/>
              </w:rPr>
            </w:pPr>
          </w:p>
        </w:tc>
        <w:tc>
          <w:tcPr>
            <w:tcW w:w="405"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3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39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5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绩效目标合理性</w:t>
            </w:r>
          </w:p>
        </w:tc>
        <w:tc>
          <w:tcPr>
            <w:tcW w:w="4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251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项目所设定的绩效目标是否依据充分，是否符合客观实际，用以反映和考核项目绩效目标与项目实施的相符情况。</w:t>
            </w:r>
          </w:p>
        </w:tc>
        <w:tc>
          <w:tcPr>
            <w:tcW w:w="38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①符合国家相关法律法规、国民经济发展规划和党委政府决策记1分，否则不记分；             ②与项目实施单位或委托单位职责密切相关记1分，否则不记分；                              ③项目能促进事业发展所需要记1分，否则不记分；                                     ④项目预期产出效益和效果符合正常的业绩水平记1分，否则不记分。</w:t>
            </w:r>
          </w:p>
        </w:tc>
        <w:tc>
          <w:tcPr>
            <w:tcW w:w="4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49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1095" w:hRule="atLeast"/>
        </w:trPr>
        <w:tc>
          <w:tcPr>
            <w:tcW w:w="331"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20"/>
              </w:rPr>
            </w:pPr>
          </w:p>
        </w:tc>
        <w:tc>
          <w:tcPr>
            <w:tcW w:w="405"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3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39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5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绩效指标明确性</w:t>
            </w:r>
          </w:p>
        </w:tc>
        <w:tc>
          <w:tcPr>
            <w:tcW w:w="4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251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依据绩效目标设定的绩效指标是否清晰、细化、可衡量等，用以反映和考核项目绩效目标的明细化情况。</w:t>
            </w:r>
          </w:p>
        </w:tc>
        <w:tc>
          <w:tcPr>
            <w:tcW w:w="38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①将项目绩效目标细化分解为具体的绩效指标记1分，否则不记分；                        ②目标能通过清晰、可衡量的指标值予以体现记1分，否则不记分；                                    ③与项目年度任务数或计划数相对应记0.5分，否则不记分；                                            ④与预算确定的项目投资额或资金量相匹配记0.5分，否则不记分。</w:t>
            </w:r>
          </w:p>
        </w:tc>
        <w:tc>
          <w:tcPr>
            <w:tcW w:w="4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49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795" w:hRule="atLeast"/>
        </w:trPr>
        <w:tc>
          <w:tcPr>
            <w:tcW w:w="331"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20"/>
              </w:rPr>
            </w:pPr>
          </w:p>
        </w:tc>
        <w:tc>
          <w:tcPr>
            <w:tcW w:w="405"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324" w:type="dxa"/>
            <w:vMerge w:val="restart"/>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资金落实</w:t>
            </w:r>
          </w:p>
        </w:tc>
        <w:tc>
          <w:tcPr>
            <w:tcW w:w="398" w:type="dxa"/>
            <w:vMerge w:val="restart"/>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5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资金到位率</w:t>
            </w:r>
          </w:p>
        </w:tc>
        <w:tc>
          <w:tcPr>
            <w:tcW w:w="4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251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资金到位率＝（实际到位资金/计划投入资金）×100%</w:t>
            </w:r>
          </w:p>
        </w:tc>
        <w:tc>
          <w:tcPr>
            <w:tcW w:w="38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资金足额到位记5分，未足额到位按比例计分。</w:t>
            </w:r>
          </w:p>
        </w:tc>
        <w:tc>
          <w:tcPr>
            <w:tcW w:w="4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49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795" w:hRule="atLeast"/>
        </w:trPr>
        <w:tc>
          <w:tcPr>
            <w:tcW w:w="331"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20"/>
              </w:rPr>
            </w:pPr>
          </w:p>
        </w:tc>
        <w:tc>
          <w:tcPr>
            <w:tcW w:w="405"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324"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398"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5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到位及时率</w:t>
            </w:r>
          </w:p>
        </w:tc>
        <w:tc>
          <w:tcPr>
            <w:tcW w:w="4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251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到位及时率＝（及时到位资金/应到位资金）×100%</w:t>
            </w:r>
          </w:p>
        </w:tc>
        <w:tc>
          <w:tcPr>
            <w:tcW w:w="38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资金按时到位记5分，未按时按比例计分。</w:t>
            </w:r>
          </w:p>
        </w:tc>
        <w:tc>
          <w:tcPr>
            <w:tcW w:w="4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49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1065" w:hRule="atLeast"/>
        </w:trPr>
        <w:tc>
          <w:tcPr>
            <w:tcW w:w="331" w:type="dxa"/>
            <w:vMerge w:val="restart"/>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20"/>
              </w:rPr>
            </w:pPr>
            <w:r>
              <w:rPr>
                <w:rFonts w:hint="eastAsia" w:ascii="宋体" w:hAnsi="宋体" w:cs="宋体"/>
                <w:color w:val="000000"/>
                <w:kern w:val="0"/>
                <w:sz w:val="20"/>
              </w:rPr>
              <w:t>过程</w:t>
            </w:r>
          </w:p>
        </w:tc>
        <w:tc>
          <w:tcPr>
            <w:tcW w:w="405" w:type="dxa"/>
            <w:vMerge w:val="restart"/>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w:t>
            </w:r>
          </w:p>
        </w:tc>
        <w:tc>
          <w:tcPr>
            <w:tcW w:w="32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业务管理</w:t>
            </w:r>
          </w:p>
        </w:tc>
        <w:tc>
          <w:tcPr>
            <w:tcW w:w="398"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5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管理制度健全性</w:t>
            </w:r>
          </w:p>
        </w:tc>
        <w:tc>
          <w:tcPr>
            <w:tcW w:w="4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251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项目实施单位的业务管理制度是否健全，用以反映和考核业务管理制度对项目顺利实施的保障情况。</w:t>
            </w:r>
          </w:p>
        </w:tc>
        <w:tc>
          <w:tcPr>
            <w:tcW w:w="38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①已制定或具有相应的业务管理制度记2.5分， 不制定不记分；                                        ②业务管理制度合法、合规、完整记2.5分；不合法、不合规、不完整不记分。</w:t>
            </w:r>
          </w:p>
        </w:tc>
        <w:tc>
          <w:tcPr>
            <w:tcW w:w="4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49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1140" w:hRule="atLeast"/>
        </w:trPr>
        <w:tc>
          <w:tcPr>
            <w:tcW w:w="331"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20"/>
              </w:rPr>
            </w:pPr>
          </w:p>
        </w:tc>
        <w:tc>
          <w:tcPr>
            <w:tcW w:w="405"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3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39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5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制度执行有效性</w:t>
            </w:r>
          </w:p>
        </w:tc>
        <w:tc>
          <w:tcPr>
            <w:tcW w:w="4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251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项目实施是否符合相关业务管理规定，用以反映和考核业务管理制度的有效执行情况。</w:t>
            </w:r>
          </w:p>
        </w:tc>
        <w:tc>
          <w:tcPr>
            <w:tcW w:w="38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遵守相关法律法规和业务管理规定记5分，否则不记分。</w:t>
            </w:r>
          </w:p>
        </w:tc>
        <w:tc>
          <w:tcPr>
            <w:tcW w:w="4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49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1170" w:hRule="atLeast"/>
        </w:trPr>
        <w:tc>
          <w:tcPr>
            <w:tcW w:w="331"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20"/>
              </w:rPr>
            </w:pPr>
          </w:p>
        </w:tc>
        <w:tc>
          <w:tcPr>
            <w:tcW w:w="405"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3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39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5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项目质量可控性</w:t>
            </w:r>
          </w:p>
        </w:tc>
        <w:tc>
          <w:tcPr>
            <w:tcW w:w="4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251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项目实施至位是否为达到项目质量要求而采取了必需的措施，用以反映和考核项目实施单位对项目质量的控制情况。</w:t>
            </w:r>
          </w:p>
        </w:tc>
        <w:tc>
          <w:tcPr>
            <w:tcW w:w="38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①制定或有相应的项目质量要求或标准记2.5分，否则不记分；                                          ②采取了相应的项目质量检查、验收等必需的控制措施或手段记2.5分，否则不记分。</w:t>
            </w:r>
          </w:p>
        </w:tc>
        <w:tc>
          <w:tcPr>
            <w:tcW w:w="4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49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1035" w:hRule="atLeast"/>
        </w:trPr>
        <w:tc>
          <w:tcPr>
            <w:tcW w:w="331"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20"/>
              </w:rPr>
            </w:pPr>
          </w:p>
        </w:tc>
        <w:tc>
          <w:tcPr>
            <w:tcW w:w="405"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324" w:type="dxa"/>
            <w:vMerge w:val="restart"/>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财务管理</w:t>
            </w:r>
          </w:p>
        </w:tc>
        <w:tc>
          <w:tcPr>
            <w:tcW w:w="398" w:type="dxa"/>
            <w:vMerge w:val="restart"/>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5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管理制度健全性</w:t>
            </w:r>
          </w:p>
        </w:tc>
        <w:tc>
          <w:tcPr>
            <w:tcW w:w="4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251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项目实施单位的财务制度是否健全，用以反映和考核财务管理制度对资金规范、安全运行的保障情况。</w:t>
            </w:r>
          </w:p>
        </w:tc>
        <w:tc>
          <w:tcPr>
            <w:tcW w:w="38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①已制定或具有相应的项目资金管理办法记2.5分，否则不记分；                                           ②项目资金管理办法符合相关财务会计制定记2.5分，否则不记分。</w:t>
            </w:r>
          </w:p>
        </w:tc>
        <w:tc>
          <w:tcPr>
            <w:tcW w:w="435"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5</w:t>
            </w:r>
          </w:p>
        </w:tc>
        <w:tc>
          <w:tcPr>
            <w:tcW w:w="495" w:type="dxa"/>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1695" w:hRule="atLeast"/>
        </w:trPr>
        <w:tc>
          <w:tcPr>
            <w:tcW w:w="331"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20"/>
              </w:rPr>
            </w:pPr>
          </w:p>
        </w:tc>
        <w:tc>
          <w:tcPr>
            <w:tcW w:w="405"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324"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398"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5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资金使用合规性</w:t>
            </w:r>
          </w:p>
        </w:tc>
        <w:tc>
          <w:tcPr>
            <w:tcW w:w="4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251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项目资金使用是否符合相关的财务管理制度规定，用以反映和考核项目资金的规范运行情况。</w:t>
            </w:r>
          </w:p>
        </w:tc>
        <w:tc>
          <w:tcPr>
            <w:tcW w:w="38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①符合国家财经法规和财务管理制度以及有关专项资金管理办法的规定记1分,否则不记分；                                                           ②资金的拨付有完整的审批程序和手续记1分,否则不记分；                                              ③是否存在支出依据不合规、虚列项目支出的情况；是否存在截留、挤占、挪用项目资金情况；是否存在超标准开支情况;资金管理、费用支出等制度是否健全，是否严格执行；会计核算是否规范(3分）</w:t>
            </w:r>
          </w:p>
        </w:tc>
        <w:tc>
          <w:tcPr>
            <w:tcW w:w="435" w:type="dxa"/>
            <w:tcBorders>
              <w:top w:val="nil"/>
              <w:left w:val="nil"/>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仿宋_GB2312" w:hAnsi="宋体" w:eastAsia="仿宋_GB2312" w:cs="仿宋_GB2312"/>
                <w:color w:val="000000"/>
                <w:sz w:val="18"/>
                <w:szCs w:val="18"/>
              </w:rPr>
            </w:pPr>
            <w:r>
              <w:rPr>
                <w:rFonts w:ascii="仿宋_GB2312" w:hAnsi="宋体" w:eastAsia="仿宋_GB2312" w:cs="仿宋_GB2312"/>
                <w:color w:val="000000"/>
                <w:kern w:val="0"/>
                <w:sz w:val="18"/>
                <w:szCs w:val="18"/>
              </w:rPr>
              <w:t>5</w:t>
            </w:r>
          </w:p>
        </w:tc>
        <w:tc>
          <w:tcPr>
            <w:tcW w:w="495" w:type="dxa"/>
            <w:tcBorders>
              <w:top w:val="nil"/>
              <w:left w:val="nil"/>
              <w:bottom w:val="single" w:color="000000" w:sz="4" w:space="0"/>
              <w:right w:val="single" w:color="000000" w:sz="4" w:space="0"/>
            </w:tcBorders>
            <w:tcMar>
              <w:top w:w="15" w:type="dxa"/>
              <w:left w:w="15" w:type="dxa"/>
              <w:bottom w:w="15" w:type="dxa"/>
              <w:right w:w="15" w:type="dxa"/>
            </w:tcMar>
            <w:vAlign w:val="center"/>
          </w:tcPr>
          <w:p>
            <w:pPr>
              <w:jc w:val="center"/>
              <w:rPr>
                <w:rFonts w:ascii="仿宋_GB2312" w:hAnsi="宋体" w:eastAsia="仿宋_GB2312" w:cs="仿宋_GB2312"/>
                <w:color w:val="000000"/>
                <w:sz w:val="18"/>
                <w:szCs w:val="18"/>
              </w:rPr>
            </w:pPr>
          </w:p>
        </w:tc>
      </w:tr>
      <w:tr>
        <w:tblPrEx>
          <w:tblCellMar>
            <w:top w:w="0" w:type="dxa"/>
            <w:left w:w="108" w:type="dxa"/>
            <w:bottom w:w="0" w:type="dxa"/>
            <w:right w:w="108" w:type="dxa"/>
          </w:tblCellMar>
        </w:tblPrEx>
        <w:trPr>
          <w:trHeight w:val="1260" w:hRule="atLeast"/>
        </w:trPr>
        <w:tc>
          <w:tcPr>
            <w:tcW w:w="331"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20"/>
              </w:rPr>
            </w:pPr>
          </w:p>
        </w:tc>
        <w:tc>
          <w:tcPr>
            <w:tcW w:w="405"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324"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398"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5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财务监控有效性</w:t>
            </w:r>
          </w:p>
        </w:tc>
        <w:tc>
          <w:tcPr>
            <w:tcW w:w="4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251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项目单位是否为保障资金的安全、规范运行而采取了必要的监控措施，用以反映和考核项目单位对资金运行的控制情况。</w:t>
            </w:r>
          </w:p>
        </w:tc>
        <w:tc>
          <w:tcPr>
            <w:tcW w:w="38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①已制定或具有相应的监控机制记2.5分，否则不记分；                                       ②采取了相应的财务检查等必要的监控措施或手段记2.5分，否则不记分。</w:t>
            </w:r>
          </w:p>
        </w:tc>
        <w:tc>
          <w:tcPr>
            <w:tcW w:w="4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49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900" w:hRule="atLeast"/>
        </w:trPr>
        <w:tc>
          <w:tcPr>
            <w:tcW w:w="331" w:type="dxa"/>
            <w:vMerge w:val="restart"/>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产出</w:t>
            </w:r>
          </w:p>
        </w:tc>
        <w:tc>
          <w:tcPr>
            <w:tcW w:w="405" w:type="dxa"/>
            <w:vMerge w:val="restart"/>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w:t>
            </w:r>
          </w:p>
        </w:tc>
        <w:tc>
          <w:tcPr>
            <w:tcW w:w="324" w:type="dxa"/>
            <w:vMerge w:val="restart"/>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项目产出</w:t>
            </w:r>
          </w:p>
        </w:tc>
        <w:tc>
          <w:tcPr>
            <w:tcW w:w="398" w:type="dxa"/>
            <w:vMerge w:val="restart"/>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24</w:t>
            </w:r>
          </w:p>
        </w:tc>
        <w:tc>
          <w:tcPr>
            <w:tcW w:w="5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“垃圾处理”控制率</w:t>
            </w:r>
          </w:p>
        </w:tc>
        <w:tc>
          <w:tcPr>
            <w:tcW w:w="4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251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垃圾处理场处理次数3次/天</w:t>
            </w:r>
          </w:p>
        </w:tc>
        <w:tc>
          <w:tcPr>
            <w:tcW w:w="38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达到绩效目标得分</w:t>
            </w:r>
            <w:r>
              <w:rPr>
                <w:rFonts w:hint="eastAsia" w:ascii="宋体" w:hAnsi="宋体" w:cs="宋体"/>
                <w:color w:val="000000"/>
                <w:kern w:val="0"/>
                <w:sz w:val="18"/>
                <w:szCs w:val="18"/>
                <w:lang w:val="en-US" w:eastAsia="zh-CN"/>
              </w:rPr>
              <w:t>4</w:t>
            </w:r>
            <w:r>
              <w:rPr>
                <w:rFonts w:hint="eastAsia" w:ascii="宋体" w:hAnsi="宋体" w:cs="宋体"/>
                <w:color w:val="000000"/>
                <w:kern w:val="0"/>
                <w:sz w:val="18"/>
                <w:szCs w:val="18"/>
              </w:rPr>
              <w:t>分，没达到目标每减少一个百分点扣0.1分。</w:t>
            </w:r>
          </w:p>
        </w:tc>
        <w:tc>
          <w:tcPr>
            <w:tcW w:w="4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49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宋体" w:hAnsi="宋体" w:cs="宋体"/>
                <w:color w:val="FF0000"/>
                <w:sz w:val="18"/>
                <w:szCs w:val="18"/>
              </w:rPr>
            </w:pPr>
          </w:p>
        </w:tc>
      </w:tr>
      <w:tr>
        <w:tblPrEx>
          <w:tblCellMar>
            <w:top w:w="0" w:type="dxa"/>
            <w:left w:w="108" w:type="dxa"/>
            <w:bottom w:w="0" w:type="dxa"/>
            <w:right w:w="108" w:type="dxa"/>
          </w:tblCellMar>
        </w:tblPrEx>
        <w:trPr>
          <w:trHeight w:val="975" w:hRule="atLeast"/>
        </w:trPr>
        <w:tc>
          <w:tcPr>
            <w:tcW w:w="331"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405"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324"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398"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5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“垃圾场设施维修”控制率</w:t>
            </w:r>
          </w:p>
        </w:tc>
        <w:tc>
          <w:tcPr>
            <w:tcW w:w="4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251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垃圾场设施年维修次数15次。</w:t>
            </w:r>
          </w:p>
        </w:tc>
        <w:tc>
          <w:tcPr>
            <w:tcW w:w="38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达到绩效目标得</w:t>
            </w:r>
            <w:r>
              <w:rPr>
                <w:rFonts w:hint="eastAsia" w:ascii="宋体" w:hAnsi="宋体" w:cs="宋体"/>
                <w:color w:val="000000"/>
                <w:kern w:val="0"/>
                <w:sz w:val="18"/>
                <w:szCs w:val="18"/>
                <w:lang w:val="en-US" w:eastAsia="zh-CN"/>
              </w:rPr>
              <w:t>4</w:t>
            </w:r>
            <w:r>
              <w:rPr>
                <w:rFonts w:hint="eastAsia" w:ascii="宋体" w:hAnsi="宋体" w:cs="宋体"/>
                <w:color w:val="000000"/>
                <w:kern w:val="0"/>
                <w:sz w:val="18"/>
                <w:szCs w:val="18"/>
              </w:rPr>
              <w:t>分，没达到目标每增加一个百分点扣0.1分。</w:t>
            </w:r>
          </w:p>
        </w:tc>
        <w:tc>
          <w:tcPr>
            <w:tcW w:w="4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49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宋体" w:hAnsi="宋体" w:cs="宋体"/>
                <w:color w:val="FF0000"/>
                <w:sz w:val="18"/>
                <w:szCs w:val="18"/>
              </w:rPr>
            </w:pPr>
          </w:p>
        </w:tc>
      </w:tr>
      <w:tr>
        <w:tblPrEx>
          <w:tblCellMar>
            <w:top w:w="0" w:type="dxa"/>
            <w:left w:w="108" w:type="dxa"/>
            <w:bottom w:w="0" w:type="dxa"/>
            <w:right w:w="108" w:type="dxa"/>
          </w:tblCellMar>
        </w:tblPrEx>
        <w:trPr>
          <w:trHeight w:val="960" w:hRule="atLeast"/>
        </w:trPr>
        <w:tc>
          <w:tcPr>
            <w:tcW w:w="331"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405"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324"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398"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5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“垃圾处理验收合格”控制率</w:t>
            </w:r>
          </w:p>
        </w:tc>
        <w:tc>
          <w:tcPr>
            <w:tcW w:w="4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251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垃圾处理合格率达到100%。</w:t>
            </w:r>
          </w:p>
        </w:tc>
        <w:tc>
          <w:tcPr>
            <w:tcW w:w="38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达到绩效目标得</w:t>
            </w:r>
            <w:r>
              <w:rPr>
                <w:rFonts w:hint="eastAsia" w:ascii="宋体" w:hAnsi="宋体" w:cs="宋体"/>
                <w:color w:val="000000"/>
                <w:kern w:val="0"/>
                <w:sz w:val="18"/>
                <w:szCs w:val="18"/>
                <w:lang w:val="en-US" w:eastAsia="zh-CN"/>
              </w:rPr>
              <w:t>4</w:t>
            </w:r>
            <w:bookmarkStart w:id="0" w:name="_GoBack"/>
            <w:bookmarkEnd w:id="0"/>
            <w:r>
              <w:rPr>
                <w:rFonts w:hint="eastAsia" w:ascii="宋体" w:hAnsi="宋体" w:cs="宋体"/>
                <w:color w:val="000000"/>
                <w:kern w:val="0"/>
                <w:sz w:val="18"/>
                <w:szCs w:val="18"/>
              </w:rPr>
              <w:t>分，没达到目标每减少一个百分点扣0.1分。</w:t>
            </w:r>
          </w:p>
        </w:tc>
        <w:tc>
          <w:tcPr>
            <w:tcW w:w="4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49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宋体" w:hAnsi="宋体" w:cs="宋体"/>
                <w:color w:val="FF0000"/>
                <w:sz w:val="18"/>
                <w:szCs w:val="18"/>
              </w:rPr>
            </w:pPr>
          </w:p>
        </w:tc>
      </w:tr>
      <w:tr>
        <w:tblPrEx>
          <w:tblCellMar>
            <w:top w:w="0" w:type="dxa"/>
            <w:left w:w="108" w:type="dxa"/>
            <w:bottom w:w="0" w:type="dxa"/>
            <w:right w:w="108" w:type="dxa"/>
          </w:tblCellMar>
        </w:tblPrEx>
        <w:trPr>
          <w:trHeight w:val="1035" w:hRule="atLeast"/>
        </w:trPr>
        <w:tc>
          <w:tcPr>
            <w:tcW w:w="331"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405"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324"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398"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5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“维修验收合格率”控制率</w:t>
            </w:r>
          </w:p>
        </w:tc>
        <w:tc>
          <w:tcPr>
            <w:tcW w:w="4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251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ind w:firstLine="90" w:firstLineChars="50"/>
              <w:jc w:val="left"/>
              <w:textAlignment w:val="center"/>
              <w:rPr>
                <w:rFonts w:ascii="宋体" w:hAnsi="宋体" w:cs="宋体"/>
                <w:color w:val="000000"/>
                <w:sz w:val="18"/>
                <w:szCs w:val="18"/>
              </w:rPr>
            </w:pPr>
            <w:r>
              <w:rPr>
                <w:rFonts w:hint="eastAsia" w:ascii="宋体" w:hAnsi="宋体" w:cs="宋体"/>
                <w:color w:val="000000"/>
                <w:sz w:val="18"/>
                <w:szCs w:val="18"/>
              </w:rPr>
              <w:t>垃圾场设施维修合格率100%。</w:t>
            </w:r>
          </w:p>
        </w:tc>
        <w:tc>
          <w:tcPr>
            <w:tcW w:w="38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达到绩效目标得4分，没达到目标每减少一个百分点扣0.1分。</w:t>
            </w:r>
          </w:p>
        </w:tc>
        <w:tc>
          <w:tcPr>
            <w:tcW w:w="4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3.5</w:t>
            </w:r>
          </w:p>
        </w:tc>
        <w:tc>
          <w:tcPr>
            <w:tcW w:w="49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宋体" w:hAnsi="宋体" w:cs="宋体"/>
                <w:color w:val="FF0000"/>
                <w:sz w:val="18"/>
                <w:szCs w:val="18"/>
              </w:rPr>
            </w:pPr>
          </w:p>
        </w:tc>
      </w:tr>
      <w:tr>
        <w:tblPrEx>
          <w:tblCellMar>
            <w:top w:w="0" w:type="dxa"/>
            <w:left w:w="108" w:type="dxa"/>
            <w:bottom w:w="0" w:type="dxa"/>
            <w:right w:w="108" w:type="dxa"/>
          </w:tblCellMar>
        </w:tblPrEx>
        <w:trPr>
          <w:trHeight w:val="1035" w:hRule="atLeast"/>
        </w:trPr>
        <w:tc>
          <w:tcPr>
            <w:tcW w:w="331" w:type="dxa"/>
            <w:vMerge w:val="restart"/>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jc w:val="center"/>
              <w:rPr>
                <w:rFonts w:ascii="宋体" w:hAnsi="宋体" w:cs="宋体"/>
                <w:color w:val="000000"/>
                <w:sz w:val="18"/>
                <w:szCs w:val="18"/>
              </w:rPr>
            </w:pPr>
          </w:p>
        </w:tc>
        <w:tc>
          <w:tcPr>
            <w:tcW w:w="405" w:type="dxa"/>
            <w:vMerge w:val="restart"/>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jc w:val="center"/>
              <w:rPr>
                <w:rFonts w:ascii="宋体" w:hAnsi="宋体" w:cs="宋体"/>
                <w:color w:val="000000"/>
                <w:sz w:val="18"/>
                <w:szCs w:val="18"/>
              </w:rPr>
            </w:pPr>
          </w:p>
        </w:tc>
        <w:tc>
          <w:tcPr>
            <w:tcW w:w="324" w:type="dxa"/>
            <w:vMerge w:val="restart"/>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jc w:val="center"/>
              <w:rPr>
                <w:rFonts w:ascii="宋体" w:hAnsi="宋体" w:cs="宋体"/>
                <w:color w:val="000000"/>
                <w:sz w:val="18"/>
                <w:szCs w:val="18"/>
              </w:rPr>
            </w:pPr>
          </w:p>
        </w:tc>
        <w:tc>
          <w:tcPr>
            <w:tcW w:w="398" w:type="dxa"/>
            <w:vMerge w:val="restart"/>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jc w:val="center"/>
              <w:rPr>
                <w:rFonts w:ascii="宋体" w:hAnsi="宋体" w:cs="宋体"/>
                <w:color w:val="000000"/>
                <w:sz w:val="18"/>
                <w:szCs w:val="18"/>
              </w:rPr>
            </w:pPr>
          </w:p>
        </w:tc>
        <w:tc>
          <w:tcPr>
            <w:tcW w:w="5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“完成时间”控制率</w:t>
            </w:r>
          </w:p>
        </w:tc>
        <w:tc>
          <w:tcPr>
            <w:tcW w:w="4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251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ind w:firstLine="90" w:firstLineChars="50"/>
              <w:jc w:val="left"/>
              <w:textAlignment w:val="center"/>
              <w:rPr>
                <w:rFonts w:ascii="宋体" w:hAnsi="宋体" w:cs="宋体"/>
                <w:color w:val="000000"/>
                <w:sz w:val="18"/>
                <w:szCs w:val="18"/>
              </w:rPr>
            </w:pPr>
            <w:r>
              <w:rPr>
                <w:rFonts w:hint="eastAsia" w:ascii="宋体" w:hAnsi="宋体" w:cs="宋体"/>
                <w:color w:val="000000"/>
                <w:sz w:val="18"/>
                <w:szCs w:val="18"/>
              </w:rPr>
              <w:t>项目时效指标为2020年12月底之前完成。</w:t>
            </w:r>
          </w:p>
        </w:tc>
        <w:tc>
          <w:tcPr>
            <w:tcW w:w="38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达到绩效目标得4分，没达到目标每减少一个百分点扣0.1分。</w:t>
            </w:r>
          </w:p>
        </w:tc>
        <w:tc>
          <w:tcPr>
            <w:tcW w:w="4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2.5</w:t>
            </w:r>
          </w:p>
        </w:tc>
        <w:tc>
          <w:tcPr>
            <w:tcW w:w="49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宋体" w:hAnsi="宋体" w:cs="宋体"/>
                <w:color w:val="FF0000"/>
                <w:sz w:val="18"/>
                <w:szCs w:val="18"/>
              </w:rPr>
            </w:pPr>
          </w:p>
        </w:tc>
      </w:tr>
      <w:tr>
        <w:tblPrEx>
          <w:tblCellMar>
            <w:top w:w="0" w:type="dxa"/>
            <w:left w:w="108" w:type="dxa"/>
            <w:bottom w:w="0" w:type="dxa"/>
            <w:right w:w="108" w:type="dxa"/>
          </w:tblCellMar>
        </w:tblPrEx>
        <w:trPr>
          <w:trHeight w:val="1035" w:hRule="atLeast"/>
        </w:trPr>
        <w:tc>
          <w:tcPr>
            <w:tcW w:w="331"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405"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324"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398" w:type="dxa"/>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cs="宋体"/>
                <w:color w:val="000000"/>
                <w:sz w:val="18"/>
                <w:szCs w:val="18"/>
              </w:rPr>
            </w:pPr>
          </w:p>
        </w:tc>
        <w:tc>
          <w:tcPr>
            <w:tcW w:w="5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“成本指标”控制率</w:t>
            </w:r>
          </w:p>
        </w:tc>
        <w:tc>
          <w:tcPr>
            <w:tcW w:w="4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251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ind w:firstLine="90" w:firstLineChars="50"/>
              <w:jc w:val="left"/>
              <w:textAlignment w:val="center"/>
              <w:rPr>
                <w:rFonts w:ascii="宋体" w:hAnsi="宋体" w:cs="宋体"/>
                <w:color w:val="000000"/>
                <w:sz w:val="18"/>
                <w:szCs w:val="18"/>
              </w:rPr>
            </w:pPr>
            <w:r>
              <w:rPr>
                <w:rFonts w:hint="eastAsia" w:ascii="宋体" w:hAnsi="宋体" w:cs="宋体"/>
                <w:color w:val="000000"/>
                <w:sz w:val="18"/>
                <w:szCs w:val="18"/>
              </w:rPr>
              <w:t>预算成本</w:t>
            </w:r>
            <w:r>
              <w:rPr>
                <w:rFonts w:hint="eastAsia" w:ascii="仿宋" w:hAnsi="仿宋" w:eastAsia="仿宋" w:cs="宋体"/>
                <w:color w:val="000000"/>
                <w:sz w:val="18"/>
                <w:szCs w:val="18"/>
              </w:rPr>
              <w:t>≤</w:t>
            </w:r>
            <w:r>
              <w:rPr>
                <w:rFonts w:hint="eastAsia" w:ascii="宋体" w:hAnsi="宋体" w:cs="宋体"/>
                <w:color w:val="000000"/>
                <w:sz w:val="18"/>
                <w:szCs w:val="18"/>
              </w:rPr>
              <w:t>30万。</w:t>
            </w:r>
          </w:p>
        </w:tc>
        <w:tc>
          <w:tcPr>
            <w:tcW w:w="38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达到绩效目标得4分，没达到目标每减少一个百分点扣0.1分。</w:t>
            </w:r>
          </w:p>
        </w:tc>
        <w:tc>
          <w:tcPr>
            <w:tcW w:w="4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49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宋体" w:hAnsi="宋体" w:cs="宋体"/>
                <w:color w:val="FF0000"/>
                <w:sz w:val="18"/>
                <w:szCs w:val="18"/>
              </w:rPr>
            </w:pPr>
          </w:p>
        </w:tc>
      </w:tr>
      <w:tr>
        <w:tblPrEx>
          <w:tblCellMar>
            <w:top w:w="0" w:type="dxa"/>
            <w:left w:w="108" w:type="dxa"/>
            <w:bottom w:w="0" w:type="dxa"/>
            <w:right w:w="108" w:type="dxa"/>
          </w:tblCellMar>
        </w:tblPrEx>
        <w:trPr>
          <w:trHeight w:val="810" w:hRule="atLeast"/>
        </w:trPr>
        <w:tc>
          <w:tcPr>
            <w:tcW w:w="331" w:type="dxa"/>
            <w:vMerge w:val="restart"/>
            <w:tcBorders>
              <w:top w:val="nil"/>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效果</w:t>
            </w:r>
          </w:p>
        </w:tc>
        <w:tc>
          <w:tcPr>
            <w:tcW w:w="40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w:t>
            </w:r>
          </w:p>
        </w:tc>
        <w:tc>
          <w:tcPr>
            <w:tcW w:w="32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项目效益</w:t>
            </w:r>
          </w:p>
        </w:tc>
        <w:tc>
          <w:tcPr>
            <w:tcW w:w="398"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26</w:t>
            </w:r>
          </w:p>
        </w:tc>
        <w:tc>
          <w:tcPr>
            <w:tcW w:w="524" w:type="dxa"/>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经济效益</w:t>
            </w:r>
          </w:p>
        </w:tc>
        <w:tc>
          <w:tcPr>
            <w:tcW w:w="4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 xml:space="preserve">6 </w:t>
            </w:r>
          </w:p>
        </w:tc>
        <w:tc>
          <w:tcPr>
            <w:tcW w:w="251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良好的环境是否给芷江带来更好的旅游资源。（结合实际民众问卷调查）</w:t>
            </w:r>
          </w:p>
        </w:tc>
        <w:tc>
          <w:tcPr>
            <w:tcW w:w="38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100%为6分，每减少一个百分点扣0.2分。</w:t>
            </w:r>
          </w:p>
        </w:tc>
        <w:tc>
          <w:tcPr>
            <w:tcW w:w="4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49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宋体" w:hAnsi="宋体" w:cs="宋体"/>
                <w:color w:val="FF0000"/>
                <w:sz w:val="18"/>
                <w:szCs w:val="18"/>
              </w:rPr>
            </w:pPr>
          </w:p>
        </w:tc>
      </w:tr>
      <w:tr>
        <w:tblPrEx>
          <w:tblCellMar>
            <w:top w:w="0" w:type="dxa"/>
            <w:left w:w="108" w:type="dxa"/>
            <w:bottom w:w="0" w:type="dxa"/>
            <w:right w:w="108" w:type="dxa"/>
          </w:tblCellMar>
        </w:tblPrEx>
        <w:trPr>
          <w:trHeight w:val="810" w:hRule="atLeast"/>
        </w:trPr>
        <w:tc>
          <w:tcPr>
            <w:tcW w:w="331"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3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39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5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社会效益</w:t>
            </w:r>
          </w:p>
        </w:tc>
        <w:tc>
          <w:tcPr>
            <w:tcW w:w="4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251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良好的环境是否让芷江市民感到更宜居、乐居、利居。（结合实际民众问卷调查）</w:t>
            </w:r>
          </w:p>
        </w:tc>
        <w:tc>
          <w:tcPr>
            <w:tcW w:w="38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100%为6分，每减少一个百分点扣0.2分。</w:t>
            </w:r>
          </w:p>
        </w:tc>
        <w:tc>
          <w:tcPr>
            <w:tcW w:w="4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49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宋体" w:hAnsi="宋体" w:cs="宋体"/>
                <w:color w:val="FF0000"/>
                <w:sz w:val="18"/>
                <w:szCs w:val="18"/>
              </w:rPr>
            </w:pPr>
          </w:p>
        </w:tc>
      </w:tr>
      <w:tr>
        <w:tblPrEx>
          <w:tblCellMar>
            <w:top w:w="0" w:type="dxa"/>
            <w:left w:w="108" w:type="dxa"/>
            <w:bottom w:w="0" w:type="dxa"/>
            <w:right w:w="108" w:type="dxa"/>
          </w:tblCellMar>
        </w:tblPrEx>
        <w:trPr>
          <w:trHeight w:val="990" w:hRule="atLeast"/>
        </w:trPr>
        <w:tc>
          <w:tcPr>
            <w:tcW w:w="331"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3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39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5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可持续影响</w:t>
            </w:r>
          </w:p>
        </w:tc>
        <w:tc>
          <w:tcPr>
            <w:tcW w:w="4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251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项目产出能持续运用；项目运行所依赖的政策制度能持续执行</w:t>
            </w:r>
          </w:p>
        </w:tc>
        <w:tc>
          <w:tcPr>
            <w:tcW w:w="38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结合调查问卷了解市民对城市管理工作一年的评分，今年比去年管理工作效果进步大记6分，一般记3分，没有进步记0分。</w:t>
            </w:r>
          </w:p>
        </w:tc>
        <w:tc>
          <w:tcPr>
            <w:tcW w:w="4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49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宋体" w:hAnsi="宋体" w:cs="宋体"/>
                <w:color w:val="FF0000"/>
                <w:sz w:val="18"/>
                <w:szCs w:val="18"/>
              </w:rPr>
            </w:pPr>
          </w:p>
        </w:tc>
      </w:tr>
      <w:tr>
        <w:tblPrEx>
          <w:tblCellMar>
            <w:top w:w="0" w:type="dxa"/>
            <w:left w:w="108" w:type="dxa"/>
            <w:bottom w:w="0" w:type="dxa"/>
            <w:right w:w="108" w:type="dxa"/>
          </w:tblCellMar>
        </w:tblPrEx>
        <w:trPr>
          <w:trHeight w:val="1050" w:hRule="atLeast"/>
        </w:trPr>
        <w:tc>
          <w:tcPr>
            <w:tcW w:w="331"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4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3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39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18"/>
                <w:szCs w:val="18"/>
              </w:rPr>
            </w:pPr>
          </w:p>
        </w:tc>
        <w:tc>
          <w:tcPr>
            <w:tcW w:w="5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公众满意度</w:t>
            </w:r>
          </w:p>
        </w:tc>
        <w:tc>
          <w:tcPr>
            <w:tcW w:w="4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251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20"/>
              </w:rPr>
            </w:pPr>
            <w:r>
              <w:rPr>
                <w:rFonts w:hint="eastAsia" w:ascii="宋体" w:hAnsi="宋体" w:cs="宋体"/>
                <w:color w:val="000000"/>
                <w:kern w:val="0"/>
                <w:sz w:val="20"/>
              </w:rPr>
              <w:t>市民对执法人员的满意度。结合实际民众问卷调查。</w:t>
            </w:r>
          </w:p>
        </w:tc>
        <w:tc>
          <w:tcPr>
            <w:tcW w:w="38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满意度90分以上记7分，80-90分记6分，70-80分记5分，60-70分记4分，60分以下记0分。</w:t>
            </w:r>
          </w:p>
        </w:tc>
        <w:tc>
          <w:tcPr>
            <w:tcW w:w="4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49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宋体" w:hAnsi="宋体" w:cs="宋体"/>
                <w:color w:val="FF0000"/>
                <w:sz w:val="18"/>
                <w:szCs w:val="18"/>
              </w:rPr>
            </w:pPr>
          </w:p>
        </w:tc>
      </w:tr>
      <w:tr>
        <w:tblPrEx>
          <w:tblCellMar>
            <w:top w:w="0" w:type="dxa"/>
            <w:left w:w="108" w:type="dxa"/>
            <w:bottom w:w="0" w:type="dxa"/>
            <w:right w:w="108" w:type="dxa"/>
          </w:tblCellMar>
        </w:tblPrEx>
        <w:trPr>
          <w:trHeight w:val="510" w:hRule="atLeast"/>
        </w:trPr>
        <w:tc>
          <w:tcPr>
            <w:tcW w:w="33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总分</w:t>
            </w:r>
          </w:p>
        </w:tc>
        <w:tc>
          <w:tcPr>
            <w:tcW w:w="4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100</w:t>
            </w:r>
          </w:p>
        </w:tc>
        <w:tc>
          <w:tcPr>
            <w:tcW w:w="3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宋体" w:hAnsi="宋体" w:cs="宋体"/>
                <w:color w:val="000000"/>
                <w:sz w:val="24"/>
                <w:szCs w:val="24"/>
              </w:rPr>
            </w:pPr>
          </w:p>
        </w:tc>
        <w:tc>
          <w:tcPr>
            <w:tcW w:w="39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100</w:t>
            </w:r>
          </w:p>
        </w:tc>
        <w:tc>
          <w:tcPr>
            <w:tcW w:w="5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宋体" w:hAnsi="宋体" w:cs="宋体"/>
                <w:color w:val="000000"/>
                <w:sz w:val="24"/>
                <w:szCs w:val="24"/>
              </w:rPr>
            </w:pPr>
          </w:p>
        </w:tc>
        <w:tc>
          <w:tcPr>
            <w:tcW w:w="40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rPr>
              <w:t>100</w:t>
            </w:r>
          </w:p>
        </w:tc>
        <w:tc>
          <w:tcPr>
            <w:tcW w:w="251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宋体" w:hAnsi="宋体" w:cs="宋体"/>
                <w:color w:val="000000"/>
                <w:sz w:val="24"/>
                <w:szCs w:val="24"/>
              </w:rPr>
            </w:pPr>
          </w:p>
        </w:tc>
        <w:tc>
          <w:tcPr>
            <w:tcW w:w="38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宋体" w:hAnsi="宋体" w:cs="宋体"/>
                <w:color w:val="000000"/>
                <w:sz w:val="24"/>
                <w:szCs w:val="24"/>
              </w:rPr>
            </w:pPr>
          </w:p>
        </w:tc>
        <w:tc>
          <w:tcPr>
            <w:tcW w:w="43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90</w:t>
            </w:r>
          </w:p>
        </w:tc>
        <w:tc>
          <w:tcPr>
            <w:tcW w:w="49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rPr>
                <w:rFonts w:ascii="宋体" w:hAnsi="宋体" w:cs="宋体"/>
                <w:color w:val="000000"/>
                <w:sz w:val="24"/>
                <w:szCs w:val="24"/>
              </w:rPr>
            </w:pPr>
          </w:p>
        </w:tc>
      </w:tr>
    </w:tbl>
    <w:p>
      <w:pPr>
        <w:spacing w:line="560" w:lineRule="exact"/>
        <w:rPr>
          <w:rFonts w:hint="eastAsia" w:ascii="仿宋" w:hAnsi="仿宋" w:eastAsia="仿宋"/>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D85"/>
    <w:rsid w:val="00065895"/>
    <w:rsid w:val="00446824"/>
    <w:rsid w:val="004C40CF"/>
    <w:rsid w:val="0066065E"/>
    <w:rsid w:val="00911314"/>
    <w:rsid w:val="00920D85"/>
    <w:rsid w:val="00B672B4"/>
    <w:rsid w:val="00C3230E"/>
    <w:rsid w:val="03C20F4A"/>
    <w:rsid w:val="41372090"/>
    <w:rsid w:val="6AE748FF"/>
    <w:rsid w:val="774C6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5"/>
    <w:semiHidden/>
    <w:unhideWhenUsed/>
    <w:qFormat/>
    <w:uiPriority w:val="99"/>
    <w:rPr>
      <w:sz w:val="18"/>
      <w:szCs w:val="18"/>
    </w:rPr>
  </w:style>
  <w:style w:type="character" w:customStyle="1" w:styleId="5">
    <w:name w:val="批注框文本 Char"/>
    <w:basedOn w:val="4"/>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file:///C:\Users\ADMINI~1\AppData\Local\Temp\ksohtml\clip_image3080.png"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580</Words>
  <Characters>3309</Characters>
  <Lines>27</Lines>
  <Paragraphs>7</Paragraphs>
  <TotalTime>5</TotalTime>
  <ScaleCrop>false</ScaleCrop>
  <LinksUpToDate>false</LinksUpToDate>
  <CharactersWithSpaces>3882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2021-07-14T08:52:00Z</dcterms:created>
  <dc:creator>Administrator</dc:creator>
  <cp:lastModifiedBy>妖精的手指</cp:lastModifiedBy>
  <cp:lastPrinted>2021-07-15T01:12:00Z</cp:lastPrinted>
  <dcterms:modified xsi:type="dcterms:W3CDTF">2021-07-15T03:24:21Z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73835B9903924F7F815F9E242C56A771</vt:lpwstr>
  </property>
</Properties>
</file>