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17" w:firstLineChars="100"/>
        <w:jc w:val="center"/>
        <w:rPr>
          <w:rFonts w:ascii="宋体" w:hAnsi="宋体"/>
          <w:b/>
          <w:spacing w:val="-2"/>
          <w:sz w:val="32"/>
          <w:szCs w:val="32"/>
        </w:rPr>
      </w:pPr>
      <w:r>
        <w:rPr>
          <w:rFonts w:hint="eastAsia" w:ascii="宋体" w:hAnsi="宋体"/>
          <w:b/>
          <w:spacing w:val="-2"/>
          <w:sz w:val="32"/>
          <w:szCs w:val="32"/>
        </w:rPr>
        <w:t>芷信发【20</w:t>
      </w:r>
      <w:r>
        <w:rPr>
          <w:rFonts w:hint="eastAsia" w:ascii="宋体" w:hAnsi="宋体"/>
          <w:b/>
          <w:spacing w:val="-2"/>
          <w:sz w:val="32"/>
          <w:szCs w:val="32"/>
          <w:lang w:val="en-US" w:eastAsia="zh-CN"/>
        </w:rPr>
        <w:t>21</w:t>
      </w:r>
      <w:r>
        <w:rPr>
          <w:rFonts w:hint="eastAsia" w:ascii="宋体" w:hAnsi="宋体"/>
          <w:b/>
          <w:spacing w:val="-2"/>
          <w:sz w:val="32"/>
          <w:szCs w:val="32"/>
        </w:rPr>
        <w:t>】</w:t>
      </w:r>
      <w:r>
        <w:rPr>
          <w:rFonts w:hint="eastAsia" w:ascii="宋体" w:hAnsi="宋体"/>
          <w:b/>
          <w:spacing w:val="-2"/>
          <w:sz w:val="32"/>
          <w:szCs w:val="32"/>
          <w:lang w:val="en-US" w:eastAsia="zh-CN"/>
        </w:rPr>
        <w:t>03</w:t>
      </w:r>
      <w:r>
        <w:rPr>
          <w:rFonts w:hint="eastAsia" w:ascii="宋体" w:hAnsi="宋体"/>
          <w:b/>
          <w:spacing w:val="-2"/>
          <w:sz w:val="32"/>
          <w:szCs w:val="32"/>
        </w:rPr>
        <w:t>号</w:t>
      </w: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jc w:val="center"/>
        <w:rPr>
          <w:rFonts w:ascii="宋体" w:hAnsi="宋体"/>
          <w:b/>
          <w:spacing w:val="-2"/>
          <w:sz w:val="36"/>
          <w:szCs w:val="36"/>
        </w:rPr>
      </w:pPr>
      <w:r>
        <w:rPr>
          <w:rFonts w:hint="eastAsia" w:ascii="宋体" w:hAnsi="宋体"/>
          <w:b/>
          <w:spacing w:val="-2"/>
          <w:sz w:val="36"/>
          <w:szCs w:val="36"/>
        </w:rPr>
        <w:t>芷江县信访局20</w:t>
      </w:r>
      <w:r>
        <w:rPr>
          <w:rFonts w:hint="eastAsia" w:ascii="宋体" w:hAnsi="宋体"/>
          <w:b/>
          <w:spacing w:val="-2"/>
          <w:sz w:val="36"/>
          <w:szCs w:val="36"/>
          <w:lang w:val="en-US" w:eastAsia="zh-CN"/>
        </w:rPr>
        <w:t>20</w:t>
      </w:r>
      <w:r>
        <w:rPr>
          <w:rFonts w:hint="eastAsia" w:ascii="宋体" w:hAnsi="宋体"/>
          <w:b/>
          <w:spacing w:val="-2"/>
          <w:sz w:val="36"/>
          <w:szCs w:val="36"/>
        </w:rPr>
        <w:t>年度部门整体支出绩效评价</w:t>
      </w:r>
    </w:p>
    <w:p>
      <w:pPr>
        <w:widowControl/>
        <w:shd w:val="clear" w:color="auto" w:fill="FFFFFF"/>
        <w:spacing w:line="560" w:lineRule="exact"/>
        <w:ind w:firstLine="357" w:firstLineChars="100"/>
        <w:jc w:val="center"/>
        <w:rPr>
          <w:rFonts w:ascii="宋体" w:hAnsi="宋体"/>
          <w:b/>
          <w:spacing w:val="-2"/>
          <w:sz w:val="36"/>
          <w:szCs w:val="36"/>
        </w:rPr>
      </w:pPr>
      <w:r>
        <w:rPr>
          <w:rFonts w:hint="eastAsia" w:ascii="宋体" w:hAnsi="宋体"/>
          <w:b/>
          <w:spacing w:val="-2"/>
          <w:sz w:val="36"/>
          <w:szCs w:val="36"/>
        </w:rPr>
        <w:t>报   告</w:t>
      </w:r>
    </w:p>
    <w:p>
      <w:pPr>
        <w:widowControl/>
        <w:shd w:val="clear" w:color="auto" w:fill="FFFFFF"/>
        <w:spacing w:line="560" w:lineRule="exact"/>
        <w:jc w:val="center"/>
        <w:rPr>
          <w:rFonts w:eastAsia="仿宋_GB2312"/>
          <w:b/>
          <w:spacing w:val="-2"/>
          <w:sz w:val="32"/>
          <w:szCs w:val="44"/>
        </w:rPr>
      </w:pPr>
    </w:p>
    <w:p>
      <w:pPr>
        <w:spacing w:line="560" w:lineRule="exact"/>
        <w:ind w:firstLine="632" w:firstLineChars="200"/>
        <w:jc w:val="both"/>
        <w:rPr>
          <w:rFonts w:eastAsia="仿宋_GB2312"/>
          <w:spacing w:val="-2"/>
          <w:sz w:val="32"/>
          <w:szCs w:val="44"/>
        </w:rPr>
      </w:pPr>
      <w:r>
        <w:rPr>
          <w:rFonts w:hint="eastAsia" w:eastAsia="仿宋_GB2312"/>
          <w:spacing w:val="-2"/>
          <w:sz w:val="32"/>
          <w:szCs w:val="44"/>
        </w:rPr>
        <w:t>根据芷财绩【</w:t>
      </w:r>
      <w:r>
        <w:rPr>
          <w:rFonts w:eastAsia="仿宋_GB2312"/>
          <w:spacing w:val="-2"/>
          <w:sz w:val="32"/>
          <w:szCs w:val="44"/>
        </w:rPr>
        <w:t>20</w:t>
      </w:r>
      <w:r>
        <w:rPr>
          <w:rFonts w:hint="eastAsia" w:eastAsia="仿宋_GB2312"/>
          <w:spacing w:val="-2"/>
          <w:sz w:val="32"/>
          <w:szCs w:val="44"/>
          <w:lang w:val="en-US" w:eastAsia="zh-CN"/>
        </w:rPr>
        <w:t>21</w:t>
      </w:r>
      <w:r>
        <w:rPr>
          <w:rFonts w:hint="eastAsia" w:eastAsia="仿宋_GB2312"/>
          <w:spacing w:val="-2"/>
          <w:sz w:val="32"/>
          <w:szCs w:val="44"/>
        </w:rPr>
        <w:t>】</w:t>
      </w:r>
      <w:r>
        <w:rPr>
          <w:rFonts w:hint="eastAsia" w:eastAsia="仿宋_GB2312"/>
          <w:spacing w:val="-2"/>
          <w:sz w:val="32"/>
          <w:szCs w:val="44"/>
          <w:lang w:val="en-US" w:eastAsia="zh-CN"/>
        </w:rPr>
        <w:t>1</w:t>
      </w:r>
      <w:r>
        <w:rPr>
          <w:rFonts w:hint="eastAsia" w:eastAsia="仿宋_GB2312"/>
          <w:spacing w:val="-2"/>
          <w:sz w:val="32"/>
          <w:szCs w:val="44"/>
        </w:rPr>
        <w:t>号《</w:t>
      </w:r>
      <w:r>
        <w:rPr>
          <w:rFonts w:hint="eastAsia" w:ascii="仿宋" w:hAnsi="仿宋" w:eastAsia="仿宋" w:cs="仿宋"/>
          <w:b w:val="0"/>
          <w:bCs/>
          <w:color w:val="000000"/>
          <w:sz w:val="32"/>
          <w:szCs w:val="32"/>
        </w:rPr>
        <w:t>芷江侗族自治县财政局关于开展20</w:t>
      </w:r>
      <w:r>
        <w:rPr>
          <w:rFonts w:hint="eastAsia" w:ascii="仿宋" w:hAnsi="仿宋" w:eastAsia="仿宋" w:cs="仿宋"/>
          <w:b w:val="0"/>
          <w:bCs/>
          <w:color w:val="000000"/>
          <w:sz w:val="32"/>
          <w:szCs w:val="32"/>
          <w:lang w:val="en-US" w:eastAsia="zh-CN"/>
        </w:rPr>
        <w:t>20</w:t>
      </w:r>
      <w:r>
        <w:rPr>
          <w:rFonts w:hint="eastAsia" w:ascii="仿宋" w:hAnsi="仿宋" w:eastAsia="仿宋" w:cs="仿宋"/>
          <w:b w:val="0"/>
          <w:bCs/>
          <w:color w:val="000000"/>
          <w:sz w:val="32"/>
          <w:szCs w:val="32"/>
        </w:rPr>
        <w:t>年度财政资金绩效评价工作的通知</w:t>
      </w:r>
      <w:r>
        <w:rPr>
          <w:rFonts w:hint="eastAsia" w:eastAsia="仿宋_GB2312"/>
          <w:spacing w:val="-2"/>
          <w:sz w:val="32"/>
          <w:szCs w:val="44"/>
        </w:rPr>
        <w:t>》，我局对</w:t>
      </w:r>
      <w:r>
        <w:rPr>
          <w:rFonts w:eastAsia="仿宋_GB2312"/>
          <w:spacing w:val="-2"/>
          <w:sz w:val="32"/>
          <w:szCs w:val="44"/>
        </w:rPr>
        <w:t>20</w:t>
      </w:r>
      <w:r>
        <w:rPr>
          <w:rFonts w:hint="eastAsia" w:eastAsia="仿宋_GB2312"/>
          <w:spacing w:val="-2"/>
          <w:sz w:val="32"/>
          <w:szCs w:val="44"/>
          <w:lang w:val="en-US" w:eastAsia="zh-CN"/>
        </w:rPr>
        <w:t>20</w:t>
      </w:r>
      <w:r>
        <w:rPr>
          <w:rFonts w:hint="eastAsia" w:eastAsia="仿宋_GB2312"/>
          <w:spacing w:val="-2"/>
          <w:sz w:val="32"/>
          <w:szCs w:val="44"/>
        </w:rPr>
        <w:t>年度部门整体支出绩效进行了全面的综合评价。现将有关情况报告如下：</w:t>
      </w:r>
    </w:p>
    <w:p>
      <w:pPr>
        <w:widowControl/>
        <w:shd w:val="clear" w:color="auto" w:fill="FFFFFF"/>
        <w:spacing w:line="560" w:lineRule="exact"/>
        <w:ind w:firstLine="622" w:firstLineChars="196"/>
        <w:rPr>
          <w:rFonts w:ascii="宋体"/>
          <w:b/>
          <w:spacing w:val="-2"/>
          <w:sz w:val="32"/>
          <w:szCs w:val="32"/>
        </w:rPr>
      </w:pPr>
      <w:r>
        <w:rPr>
          <w:rFonts w:hint="eastAsia" w:ascii="宋体" w:hAnsi="宋体"/>
          <w:b/>
          <w:spacing w:val="-2"/>
          <w:sz w:val="32"/>
          <w:szCs w:val="32"/>
        </w:rPr>
        <w:t>一、部门概况</w:t>
      </w:r>
    </w:p>
    <w:p>
      <w:pPr>
        <w:widowControl/>
        <w:shd w:val="clear" w:color="auto" w:fill="FFFFFF"/>
        <w:spacing w:line="560" w:lineRule="exact"/>
        <w:ind w:firstLine="619" w:firstLineChars="196"/>
        <w:rPr>
          <w:rFonts w:ascii="楷体" w:hAnsi="楷体" w:eastAsia="楷体"/>
          <w:b/>
          <w:spacing w:val="-2"/>
          <w:sz w:val="32"/>
          <w:szCs w:val="21"/>
        </w:rPr>
      </w:pPr>
      <w:r>
        <w:rPr>
          <w:rFonts w:hint="eastAsia" w:ascii="仿宋_GB2312" w:hAnsi="仿宋" w:eastAsia="仿宋_GB2312"/>
          <w:spacing w:val="-2"/>
          <w:sz w:val="32"/>
          <w:szCs w:val="32"/>
        </w:rPr>
        <w:t>（一）部门基本情况</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1</w:t>
      </w:r>
      <w:r>
        <w:rPr>
          <w:rFonts w:hint="eastAsia" w:ascii="仿宋_GB2312" w:hAnsi="仿宋" w:eastAsia="仿宋_GB2312"/>
          <w:spacing w:val="-2"/>
          <w:sz w:val="32"/>
          <w:szCs w:val="32"/>
        </w:rPr>
        <w:t>、机构人员情况。信访局属正科级行政机关单位，核定行政编制数</w:t>
      </w:r>
      <w:r>
        <w:rPr>
          <w:rFonts w:hint="eastAsia" w:ascii="仿宋_GB2312" w:hAnsi="仿宋" w:eastAsia="仿宋_GB2312"/>
          <w:spacing w:val="-2"/>
          <w:sz w:val="32"/>
          <w:szCs w:val="32"/>
          <w:lang w:val="en-US" w:eastAsia="zh-CN"/>
        </w:rPr>
        <w:t>5</w:t>
      </w:r>
      <w:r>
        <w:rPr>
          <w:rFonts w:hint="eastAsia" w:ascii="仿宋_GB2312" w:hAnsi="仿宋" w:eastAsia="仿宋_GB2312"/>
          <w:spacing w:val="-2"/>
          <w:sz w:val="32"/>
          <w:szCs w:val="32"/>
        </w:rPr>
        <w:t>人；</w:t>
      </w:r>
      <w:r>
        <w:rPr>
          <w:rFonts w:ascii="仿宋_GB2312" w:hAnsi="仿宋" w:eastAsia="仿宋_GB2312"/>
          <w:spacing w:val="-2"/>
          <w:sz w:val="32"/>
          <w:szCs w:val="32"/>
        </w:rPr>
        <w:t xml:space="preserve"> </w:t>
      </w:r>
      <w:r>
        <w:rPr>
          <w:rFonts w:hint="eastAsia" w:ascii="仿宋_GB2312" w:hAnsi="仿宋" w:eastAsia="仿宋_GB2312"/>
          <w:spacing w:val="-2"/>
          <w:sz w:val="32"/>
          <w:szCs w:val="32"/>
        </w:rPr>
        <w:t>下设二级机构群众接访中心（全额事业），核定事业编制数</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人；下设二级机构网信室（全额事业），核定编制数分别为</w:t>
      </w:r>
      <w:r>
        <w:rPr>
          <w:rFonts w:hint="eastAsia" w:ascii="仿宋_GB2312" w:hAnsi="仿宋" w:eastAsia="仿宋_GB2312"/>
          <w:spacing w:val="-2"/>
          <w:sz w:val="32"/>
          <w:szCs w:val="32"/>
          <w:lang w:val="en-US" w:eastAsia="zh-CN"/>
        </w:rPr>
        <w:t>4</w:t>
      </w:r>
      <w:r>
        <w:rPr>
          <w:rFonts w:hint="eastAsia" w:ascii="仿宋_GB2312" w:hAnsi="仿宋" w:eastAsia="仿宋_GB2312"/>
          <w:spacing w:val="-2"/>
          <w:sz w:val="32"/>
          <w:szCs w:val="32"/>
        </w:rPr>
        <w:t>人。截止</w:t>
      </w:r>
      <w:r>
        <w:rPr>
          <w:rFonts w:ascii="仿宋_GB2312" w:hAnsi="仿宋" w:eastAsia="仿宋_GB2312"/>
          <w:spacing w:val="-2"/>
          <w:sz w:val="32"/>
          <w:szCs w:val="32"/>
        </w:rPr>
        <w:t>20</w:t>
      </w:r>
      <w:r>
        <w:rPr>
          <w:rFonts w:hint="eastAsia" w:ascii="仿宋_GB2312" w:hAnsi="仿宋" w:eastAsia="仿宋_GB2312"/>
          <w:spacing w:val="-2"/>
          <w:sz w:val="32"/>
          <w:szCs w:val="32"/>
          <w:lang w:val="en-US" w:eastAsia="zh-CN"/>
        </w:rPr>
        <w:t>20</w:t>
      </w:r>
      <w:r>
        <w:rPr>
          <w:rFonts w:hint="eastAsia" w:ascii="仿宋_GB2312" w:hAnsi="仿宋" w:eastAsia="仿宋_GB2312"/>
          <w:spacing w:val="-2"/>
          <w:sz w:val="32"/>
          <w:szCs w:val="32"/>
        </w:rPr>
        <w:t>年</w:t>
      </w:r>
      <w:r>
        <w:rPr>
          <w:rFonts w:ascii="仿宋_GB2312" w:hAnsi="仿宋" w:eastAsia="仿宋_GB2312"/>
          <w:spacing w:val="-2"/>
          <w:sz w:val="32"/>
          <w:szCs w:val="32"/>
        </w:rPr>
        <w:t>12</w:t>
      </w:r>
      <w:r>
        <w:rPr>
          <w:rFonts w:hint="eastAsia" w:ascii="仿宋_GB2312" w:hAnsi="仿宋" w:eastAsia="仿宋_GB2312"/>
          <w:spacing w:val="-2"/>
          <w:sz w:val="32"/>
          <w:szCs w:val="32"/>
        </w:rPr>
        <w:t>月</w:t>
      </w:r>
      <w:r>
        <w:rPr>
          <w:rFonts w:ascii="仿宋_GB2312" w:hAnsi="仿宋" w:eastAsia="仿宋_GB2312"/>
          <w:spacing w:val="-2"/>
          <w:sz w:val="32"/>
          <w:szCs w:val="32"/>
        </w:rPr>
        <w:t>31</w:t>
      </w:r>
      <w:r>
        <w:rPr>
          <w:rFonts w:hint="eastAsia" w:ascii="仿宋_GB2312" w:hAnsi="仿宋" w:eastAsia="仿宋_GB2312"/>
          <w:spacing w:val="-2"/>
          <w:sz w:val="32"/>
          <w:szCs w:val="32"/>
        </w:rPr>
        <w:t>日，我局（含二级机构）在职工作人员实有</w:t>
      </w:r>
      <w:r>
        <w:rPr>
          <w:rFonts w:hint="eastAsia" w:ascii="仿宋_GB2312" w:hAnsi="仿宋" w:eastAsia="仿宋_GB2312"/>
          <w:spacing w:val="-2"/>
          <w:sz w:val="32"/>
          <w:szCs w:val="32"/>
          <w:lang w:val="en-US" w:eastAsia="zh-CN"/>
        </w:rPr>
        <w:t>14</w:t>
      </w:r>
      <w:r>
        <w:rPr>
          <w:rFonts w:hint="eastAsia" w:ascii="仿宋_GB2312" w:hAnsi="仿宋" w:eastAsia="仿宋_GB2312"/>
          <w:spacing w:val="-2"/>
          <w:sz w:val="32"/>
          <w:szCs w:val="32"/>
        </w:rPr>
        <w:t>人（其中：行政工作人员</w:t>
      </w:r>
      <w:r>
        <w:rPr>
          <w:rFonts w:hint="eastAsia" w:ascii="仿宋_GB2312" w:hAnsi="仿宋" w:eastAsia="仿宋_GB2312"/>
          <w:spacing w:val="-2"/>
          <w:sz w:val="32"/>
          <w:szCs w:val="32"/>
          <w:lang w:val="en-US" w:eastAsia="zh-CN"/>
        </w:rPr>
        <w:t>6</w:t>
      </w:r>
      <w:r>
        <w:rPr>
          <w:rFonts w:hint="eastAsia" w:ascii="仿宋_GB2312" w:hAnsi="仿宋" w:eastAsia="仿宋_GB2312"/>
          <w:spacing w:val="-2"/>
          <w:sz w:val="32"/>
          <w:szCs w:val="32"/>
        </w:rPr>
        <w:t>人，事业股室</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人，司勤人员</w:t>
      </w:r>
      <w:r>
        <w:rPr>
          <w:rFonts w:ascii="仿宋_GB2312" w:hAnsi="仿宋" w:eastAsia="仿宋_GB2312"/>
          <w:spacing w:val="-2"/>
          <w:sz w:val="32"/>
          <w:szCs w:val="32"/>
        </w:rPr>
        <w:t>1</w:t>
      </w:r>
      <w:r>
        <w:rPr>
          <w:rFonts w:hint="eastAsia" w:ascii="仿宋_GB2312" w:hAnsi="仿宋" w:eastAsia="仿宋_GB2312"/>
          <w:spacing w:val="-2"/>
          <w:sz w:val="32"/>
          <w:szCs w:val="32"/>
        </w:rPr>
        <w:t>人），提前退休</w:t>
      </w:r>
      <w:r>
        <w:rPr>
          <w:rFonts w:hint="eastAsia" w:ascii="仿宋_GB2312" w:hAnsi="仿宋" w:eastAsia="仿宋_GB2312"/>
          <w:spacing w:val="-2"/>
          <w:sz w:val="32"/>
          <w:szCs w:val="32"/>
          <w:lang w:val="en-US" w:eastAsia="zh-CN"/>
        </w:rPr>
        <w:t>1</w:t>
      </w:r>
      <w:r>
        <w:rPr>
          <w:rFonts w:hint="eastAsia" w:ascii="仿宋_GB2312" w:hAnsi="仿宋" w:eastAsia="仿宋_GB2312"/>
          <w:spacing w:val="-2"/>
          <w:sz w:val="32"/>
          <w:szCs w:val="32"/>
        </w:rPr>
        <w:t>人，到</w:t>
      </w:r>
      <w:r>
        <w:rPr>
          <w:rFonts w:hint="eastAsia" w:ascii="仿宋_GB2312" w:hAnsi="仿宋" w:eastAsia="仿宋_GB2312"/>
          <w:spacing w:val="-2"/>
          <w:sz w:val="32"/>
          <w:szCs w:val="32"/>
          <w:lang w:eastAsia="zh-CN"/>
        </w:rPr>
        <w:t>龄</w:t>
      </w:r>
      <w:r>
        <w:rPr>
          <w:rFonts w:hint="eastAsia" w:ascii="仿宋_GB2312" w:hAnsi="仿宋" w:eastAsia="仿宋_GB2312"/>
          <w:spacing w:val="-2"/>
          <w:sz w:val="32"/>
          <w:szCs w:val="32"/>
        </w:rPr>
        <w:t>退休人员</w:t>
      </w:r>
      <w:r>
        <w:rPr>
          <w:rFonts w:hint="eastAsia" w:ascii="仿宋_GB2312" w:hAnsi="仿宋" w:eastAsia="仿宋_GB2312"/>
          <w:spacing w:val="-2"/>
          <w:sz w:val="32"/>
          <w:szCs w:val="32"/>
          <w:lang w:val="en-US" w:eastAsia="zh-CN"/>
        </w:rPr>
        <w:t>5</w:t>
      </w:r>
      <w:r>
        <w:rPr>
          <w:rFonts w:hint="eastAsia" w:ascii="仿宋_GB2312" w:hAnsi="仿宋" w:eastAsia="仿宋_GB2312"/>
          <w:spacing w:val="-2"/>
          <w:sz w:val="32"/>
          <w:szCs w:val="32"/>
        </w:rPr>
        <w:t>人。</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2</w:t>
      </w:r>
      <w:r>
        <w:rPr>
          <w:rFonts w:hint="eastAsia" w:ascii="仿宋_GB2312" w:hAnsi="仿宋" w:eastAsia="仿宋_GB2312"/>
          <w:spacing w:val="-2"/>
          <w:sz w:val="32"/>
          <w:szCs w:val="32"/>
        </w:rPr>
        <w:t>、主要职责：</w:t>
      </w:r>
      <w:r>
        <w:rPr>
          <w:rFonts w:ascii="仿宋_GB2312" w:hAnsi="仿宋" w:eastAsia="仿宋_GB2312"/>
          <w:spacing w:val="-2"/>
          <w:sz w:val="32"/>
          <w:szCs w:val="32"/>
        </w:rPr>
        <w:t xml:space="preserve">                                                                                                         </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1</w:t>
      </w:r>
      <w:r>
        <w:rPr>
          <w:rFonts w:hint="eastAsia" w:ascii="仿宋_GB2312" w:hAnsi="仿宋" w:eastAsia="仿宋_GB2312"/>
          <w:spacing w:val="-2"/>
          <w:sz w:val="32"/>
          <w:szCs w:val="32"/>
        </w:rPr>
        <w:t>）负责处理人民群众给县委、县人民政府的来信，接待群众来访，为领导同志接待上访群众做好组织服务工作；综合分析信访信息，及时、准确地向县委、县人民政府领导同志来信来访中提出的重要建议、意见和问题，保证信访渠道畅通。</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2</w:t>
      </w:r>
      <w:r>
        <w:rPr>
          <w:rFonts w:hint="eastAsia" w:ascii="仿宋_GB2312" w:hAnsi="仿宋" w:eastAsia="仿宋_GB2312"/>
          <w:spacing w:val="-2"/>
          <w:sz w:val="32"/>
          <w:szCs w:val="32"/>
        </w:rPr>
        <w:t>）承办上级信访部门和县委、县人民政府领导同志交办的信访事项，督促检查领导同志批示件的落实情况；向乡（镇）和县直部门交办信访事项，督促检查重要信访事项的处理和落实。</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(3)</w:t>
      </w:r>
      <w:r>
        <w:rPr>
          <w:rFonts w:hint="eastAsia" w:ascii="仿宋_GB2312" w:hAnsi="仿宋" w:eastAsia="仿宋_GB2312"/>
          <w:spacing w:val="-2"/>
          <w:sz w:val="32"/>
          <w:szCs w:val="32"/>
        </w:rPr>
        <w:t>协调处理跨乡（镇）、跨部门的重大信访问题；协调处理群众集体赴市、赴省、赴京上访和异常、突发性信访事件；督促、协调县直各部门和乡（镇）的信访工作。</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 xml:space="preserve"> (4)</w:t>
      </w:r>
      <w:r>
        <w:rPr>
          <w:rFonts w:hint="eastAsia" w:ascii="仿宋_GB2312" w:hAnsi="仿宋" w:eastAsia="仿宋_GB2312"/>
          <w:spacing w:val="-2"/>
          <w:sz w:val="32"/>
          <w:szCs w:val="32"/>
        </w:rPr>
        <w:t>指导全县信访业务，总结推广信访工作经验，提出改进和加强信访工作的意见和建议。</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5</w:t>
      </w:r>
      <w:r>
        <w:rPr>
          <w:rFonts w:hint="eastAsia" w:ascii="仿宋_GB2312" w:hAnsi="仿宋" w:eastAsia="仿宋_GB2312"/>
          <w:spacing w:val="-2"/>
          <w:sz w:val="32"/>
          <w:szCs w:val="32"/>
        </w:rPr>
        <w:t>）了解并掌握信访工作队伍建设情况，提出加强信访队伍建设措施；组织信访干部的培训；指导信访部门办公自动化建设；</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6</w:t>
      </w:r>
      <w:r>
        <w:rPr>
          <w:rFonts w:hint="eastAsia" w:ascii="仿宋_GB2312" w:hAnsi="仿宋" w:eastAsia="仿宋_GB2312"/>
          <w:spacing w:val="-2"/>
          <w:sz w:val="32"/>
          <w:szCs w:val="32"/>
        </w:rPr>
        <w:t>）负责信访工作的宣传和信息报送等工作。</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7</w:t>
      </w:r>
      <w:r>
        <w:rPr>
          <w:rFonts w:hint="eastAsia" w:ascii="仿宋_GB2312" w:hAnsi="仿宋" w:eastAsia="仿宋_GB2312"/>
          <w:spacing w:val="-2"/>
          <w:sz w:val="32"/>
          <w:szCs w:val="32"/>
        </w:rPr>
        <w:t>）承办县委、县人民政府及县委办公室、县人民政府办公室交办的其他事项。</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3</w:t>
      </w:r>
      <w:r>
        <w:rPr>
          <w:rFonts w:hint="eastAsia" w:ascii="仿宋_GB2312" w:hAnsi="仿宋" w:eastAsia="仿宋_GB2312"/>
          <w:spacing w:val="-2"/>
          <w:sz w:val="32"/>
          <w:szCs w:val="32"/>
        </w:rPr>
        <w:t>、</w:t>
      </w:r>
      <w:r>
        <w:rPr>
          <w:rFonts w:ascii="仿宋_GB2312" w:hAnsi="仿宋" w:eastAsia="仿宋_GB2312"/>
          <w:spacing w:val="-2"/>
          <w:sz w:val="32"/>
          <w:szCs w:val="32"/>
        </w:rPr>
        <w:t>20</w:t>
      </w:r>
      <w:r>
        <w:rPr>
          <w:rFonts w:hint="eastAsia" w:ascii="仿宋_GB2312" w:hAnsi="仿宋" w:eastAsia="仿宋_GB2312"/>
          <w:spacing w:val="-2"/>
          <w:sz w:val="32"/>
          <w:szCs w:val="32"/>
          <w:lang w:val="en-US" w:eastAsia="zh-CN"/>
        </w:rPr>
        <w:t>20</w:t>
      </w:r>
      <w:r>
        <w:rPr>
          <w:rFonts w:hint="eastAsia" w:ascii="仿宋_GB2312" w:hAnsi="仿宋" w:eastAsia="仿宋_GB2312"/>
          <w:spacing w:val="-2"/>
          <w:sz w:val="32"/>
          <w:szCs w:val="32"/>
        </w:rPr>
        <w:t>年度重点工作计划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我县信访工作在县委、县政府的正确领导和上级业务主管部门的精心指导下，深入贯彻落实习近平总书记关于加强和改进人民信访工作的重要思想，坚持以人民为中心，以深化改革为主线，以解决问题为重点，统筹推进疫情防控和信访工作，大力推进阳光信访、责任信访、法治信访，切实维护群众合法权益，努力促进社会和谐稳定，各项工作取得了较好成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完成了全国、省、市“两会”等特防期的信访保障工作，没有发生赴市到省进京规模集访，没有发生因信访问题引发的极端恶性事件和媒体负面炒作，信访工作质效不断提升，信访形势呈现持续平稳向好态势。</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2、2020年度保持了国家级信访工作“三无”县。全县9个乡镇被评为市级“三无”乡镇。</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3、2020年度被省信访局评为全省信访部门“人民满意窗口”创建示范单位。</w:t>
      </w:r>
    </w:p>
    <w:p>
      <w:pPr>
        <w:widowControl/>
        <w:shd w:val="clear" w:color="auto" w:fill="FFFFFF"/>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 w:hAnsi="仿宋" w:eastAsia="仿宋" w:cs="仿宋"/>
          <w:sz w:val="32"/>
          <w:szCs w:val="32"/>
          <w:lang w:val="en-US" w:eastAsia="zh-CN"/>
        </w:rPr>
        <w:t>4、2020年度荣获全市信访工作先进县。</w:t>
      </w:r>
    </w:p>
    <w:p>
      <w:pPr>
        <w:widowControl/>
        <w:shd w:val="clear" w:color="auto" w:fill="FFFFFF"/>
        <w:spacing w:line="560" w:lineRule="exact"/>
        <w:ind w:firstLine="316" w:firstLineChars="100"/>
        <w:jc w:val="left"/>
        <w:rPr>
          <w:rFonts w:ascii="仿宋_GB2312" w:hAnsi="仿宋" w:eastAsia="仿宋_GB2312"/>
          <w:color w:val="auto"/>
          <w:spacing w:val="-2"/>
          <w:sz w:val="32"/>
          <w:szCs w:val="32"/>
        </w:rPr>
      </w:pPr>
      <w:r>
        <w:rPr>
          <w:rFonts w:hint="eastAsia" w:ascii="仿宋_GB2312" w:hAnsi="仿宋" w:eastAsia="仿宋_GB2312"/>
          <w:color w:val="auto"/>
          <w:spacing w:val="-2"/>
          <w:sz w:val="32"/>
          <w:szCs w:val="32"/>
        </w:rPr>
        <w:t>（二）部门整体支出规模、使用方向和主要内容、涉及范围等</w:t>
      </w:r>
    </w:p>
    <w:p>
      <w:pPr>
        <w:widowControl/>
        <w:shd w:val="clear" w:color="auto" w:fill="FFFFFF"/>
        <w:spacing w:line="560" w:lineRule="exact"/>
        <w:ind w:firstLine="632" w:firstLineChars="200"/>
        <w:rPr>
          <w:rFonts w:ascii="仿宋_GB2312" w:hAnsi="仿宋" w:eastAsia="仿宋_GB2312"/>
          <w:spacing w:val="-2"/>
          <w:sz w:val="32"/>
          <w:szCs w:val="32"/>
        </w:rPr>
      </w:pPr>
      <w:r>
        <w:rPr>
          <w:rFonts w:ascii="仿宋_GB2312" w:hAnsi="仿宋" w:eastAsia="仿宋_GB2312"/>
          <w:spacing w:val="-2"/>
          <w:sz w:val="32"/>
          <w:szCs w:val="32"/>
        </w:rPr>
        <w:t>20</w:t>
      </w:r>
      <w:r>
        <w:rPr>
          <w:rFonts w:hint="eastAsia" w:ascii="仿宋_GB2312" w:hAnsi="仿宋" w:eastAsia="仿宋_GB2312"/>
          <w:spacing w:val="-2"/>
          <w:sz w:val="32"/>
          <w:szCs w:val="32"/>
          <w:lang w:val="en-US" w:eastAsia="zh-CN"/>
        </w:rPr>
        <w:t>20</w:t>
      </w:r>
      <w:r>
        <w:rPr>
          <w:rFonts w:hint="eastAsia" w:ascii="仿宋_GB2312" w:hAnsi="仿宋" w:eastAsia="仿宋_GB2312"/>
          <w:spacing w:val="-2"/>
          <w:sz w:val="32"/>
          <w:szCs w:val="32"/>
        </w:rPr>
        <w:t>年度信访局实际支出总计</w:t>
      </w:r>
      <w:r>
        <w:rPr>
          <w:rFonts w:hint="eastAsia" w:ascii="仿宋_GB2312" w:hAnsi="仿宋" w:eastAsia="仿宋_GB2312"/>
          <w:spacing w:val="-2"/>
          <w:sz w:val="32"/>
          <w:szCs w:val="32"/>
          <w:lang w:val="en-US" w:eastAsia="zh-CN"/>
        </w:rPr>
        <w:t>333.57万</w:t>
      </w:r>
      <w:r>
        <w:rPr>
          <w:rFonts w:hint="eastAsia" w:ascii="仿宋_GB2312" w:hAnsi="仿宋" w:eastAsia="仿宋_GB2312"/>
          <w:spacing w:val="-2"/>
          <w:sz w:val="32"/>
          <w:szCs w:val="32"/>
        </w:rPr>
        <w:t>元，其中：基本支出</w:t>
      </w:r>
      <w:r>
        <w:rPr>
          <w:rFonts w:hint="eastAsia" w:ascii="仿宋_GB2312" w:hAnsi="仿宋" w:eastAsia="仿宋_GB2312"/>
          <w:spacing w:val="-2"/>
          <w:sz w:val="32"/>
          <w:szCs w:val="32"/>
          <w:lang w:val="en-US" w:eastAsia="zh-CN"/>
        </w:rPr>
        <w:t>333.57</w:t>
      </w:r>
      <w:r>
        <w:rPr>
          <w:rFonts w:hint="eastAsia" w:ascii="仿宋_GB2312" w:hAnsi="仿宋" w:eastAsia="仿宋_GB2312"/>
          <w:spacing w:val="-2"/>
          <w:sz w:val="32"/>
          <w:szCs w:val="32"/>
        </w:rPr>
        <w:t>万元。年底</w:t>
      </w:r>
      <w:r>
        <w:rPr>
          <w:rFonts w:hint="eastAsia" w:ascii="仿宋_GB2312" w:hAnsi="仿宋" w:eastAsia="仿宋_GB2312"/>
          <w:spacing w:val="-2"/>
          <w:sz w:val="32"/>
          <w:szCs w:val="32"/>
          <w:lang w:eastAsia="zh-CN"/>
        </w:rPr>
        <w:t>无</w:t>
      </w:r>
      <w:r>
        <w:rPr>
          <w:rFonts w:hint="eastAsia" w:ascii="仿宋_GB2312" w:hAnsi="仿宋" w:eastAsia="仿宋_GB2312"/>
          <w:spacing w:val="-2"/>
          <w:sz w:val="32"/>
          <w:szCs w:val="32"/>
        </w:rPr>
        <w:t>结余。</w:t>
      </w:r>
    </w:p>
    <w:p>
      <w:pPr>
        <w:widowControl/>
        <w:shd w:val="clear" w:color="auto" w:fill="FFFFFF"/>
        <w:spacing w:line="560" w:lineRule="exact"/>
        <w:ind w:firstLine="635" w:firstLineChars="200"/>
        <w:rPr>
          <w:rFonts w:ascii="宋体"/>
          <w:b/>
          <w:spacing w:val="-2"/>
          <w:sz w:val="32"/>
          <w:szCs w:val="32"/>
        </w:rPr>
      </w:pPr>
      <w:r>
        <w:rPr>
          <w:rFonts w:hint="eastAsia" w:ascii="宋体" w:hAnsi="宋体"/>
          <w:b/>
          <w:spacing w:val="-2"/>
          <w:sz w:val="32"/>
          <w:szCs w:val="32"/>
        </w:rPr>
        <w:t>二、部门整体支出管理及使用情况</w:t>
      </w:r>
    </w:p>
    <w:p>
      <w:pPr>
        <w:widowControl/>
        <w:shd w:val="clear" w:color="auto" w:fill="FFFFFF"/>
        <w:spacing w:line="560" w:lineRule="exact"/>
        <w:ind w:firstLine="635" w:firstLineChars="200"/>
        <w:rPr>
          <w:rFonts w:ascii="仿宋" w:hAnsi="仿宋" w:eastAsia="仿宋"/>
          <w:b/>
          <w:spacing w:val="-2"/>
          <w:sz w:val="32"/>
          <w:szCs w:val="21"/>
        </w:rPr>
      </w:pPr>
      <w:r>
        <w:rPr>
          <w:rFonts w:hint="eastAsia" w:ascii="仿宋" w:hAnsi="仿宋" w:eastAsia="仿宋"/>
          <w:b/>
          <w:spacing w:val="-2"/>
          <w:sz w:val="32"/>
          <w:szCs w:val="32"/>
        </w:rPr>
        <w:t>（一）基本支出</w:t>
      </w:r>
    </w:p>
    <w:p>
      <w:pPr>
        <w:widowControl/>
        <w:shd w:val="clear" w:color="auto" w:fill="FFFFFF"/>
        <w:spacing w:line="560" w:lineRule="exact"/>
        <w:ind w:firstLine="640"/>
        <w:rPr>
          <w:rFonts w:ascii="仿宋_GB2312" w:hAnsi="仿宋" w:eastAsia="仿宋_GB2312"/>
          <w:spacing w:val="-2"/>
          <w:sz w:val="32"/>
          <w:szCs w:val="32"/>
        </w:rPr>
      </w:pPr>
      <w:r>
        <w:rPr>
          <w:rFonts w:ascii="仿宋_GB2312" w:hAnsi="仿宋" w:eastAsia="仿宋_GB2312"/>
          <w:spacing w:val="-2"/>
          <w:sz w:val="32"/>
          <w:szCs w:val="32"/>
        </w:rPr>
        <w:t>20</w:t>
      </w:r>
      <w:r>
        <w:rPr>
          <w:rFonts w:hint="eastAsia" w:ascii="仿宋_GB2312" w:hAnsi="仿宋" w:eastAsia="仿宋_GB2312"/>
          <w:spacing w:val="-2"/>
          <w:sz w:val="32"/>
          <w:szCs w:val="32"/>
          <w:lang w:val="en-US" w:eastAsia="zh-CN"/>
        </w:rPr>
        <w:t>20</w:t>
      </w:r>
      <w:r>
        <w:rPr>
          <w:rFonts w:hint="eastAsia" w:ascii="仿宋_GB2312" w:hAnsi="仿宋" w:eastAsia="仿宋_GB2312"/>
          <w:spacing w:val="-2"/>
          <w:sz w:val="32"/>
          <w:szCs w:val="32"/>
        </w:rPr>
        <w:t>年我局基本支出：</w:t>
      </w:r>
      <w:r>
        <w:rPr>
          <w:rFonts w:hint="eastAsia" w:ascii="仿宋_GB2312" w:hAnsi="仿宋" w:eastAsia="仿宋_GB2312"/>
          <w:spacing w:val="-2"/>
          <w:sz w:val="32"/>
          <w:szCs w:val="32"/>
          <w:lang w:val="en-US" w:eastAsia="zh-CN"/>
        </w:rPr>
        <w:t>333.57</w:t>
      </w:r>
      <w:r>
        <w:rPr>
          <w:rFonts w:hint="eastAsia" w:ascii="仿宋_GB2312" w:hAnsi="仿宋" w:eastAsia="仿宋_GB2312"/>
          <w:spacing w:val="-2"/>
          <w:sz w:val="32"/>
          <w:szCs w:val="32"/>
        </w:rPr>
        <w:t>万元，基中：工资福利经费支出</w:t>
      </w:r>
      <w:r>
        <w:rPr>
          <w:rFonts w:hint="eastAsia" w:ascii="仿宋_GB2312" w:hAnsi="仿宋" w:eastAsia="仿宋_GB2312"/>
          <w:spacing w:val="-2"/>
          <w:sz w:val="32"/>
          <w:szCs w:val="32"/>
          <w:lang w:val="en-US" w:eastAsia="zh-CN"/>
        </w:rPr>
        <w:t>192.24</w:t>
      </w:r>
      <w:r>
        <w:rPr>
          <w:rFonts w:hint="eastAsia" w:ascii="仿宋_GB2312" w:hAnsi="仿宋" w:eastAsia="仿宋_GB2312"/>
          <w:spacing w:val="-2"/>
          <w:sz w:val="32"/>
          <w:szCs w:val="32"/>
        </w:rPr>
        <w:t>万元；日常工用经费支出</w:t>
      </w:r>
      <w:r>
        <w:rPr>
          <w:rFonts w:hint="eastAsia" w:ascii="仿宋_GB2312" w:hAnsi="仿宋" w:eastAsia="仿宋_GB2312"/>
          <w:spacing w:val="-2"/>
          <w:sz w:val="32"/>
          <w:szCs w:val="32"/>
          <w:lang w:val="en-US" w:eastAsia="zh-CN"/>
        </w:rPr>
        <w:t>88.43</w:t>
      </w:r>
      <w:r>
        <w:rPr>
          <w:rFonts w:hint="eastAsia" w:ascii="仿宋_GB2312" w:hAnsi="仿宋" w:eastAsia="仿宋_GB2312"/>
          <w:spacing w:val="-2"/>
          <w:sz w:val="32"/>
          <w:szCs w:val="32"/>
        </w:rPr>
        <w:t>万元；对个人和家庭的补助</w:t>
      </w:r>
      <w:r>
        <w:rPr>
          <w:rFonts w:hint="eastAsia" w:ascii="仿宋_GB2312" w:hAnsi="仿宋" w:eastAsia="仿宋_GB2312"/>
          <w:color w:val="000000" w:themeColor="text1"/>
          <w:spacing w:val="-2"/>
          <w:sz w:val="32"/>
          <w:szCs w:val="32"/>
          <w:lang w:val="en-US" w:eastAsia="zh-CN"/>
        </w:rPr>
        <w:t>50.79</w:t>
      </w:r>
      <w:r>
        <w:rPr>
          <w:rFonts w:hint="eastAsia" w:ascii="仿宋_GB2312" w:hAnsi="仿宋" w:eastAsia="仿宋_GB2312"/>
          <w:spacing w:val="-2"/>
          <w:sz w:val="32"/>
          <w:szCs w:val="32"/>
        </w:rPr>
        <w:t>万元。“三公经费”预算支出</w:t>
      </w:r>
      <w:r>
        <w:rPr>
          <w:rFonts w:hint="eastAsia" w:ascii="仿宋_GB2312" w:hAnsi="仿宋" w:eastAsia="仿宋_GB2312"/>
          <w:spacing w:val="-2"/>
          <w:sz w:val="32"/>
          <w:szCs w:val="32"/>
          <w:lang w:val="en-US" w:eastAsia="zh-CN"/>
        </w:rPr>
        <w:t>1.8</w:t>
      </w:r>
      <w:r>
        <w:rPr>
          <w:rFonts w:hint="eastAsia" w:ascii="仿宋_GB2312" w:hAnsi="仿宋" w:eastAsia="仿宋_GB2312"/>
          <w:spacing w:val="-2"/>
          <w:sz w:val="32"/>
          <w:szCs w:val="32"/>
        </w:rPr>
        <w:t>万元，实际支出</w:t>
      </w:r>
      <w:r>
        <w:rPr>
          <w:rFonts w:hint="eastAsia" w:ascii="仿宋_GB2312" w:hAnsi="仿宋" w:eastAsia="仿宋_GB2312"/>
          <w:spacing w:val="-2"/>
          <w:sz w:val="32"/>
          <w:szCs w:val="32"/>
          <w:lang w:val="en-US" w:eastAsia="zh-CN"/>
        </w:rPr>
        <w:t>6.29</w:t>
      </w:r>
      <w:r>
        <w:rPr>
          <w:rFonts w:hint="eastAsia" w:ascii="仿宋_GB2312" w:hAnsi="仿宋" w:eastAsia="仿宋_GB2312"/>
          <w:spacing w:val="-2"/>
          <w:sz w:val="32"/>
          <w:szCs w:val="32"/>
        </w:rPr>
        <w:t>万元，</w:t>
      </w:r>
      <w:r>
        <w:rPr>
          <w:rFonts w:hint="eastAsia" w:ascii="仿宋_GB2312" w:hAnsi="仿宋" w:eastAsia="仿宋_GB2312"/>
          <w:spacing w:val="-2"/>
          <w:sz w:val="32"/>
          <w:szCs w:val="32"/>
          <w:lang w:eastAsia="zh-CN"/>
        </w:rPr>
        <w:t>超过年初预算，主要原因是年初预算资金有限，信访专项工作经费没有预算到本级，因此“三公经费”的预算没有得到合理的安排，使用时再从信访专项工作经费中请款支付</w:t>
      </w:r>
      <w:r>
        <w:rPr>
          <w:rFonts w:hint="eastAsia" w:ascii="仿宋_GB2312" w:hAnsi="仿宋" w:eastAsia="仿宋_GB2312"/>
          <w:spacing w:val="-2"/>
          <w:sz w:val="32"/>
          <w:szCs w:val="32"/>
        </w:rPr>
        <w:t>。所有</w:t>
      </w:r>
      <w:r>
        <w:rPr>
          <w:rFonts w:ascii="仿宋_GB2312" w:hAnsi="仿宋" w:eastAsia="仿宋_GB2312"/>
          <w:spacing w:val="-2"/>
          <w:sz w:val="32"/>
          <w:szCs w:val="32"/>
        </w:rPr>
        <w:t xml:space="preserve"> </w:t>
      </w:r>
      <w:r>
        <w:rPr>
          <w:rFonts w:hint="eastAsia" w:ascii="仿宋_GB2312" w:hAnsi="仿宋" w:eastAsia="仿宋_GB2312"/>
          <w:spacing w:val="-2"/>
          <w:sz w:val="32"/>
          <w:szCs w:val="32"/>
        </w:rPr>
        <w:t>“三公经费”支出合法、合规。</w:t>
      </w:r>
    </w:p>
    <w:p>
      <w:pPr>
        <w:widowControl/>
        <w:shd w:val="clear" w:color="auto" w:fill="FFFFFF"/>
        <w:spacing w:line="560" w:lineRule="exact"/>
        <w:ind w:firstLine="640"/>
        <w:rPr>
          <w:rFonts w:ascii="楷体" w:hAnsi="楷体" w:eastAsia="楷体"/>
          <w:b/>
          <w:spacing w:val="-2"/>
          <w:sz w:val="32"/>
          <w:szCs w:val="21"/>
        </w:rPr>
      </w:pPr>
      <w:r>
        <w:rPr>
          <w:rFonts w:hint="eastAsia" w:ascii="楷体" w:hAnsi="楷体" w:eastAsia="楷体"/>
          <w:b/>
          <w:spacing w:val="-2"/>
          <w:sz w:val="32"/>
          <w:szCs w:val="32"/>
        </w:rPr>
        <w:t>（二）专项支出</w:t>
      </w:r>
    </w:p>
    <w:p>
      <w:pPr>
        <w:widowControl/>
        <w:shd w:val="clear" w:color="auto" w:fill="FFFFFF"/>
        <w:spacing w:line="560" w:lineRule="exact"/>
        <w:ind w:firstLine="640"/>
        <w:rPr>
          <w:rFonts w:ascii="仿宋_GB2312" w:hAnsi="仿宋" w:eastAsia="仿宋_GB2312"/>
          <w:spacing w:val="-2"/>
          <w:sz w:val="32"/>
          <w:szCs w:val="32"/>
        </w:rPr>
      </w:pPr>
      <w:r>
        <w:rPr>
          <w:rFonts w:hint="eastAsia" w:ascii="仿宋_GB2312" w:hAnsi="仿宋" w:eastAsia="仿宋_GB2312"/>
          <w:spacing w:val="-2"/>
          <w:sz w:val="32"/>
          <w:szCs w:val="32"/>
          <w:lang w:val="en-US" w:eastAsia="zh-CN"/>
        </w:rPr>
        <w:t>2020</w:t>
      </w:r>
      <w:r>
        <w:rPr>
          <w:rFonts w:hint="eastAsia" w:ascii="仿宋_GB2312" w:hAnsi="仿宋" w:eastAsia="仿宋_GB2312"/>
          <w:spacing w:val="-2"/>
          <w:sz w:val="32"/>
          <w:szCs w:val="32"/>
        </w:rPr>
        <w:t>年初预算安排专项资金</w:t>
      </w:r>
      <w:r>
        <w:rPr>
          <w:rFonts w:hint="eastAsia" w:ascii="仿宋_GB2312" w:hAnsi="仿宋" w:eastAsia="仿宋_GB2312"/>
          <w:spacing w:val="-2"/>
          <w:sz w:val="32"/>
          <w:szCs w:val="32"/>
          <w:lang w:val="en-US" w:eastAsia="zh-CN"/>
        </w:rPr>
        <w:t>0</w:t>
      </w:r>
      <w:r>
        <w:rPr>
          <w:rFonts w:hint="eastAsia" w:ascii="仿宋_GB2312" w:hAnsi="仿宋" w:eastAsia="仿宋_GB2312"/>
          <w:spacing w:val="-2"/>
          <w:sz w:val="32"/>
          <w:szCs w:val="32"/>
        </w:rPr>
        <w:t>万元。</w:t>
      </w:r>
    </w:p>
    <w:p>
      <w:pPr>
        <w:widowControl/>
        <w:shd w:val="clear" w:color="auto" w:fill="FFFFFF"/>
        <w:spacing w:line="560" w:lineRule="exact"/>
        <w:ind w:firstLine="640"/>
        <w:rPr>
          <w:rFonts w:ascii="宋体"/>
          <w:b/>
          <w:spacing w:val="-2"/>
          <w:sz w:val="32"/>
          <w:szCs w:val="32"/>
        </w:rPr>
      </w:pPr>
      <w:r>
        <w:rPr>
          <w:rFonts w:hint="eastAsia" w:ascii="宋体" w:hAnsi="宋体"/>
          <w:b/>
          <w:spacing w:val="-2"/>
          <w:sz w:val="32"/>
          <w:szCs w:val="32"/>
        </w:rPr>
        <w:t>三、资产管理情况</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结合我局实际，对全局国有资产建立资产卡片和实物资产明细账，按财务制度对各类资产计价方式的相关规定，及时进行账务处理，确保账实相符。如需新购置资产，严格按照政府采购程序报批，保证了局机关相关工作的正常进行。</w:t>
      </w:r>
    </w:p>
    <w:p>
      <w:pPr>
        <w:widowControl/>
        <w:shd w:val="clear" w:color="auto" w:fill="FFFFFF"/>
        <w:spacing w:line="560" w:lineRule="exact"/>
        <w:ind w:firstLine="635" w:firstLineChars="200"/>
        <w:rPr>
          <w:rFonts w:ascii="宋体"/>
          <w:b/>
          <w:spacing w:val="-2"/>
          <w:sz w:val="32"/>
          <w:szCs w:val="32"/>
        </w:rPr>
      </w:pPr>
      <w:r>
        <w:rPr>
          <w:rFonts w:hint="eastAsia" w:ascii="宋体" w:hAnsi="宋体"/>
          <w:b/>
          <w:spacing w:val="-2"/>
          <w:sz w:val="32"/>
          <w:szCs w:val="32"/>
        </w:rPr>
        <w:t>四、部门整体支出绩效情况</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根据20</w:t>
      </w:r>
      <w:r>
        <w:rPr>
          <w:rFonts w:hint="eastAsia" w:ascii="仿宋_GB2312" w:eastAsia="仿宋_GB2312"/>
          <w:sz w:val="32"/>
          <w:szCs w:val="32"/>
          <w:lang w:val="en-US" w:eastAsia="zh-CN"/>
        </w:rPr>
        <w:t>20</w:t>
      </w:r>
      <w:r>
        <w:rPr>
          <w:rFonts w:hint="eastAsia" w:ascii="仿宋_GB2312" w:eastAsia="仿宋_GB2312"/>
          <w:sz w:val="32"/>
          <w:szCs w:val="32"/>
        </w:rPr>
        <w:t>年度部门整体支出绩效评价指标评价，最后得分</w:t>
      </w:r>
      <w:r>
        <w:rPr>
          <w:rFonts w:hint="eastAsia" w:ascii="仿宋_GB2312" w:eastAsia="仿宋_GB2312"/>
          <w:sz w:val="32"/>
          <w:szCs w:val="32"/>
          <w:lang w:val="en-US" w:eastAsia="zh-CN"/>
        </w:rPr>
        <w:t>79.2</w:t>
      </w:r>
      <w:r>
        <w:rPr>
          <w:rFonts w:hint="eastAsia" w:ascii="仿宋_GB2312" w:eastAsia="仿宋_GB2312"/>
          <w:sz w:val="32"/>
          <w:szCs w:val="32"/>
        </w:rPr>
        <w:t>分，属</w:t>
      </w:r>
      <w:r>
        <w:rPr>
          <w:rFonts w:hint="eastAsia" w:ascii="仿宋_GB2312" w:eastAsia="仿宋_GB2312"/>
          <w:sz w:val="32"/>
          <w:szCs w:val="32"/>
          <w:lang w:eastAsia="zh-CN"/>
        </w:rPr>
        <w:t>合格</w:t>
      </w:r>
      <w:r>
        <w:rPr>
          <w:rFonts w:hint="eastAsia" w:ascii="仿宋_GB2312" w:eastAsia="仿宋_GB2312"/>
          <w:sz w:val="32"/>
          <w:szCs w:val="32"/>
        </w:rPr>
        <w:t>。</w:t>
      </w:r>
    </w:p>
    <w:p>
      <w:pPr>
        <w:pStyle w:val="4"/>
        <w:spacing w:before="0" w:beforeAutospacing="0" w:after="0" w:afterAutospacing="0" w:line="560" w:lineRule="exact"/>
        <w:ind w:firstLine="635" w:firstLineChars="200"/>
        <w:rPr>
          <w:b/>
          <w:spacing w:val="-2"/>
          <w:sz w:val="32"/>
          <w:szCs w:val="32"/>
        </w:rPr>
      </w:pPr>
      <w:r>
        <w:rPr>
          <w:rFonts w:hint="eastAsia"/>
          <w:b/>
          <w:spacing w:val="-2"/>
          <w:sz w:val="32"/>
          <w:szCs w:val="32"/>
        </w:rPr>
        <w:t>五、存在的主要问题</w:t>
      </w:r>
    </w:p>
    <w:p>
      <w:pPr>
        <w:pStyle w:val="4"/>
        <w:spacing w:before="0" w:beforeAutospacing="0" w:after="0" w:afterAutospacing="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一是</w:t>
      </w:r>
      <w:r>
        <w:rPr>
          <w:rFonts w:hint="eastAsia" w:ascii="仿宋_GB2312" w:eastAsia="仿宋_GB2312"/>
          <w:sz w:val="32"/>
          <w:szCs w:val="32"/>
          <w:lang w:eastAsia="zh-CN"/>
        </w:rPr>
        <w:t>公用经费与“三公经费”的控制率超出，主要是以前年度的信访专项工作经费及驻京劝返维稳工作经费的预算由县财政局分管业务股室统筹安排，加上年初预算指标有限，实际使用时只有追加指标，导致控制率超出</w:t>
      </w:r>
      <w:r>
        <w:rPr>
          <w:rFonts w:hint="eastAsia" w:ascii="仿宋_GB2312" w:eastAsia="仿宋_GB2312"/>
          <w:sz w:val="32"/>
          <w:szCs w:val="32"/>
        </w:rPr>
        <w:t>。</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二是单位内部管理制度</w:t>
      </w:r>
      <w:r>
        <w:rPr>
          <w:rFonts w:hint="eastAsia" w:ascii="仿宋_GB2312" w:eastAsia="仿宋_GB2312"/>
          <w:sz w:val="32"/>
          <w:szCs w:val="32"/>
          <w:lang w:eastAsia="zh-CN"/>
        </w:rPr>
        <w:t>的执行力有待加强</w:t>
      </w:r>
      <w:r>
        <w:rPr>
          <w:rFonts w:hint="eastAsia" w:ascii="仿宋_GB2312" w:eastAsia="仿宋_GB2312"/>
          <w:sz w:val="32"/>
          <w:szCs w:val="32"/>
        </w:rPr>
        <w:t>。</w:t>
      </w:r>
    </w:p>
    <w:p>
      <w:pPr>
        <w:pStyle w:val="4"/>
        <w:spacing w:before="0" w:beforeAutospacing="0" w:after="0" w:afterAutospacing="0" w:line="560" w:lineRule="exact"/>
        <w:ind w:firstLine="635" w:firstLineChars="200"/>
        <w:rPr>
          <w:b/>
          <w:spacing w:val="-2"/>
          <w:sz w:val="32"/>
          <w:szCs w:val="32"/>
        </w:rPr>
      </w:pPr>
      <w:r>
        <w:rPr>
          <w:rFonts w:hint="eastAsia"/>
          <w:b/>
          <w:spacing w:val="-2"/>
          <w:sz w:val="32"/>
          <w:szCs w:val="32"/>
        </w:rPr>
        <w:t>六、改进措施和有关建议</w:t>
      </w:r>
    </w:p>
    <w:p>
      <w:pPr>
        <w:pStyle w:val="4"/>
        <w:spacing w:before="0" w:beforeAutospacing="0" w:after="0" w:afterAutospacing="0" w:line="560" w:lineRule="exact"/>
        <w:ind w:firstLine="632" w:firstLineChars="200"/>
        <w:rPr>
          <w:rFonts w:ascii="仿宋_GB2312" w:eastAsia="仿宋_GB2312"/>
          <w:sz w:val="32"/>
          <w:szCs w:val="32"/>
        </w:rPr>
      </w:pPr>
      <w:r>
        <w:rPr>
          <w:rFonts w:hint="eastAsia" w:ascii="仿宋_GB2312" w:hAnsi="仿宋" w:eastAsia="仿宋_GB2312"/>
          <w:spacing w:val="-2"/>
          <w:sz w:val="32"/>
          <w:szCs w:val="32"/>
        </w:rPr>
        <w:t>进一步加强资金</w:t>
      </w:r>
      <w:r>
        <w:rPr>
          <w:rFonts w:hint="eastAsia" w:ascii="仿宋_GB2312" w:hAnsi="仿宋" w:eastAsia="仿宋_GB2312"/>
          <w:spacing w:val="-2"/>
          <w:sz w:val="32"/>
          <w:szCs w:val="32"/>
          <w:lang w:eastAsia="zh-CN"/>
        </w:rPr>
        <w:t>使用</w:t>
      </w:r>
      <w:r>
        <w:rPr>
          <w:rFonts w:hint="eastAsia" w:ascii="仿宋_GB2312" w:hAnsi="仿宋" w:eastAsia="仿宋_GB2312"/>
          <w:spacing w:val="-2"/>
          <w:sz w:val="32"/>
          <w:szCs w:val="32"/>
        </w:rPr>
        <w:t>管理，</w:t>
      </w:r>
      <w:r>
        <w:rPr>
          <w:rFonts w:hint="eastAsia" w:ascii="仿宋_GB2312" w:eastAsia="仿宋_GB2312"/>
          <w:sz w:val="32"/>
          <w:szCs w:val="32"/>
        </w:rPr>
        <w:t>建立预算支出绩效评价长效机制，健全各项管理制度，认真贯彻落实文件精神，进一步深化改革、创新思维，竭力推进预算支出绩效管理工作上新台阶。</w:t>
      </w:r>
    </w:p>
    <w:p>
      <w:pPr>
        <w:spacing w:line="560" w:lineRule="exact"/>
        <w:rPr>
          <w:rFonts w:hint="eastAsia"/>
        </w:rPr>
      </w:pPr>
    </w:p>
    <w:p>
      <w:pPr>
        <w:spacing w:line="560" w:lineRule="exact"/>
        <w:rPr>
          <w:rFonts w:hint="eastAsia"/>
        </w:rPr>
      </w:pPr>
    </w:p>
    <w:p>
      <w:pPr>
        <w:spacing w:line="560" w:lineRule="exact"/>
        <w:rPr>
          <w:rFonts w:hint="eastAsia" w:ascii="仿宋" w:hAnsi="仿宋" w:eastAsia="仿宋"/>
          <w:sz w:val="32"/>
          <w:szCs w:val="32"/>
        </w:rPr>
      </w:pPr>
      <w:r>
        <w:rPr>
          <w:rFonts w:hint="eastAsia"/>
        </w:rPr>
        <w:t xml:space="preserve">                                             </w:t>
      </w:r>
      <w:r>
        <w:rPr>
          <w:rFonts w:hint="eastAsia" w:ascii="仿宋" w:hAnsi="仿宋" w:eastAsia="仿宋"/>
          <w:sz w:val="32"/>
          <w:szCs w:val="32"/>
        </w:rPr>
        <w:t>芷江侗族自治县信访局</w:t>
      </w:r>
    </w:p>
    <w:p>
      <w:pPr>
        <w:spacing w:line="560" w:lineRule="exact"/>
        <w:ind w:firstLine="4760" w:firstLineChars="1700"/>
        <w:rPr>
          <w:rFonts w:hint="eastAsia" w:ascii="仿宋" w:hAnsi="仿宋" w:eastAsia="仿宋"/>
          <w:spacing w:val="-20"/>
          <w:sz w:val="32"/>
          <w:szCs w:val="32"/>
        </w:rPr>
      </w:pPr>
      <w:r>
        <w:rPr>
          <w:rFonts w:hint="eastAsia" w:ascii="仿宋" w:hAnsi="仿宋" w:eastAsia="仿宋"/>
          <w:spacing w:val="-20"/>
          <w:sz w:val="32"/>
          <w:szCs w:val="32"/>
        </w:rPr>
        <w:t>二0</w:t>
      </w:r>
      <w:r>
        <w:rPr>
          <w:rFonts w:hint="eastAsia" w:ascii="仿宋" w:hAnsi="仿宋" w:eastAsia="仿宋"/>
          <w:spacing w:val="-20"/>
          <w:sz w:val="32"/>
          <w:szCs w:val="32"/>
          <w:lang w:eastAsia="zh-CN"/>
        </w:rPr>
        <w:t>二</w:t>
      </w:r>
      <w:r>
        <w:rPr>
          <w:rFonts w:hint="eastAsia" w:ascii="仿宋" w:hAnsi="仿宋" w:eastAsia="仿宋"/>
          <w:spacing w:val="-20"/>
          <w:sz w:val="32"/>
          <w:szCs w:val="32"/>
          <w:lang w:val="en-US" w:eastAsia="zh-CN"/>
        </w:rPr>
        <w:t>一</w:t>
      </w:r>
      <w:r>
        <w:rPr>
          <w:rFonts w:hint="eastAsia" w:ascii="仿宋" w:hAnsi="仿宋" w:eastAsia="仿宋"/>
          <w:spacing w:val="-20"/>
          <w:sz w:val="32"/>
          <w:szCs w:val="32"/>
        </w:rPr>
        <w:t>年</w:t>
      </w:r>
      <w:r>
        <w:rPr>
          <w:rFonts w:hint="eastAsia" w:ascii="仿宋" w:hAnsi="仿宋" w:eastAsia="仿宋"/>
          <w:spacing w:val="-20"/>
          <w:sz w:val="32"/>
          <w:szCs w:val="32"/>
          <w:lang w:eastAsia="zh-CN"/>
        </w:rPr>
        <w:t>七</w:t>
      </w:r>
      <w:r>
        <w:rPr>
          <w:rFonts w:hint="eastAsia" w:ascii="仿宋" w:hAnsi="仿宋" w:eastAsia="仿宋"/>
          <w:spacing w:val="-20"/>
          <w:sz w:val="32"/>
          <w:szCs w:val="32"/>
        </w:rPr>
        <w:t>月</w:t>
      </w:r>
      <w:r>
        <w:rPr>
          <w:rFonts w:hint="eastAsia" w:ascii="仿宋" w:hAnsi="仿宋" w:eastAsia="仿宋"/>
          <w:spacing w:val="-20"/>
          <w:sz w:val="32"/>
          <w:szCs w:val="32"/>
          <w:lang w:eastAsia="zh-CN"/>
        </w:rPr>
        <w:t>十二</w:t>
      </w:r>
      <w:r>
        <w:rPr>
          <w:rFonts w:hint="eastAsia" w:ascii="仿宋" w:hAnsi="仿宋" w:eastAsia="仿宋"/>
          <w:spacing w:val="-20"/>
          <w:sz w:val="32"/>
          <w:szCs w:val="32"/>
        </w:rPr>
        <w:t>日</w:t>
      </w:r>
    </w:p>
    <w:p>
      <w:pPr>
        <w:spacing w:line="560" w:lineRule="exact"/>
        <w:ind w:firstLine="4760" w:firstLineChars="1700"/>
        <w:rPr>
          <w:rFonts w:hint="eastAsia" w:ascii="仿宋" w:hAnsi="仿宋" w:eastAsia="仿宋"/>
          <w:spacing w:val="-20"/>
          <w:sz w:val="32"/>
          <w:szCs w:val="32"/>
        </w:rPr>
      </w:pPr>
    </w:p>
    <w:p>
      <w:pPr>
        <w:spacing w:line="560" w:lineRule="exact"/>
        <w:ind w:firstLine="4760" w:firstLineChars="1700"/>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p>
      <w:pPr>
        <w:spacing w:line="560" w:lineRule="exact"/>
        <w:rPr>
          <w:rFonts w:hint="eastAsia" w:ascii="仿宋" w:hAnsi="仿宋" w:eastAsia="仿宋"/>
          <w:spacing w:val="-20"/>
          <w:sz w:val="32"/>
          <w:szCs w:val="32"/>
          <w:lang w:val="en-US" w:eastAsia="zh-CN"/>
        </w:rPr>
      </w:pPr>
    </w:p>
    <w:p>
      <w:pPr>
        <w:spacing w:line="560" w:lineRule="exact"/>
        <w:rPr>
          <w:rFonts w:hint="eastAsia" w:ascii="仿宋" w:hAnsi="仿宋" w:eastAsia="仿宋"/>
          <w:spacing w:val="-20"/>
          <w:sz w:val="32"/>
          <w:szCs w:val="32"/>
          <w:lang w:val="en-US" w:eastAsia="zh-CN"/>
        </w:rPr>
      </w:pPr>
    </w:p>
    <w:tbl>
      <w:tblPr>
        <w:tblW w:w="9675" w:type="dxa"/>
        <w:tblInd w:w="93" w:type="dxa"/>
        <w:shd w:val="clear"/>
        <w:tblLayout w:type="fixed"/>
        <w:tblCellMar>
          <w:top w:w="0" w:type="dxa"/>
          <w:left w:w="108" w:type="dxa"/>
          <w:bottom w:w="0" w:type="dxa"/>
          <w:right w:w="108" w:type="dxa"/>
        </w:tblCellMar>
      </w:tblPr>
      <w:tblGrid>
        <w:gridCol w:w="495"/>
        <w:gridCol w:w="490"/>
        <w:gridCol w:w="500"/>
        <w:gridCol w:w="420"/>
        <w:gridCol w:w="1110"/>
        <w:gridCol w:w="470"/>
        <w:gridCol w:w="2590"/>
        <w:gridCol w:w="3010"/>
        <w:gridCol w:w="590"/>
      </w:tblGrid>
      <w:tr>
        <w:tblPrEx>
          <w:shd w:val="clear"/>
          <w:tblCellMar>
            <w:top w:w="0" w:type="dxa"/>
            <w:left w:w="108" w:type="dxa"/>
            <w:bottom w:w="0" w:type="dxa"/>
            <w:right w:w="108" w:type="dxa"/>
          </w:tblCellMar>
        </w:tblPrEx>
        <w:trPr>
          <w:trHeight w:val="285" w:hRule="atLeast"/>
        </w:trPr>
        <w:tc>
          <w:tcPr>
            <w:tcW w:w="1485" w:type="dxa"/>
            <w:gridSpan w:val="3"/>
            <w:tcBorders>
              <w:top w:val="nil"/>
              <w:left w:val="nil"/>
              <w:bottom w:val="nil"/>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附件2</w:t>
            </w:r>
          </w:p>
        </w:tc>
        <w:tc>
          <w:tcPr>
            <w:tcW w:w="42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11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7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59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01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675" w:hRule="atLeast"/>
        </w:trPr>
        <w:tc>
          <w:tcPr>
            <w:tcW w:w="9675" w:type="dxa"/>
            <w:gridSpan w:val="9"/>
            <w:tcBorders>
              <w:top w:val="nil"/>
              <w:left w:val="nil"/>
              <w:bottom w:val="single" w:color="000000" w:sz="4" w:space="0"/>
              <w:right w:val="nil"/>
            </w:tcBorders>
            <w:shd w:val="clear"/>
            <w:noWrap/>
            <w:vAlign w:val="top"/>
          </w:tcPr>
          <w:p>
            <w:pPr>
              <w:keepNext w:val="0"/>
              <w:keepLines w:val="0"/>
              <w:widowControl/>
              <w:suppressLineNumbers w:val="0"/>
              <w:jc w:val="center"/>
              <w:textAlignment w:val="top"/>
              <w:rPr>
                <w:rFonts w:ascii="方正小标宋_GBK" w:hAnsi="方正小标宋_GBK" w:eastAsia="方正小标宋_GBK" w:cs="方正小标宋_GBK"/>
                <w:b/>
                <w:bCs/>
                <w:i w:val="0"/>
                <w:iCs w:val="0"/>
                <w:color w:val="000000"/>
                <w:sz w:val="36"/>
                <w:szCs w:val="36"/>
                <w:u w:val="none"/>
              </w:rPr>
            </w:pPr>
            <w:r>
              <w:rPr>
                <w:rFonts w:hint="default" w:ascii="方正小标宋_GBK" w:hAnsi="方正小标宋_GBK" w:eastAsia="方正小标宋_GBK" w:cs="方正小标宋_GBK"/>
                <w:b/>
                <w:bCs/>
                <w:i w:val="0"/>
                <w:iCs w:val="0"/>
                <w:color w:val="000000"/>
                <w:kern w:val="0"/>
                <w:sz w:val="36"/>
                <w:szCs w:val="36"/>
                <w:u w:val="none"/>
                <w:bdr w:val="none" w:color="auto" w:sz="0" w:space="0"/>
                <w:lang w:val="en-US" w:eastAsia="zh-CN" w:bidi="ar"/>
              </w:rPr>
              <w:t>部门整体支出绩效评价指标表</w:t>
            </w:r>
          </w:p>
        </w:tc>
      </w:tr>
      <w:tr>
        <w:tblPrEx>
          <w:shd w:val="clear"/>
          <w:tblCellMar>
            <w:top w:w="0" w:type="dxa"/>
            <w:left w:w="108" w:type="dxa"/>
            <w:bottom w:w="0" w:type="dxa"/>
            <w:right w:w="108" w:type="dxa"/>
          </w:tblCellMar>
        </w:tblPrEx>
        <w:trPr>
          <w:trHeight w:val="285"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一级指标</w:t>
            </w:r>
          </w:p>
        </w:tc>
        <w:tc>
          <w:tcPr>
            <w:tcW w:w="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分值</w:t>
            </w:r>
          </w:p>
        </w:tc>
        <w:tc>
          <w:tcPr>
            <w:tcW w:w="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二级指标</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分值</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三级</w:t>
            </w:r>
          </w:p>
        </w:tc>
        <w:tc>
          <w:tcPr>
            <w:tcW w:w="4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分值</w:t>
            </w:r>
          </w:p>
        </w:tc>
        <w:tc>
          <w:tcPr>
            <w:tcW w:w="2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评价标准</w:t>
            </w:r>
          </w:p>
        </w:tc>
        <w:tc>
          <w:tcPr>
            <w:tcW w:w="30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指标说明</w:t>
            </w:r>
          </w:p>
        </w:tc>
        <w:tc>
          <w:tcPr>
            <w:tcW w:w="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得分</w:t>
            </w:r>
          </w:p>
        </w:tc>
      </w:tr>
      <w:tr>
        <w:tblPrEx>
          <w:shd w:val="clear"/>
          <w:tblCellMar>
            <w:top w:w="0" w:type="dxa"/>
            <w:left w:w="108" w:type="dxa"/>
            <w:bottom w:w="0" w:type="dxa"/>
            <w:right w:w="108" w:type="dxa"/>
          </w:tblCellMar>
        </w:tblPrEx>
        <w:trPr>
          <w:trHeight w:val="63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指标</w:t>
            </w:r>
          </w:p>
        </w:tc>
        <w:tc>
          <w:tcPr>
            <w:tcW w:w="4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30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shd w:val="clear"/>
          <w:tblCellMar>
            <w:top w:w="0" w:type="dxa"/>
            <w:left w:w="108" w:type="dxa"/>
            <w:bottom w:w="0" w:type="dxa"/>
            <w:right w:w="108" w:type="dxa"/>
          </w:tblCellMar>
        </w:tblPrEx>
        <w:trPr>
          <w:trHeight w:val="12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投入</w:t>
            </w:r>
          </w:p>
        </w:tc>
        <w:tc>
          <w:tcPr>
            <w:tcW w:w="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w:t>
            </w:r>
          </w:p>
        </w:tc>
        <w:tc>
          <w:tcPr>
            <w:tcW w:w="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预算配置</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13</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在职人员控制率</w:t>
            </w:r>
          </w:p>
        </w:tc>
        <w:tc>
          <w:tcPr>
            <w:tcW w:w="4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259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以100%为标准。在职人员控制率</w:t>
            </w:r>
            <w:r>
              <w:rPr>
                <w:rStyle w:val="13"/>
                <w:bdr w:val="none" w:color="auto" w:sz="0" w:space="0"/>
                <w:lang w:val="en-US" w:eastAsia="zh-CN" w:bidi="ar"/>
              </w:rPr>
              <w:t>≦</w:t>
            </w:r>
            <w:r>
              <w:rPr>
                <w:rStyle w:val="14"/>
                <w:rFonts w:hAnsi="宋体"/>
                <w:bdr w:val="none" w:color="auto" w:sz="0" w:space="0"/>
                <w:lang w:val="en-US" w:eastAsia="zh-CN" w:bidi="ar"/>
              </w:rPr>
              <w:t>100%，计5分；每超过一个百分点扣0.5分，扣完为止。</w:t>
            </w:r>
          </w:p>
        </w:tc>
        <w:tc>
          <w:tcPr>
            <w:tcW w:w="30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在职人员控制率=（在职人员数/编制数）×100%，在职人员数：部门（单位）实际在职人数，以财政确定的部门决算编制口径为准。</w:t>
            </w:r>
          </w:p>
        </w:tc>
        <w:tc>
          <w:tcPr>
            <w:tcW w:w="59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shd w:val="clear"/>
          <w:tblCellMar>
            <w:top w:w="0" w:type="dxa"/>
            <w:left w:w="108" w:type="dxa"/>
            <w:bottom w:w="0" w:type="dxa"/>
            <w:right w:w="108" w:type="dxa"/>
          </w:tblCellMar>
        </w:tblPrEx>
        <w:trPr>
          <w:trHeight w:val="70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vMerge w:val="continue"/>
            <w:tcBorders>
              <w:top w:val="single" w:color="000000" w:sz="4" w:space="0"/>
              <w:left w:val="single" w:color="000000" w:sz="4" w:space="0"/>
              <w:bottom w:val="single" w:color="000000" w:sz="4" w:space="0"/>
              <w:right w:val="nil"/>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30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编制数：机构编制部门核定批复的部门（单位）的人员编制数。</w:t>
            </w:r>
          </w:p>
        </w:tc>
        <w:tc>
          <w:tcPr>
            <w:tcW w:w="5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111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“三公经费”变动率</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“三公经费”变动率</w:t>
            </w:r>
            <w:r>
              <w:rPr>
                <w:rStyle w:val="13"/>
                <w:bdr w:val="none" w:color="auto" w:sz="0" w:space="0"/>
                <w:lang w:val="en-US" w:eastAsia="zh-CN" w:bidi="ar"/>
              </w:rPr>
              <w:t>≦</w:t>
            </w:r>
            <w:r>
              <w:rPr>
                <w:rStyle w:val="14"/>
                <w:rFonts w:hAnsi="宋体"/>
                <w:bdr w:val="none" w:color="auto" w:sz="0" w:space="0"/>
                <w:lang w:val="en-US" w:eastAsia="zh-CN" w:bidi="ar"/>
              </w:rPr>
              <w:t>0,计8分；“三公经费”＞0，每超过一个百分点扣0.8分，扣完为止。</w:t>
            </w:r>
          </w:p>
        </w:tc>
        <w:tc>
          <w:tcPr>
            <w:tcW w:w="30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“三公经费”变动率=[（本年度“三公经费”预算数-上年度“三公经费”预算数）/上年度“三公经费”预算数]×100%</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r>
      <w:tr>
        <w:tblPrEx>
          <w:shd w:val="clear"/>
          <w:tblCellMar>
            <w:top w:w="0" w:type="dxa"/>
            <w:left w:w="108" w:type="dxa"/>
            <w:bottom w:w="0" w:type="dxa"/>
            <w:right w:w="108" w:type="dxa"/>
          </w:tblCellMar>
        </w:tblPrEx>
        <w:trPr>
          <w:trHeight w:val="1005"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过                                                                                                                                       程</w:t>
            </w:r>
          </w:p>
        </w:tc>
        <w:tc>
          <w:tcPr>
            <w:tcW w:w="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61</w:t>
            </w:r>
          </w:p>
        </w:tc>
        <w:tc>
          <w:tcPr>
            <w:tcW w:w="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预算执行</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预算完成率</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100%计满分，每低于5%扣2分，扣完为止。</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预算完成率=（上年结转+年初预算+本年追加预算-年末结余）/（上年结转+年初预算+本年追加预算）×100%。</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shd w:val="clear"/>
          <w:tblCellMar>
            <w:top w:w="0" w:type="dxa"/>
            <w:left w:w="108" w:type="dxa"/>
            <w:bottom w:w="0" w:type="dxa"/>
            <w:right w:w="108" w:type="dxa"/>
          </w:tblCellMar>
        </w:tblPrEx>
        <w:trPr>
          <w:trHeight w:val="135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预算控制率</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预算控制率=0，计5分；0-10%（含），计4分；10-20%（含），计3分；20-30%（含），计2分；大于30%不得分。</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预算控制率=（本年追加预算/年初预算）×100%。</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shd w:val="clear"/>
          <w:tblCellMar>
            <w:top w:w="0" w:type="dxa"/>
            <w:left w:w="108" w:type="dxa"/>
            <w:bottom w:w="0" w:type="dxa"/>
            <w:right w:w="108" w:type="dxa"/>
          </w:tblCellMar>
        </w:tblPrEx>
        <w:trPr>
          <w:trHeight w:val="64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新建楼堂馆所面积控制率</w:t>
            </w:r>
          </w:p>
        </w:tc>
        <w:tc>
          <w:tcPr>
            <w:tcW w:w="4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2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100%以下（含）计满分，每超出5%扣2分，扣完为止。没有楼堂馆所项目的部门按满分计算。</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楼堂馆所面积控制率=实际建设面积/批准建设面积×100% 。</w:t>
            </w:r>
          </w:p>
        </w:tc>
        <w:tc>
          <w:tcPr>
            <w:tcW w:w="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shd w:val="clear"/>
          <w:tblCellMar>
            <w:top w:w="0" w:type="dxa"/>
            <w:left w:w="108" w:type="dxa"/>
            <w:bottom w:w="0" w:type="dxa"/>
            <w:right w:w="108" w:type="dxa"/>
          </w:tblCellMar>
        </w:tblPrEx>
        <w:trPr>
          <w:trHeight w:val="49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30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该指标以2020年完工的新建楼堂馆所为评价内容。</w:t>
            </w: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61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新建楼堂馆所投资概算控制率</w:t>
            </w:r>
          </w:p>
        </w:tc>
        <w:tc>
          <w:tcPr>
            <w:tcW w:w="4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259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100%以下（含）计满分，每超出5%扣2分，扣完为止。</w:t>
            </w:r>
          </w:p>
        </w:tc>
        <w:tc>
          <w:tcPr>
            <w:tcW w:w="30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楼堂馆所投资预算控制率=实际投资金额/批准投资金额×100% 。</w:t>
            </w:r>
          </w:p>
        </w:tc>
        <w:tc>
          <w:tcPr>
            <w:tcW w:w="59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shd w:val="clear"/>
          <w:tblCellMar>
            <w:top w:w="0" w:type="dxa"/>
            <w:left w:w="108" w:type="dxa"/>
            <w:bottom w:w="0" w:type="dxa"/>
            <w:right w:w="108" w:type="dxa"/>
          </w:tblCellMar>
        </w:tblPrEx>
        <w:trPr>
          <w:trHeight w:val="55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vMerge w:val="continue"/>
            <w:tcBorders>
              <w:top w:val="single" w:color="000000" w:sz="4" w:space="0"/>
              <w:left w:val="single" w:color="000000" w:sz="4" w:space="0"/>
              <w:bottom w:val="single" w:color="000000" w:sz="4" w:space="0"/>
              <w:right w:val="nil"/>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30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该指标以2020年完工的新建楼堂馆所为评价内容。</w:t>
            </w:r>
          </w:p>
        </w:tc>
        <w:tc>
          <w:tcPr>
            <w:tcW w:w="5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预算管理</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41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公用经费控制率</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100%以下（含）计满分，每超出1%扣1分，扣完为止。</w:t>
            </w:r>
          </w:p>
        </w:tc>
        <w:tc>
          <w:tcPr>
            <w:tcW w:w="30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公用经费控制率=（实际支出公用经费总额/预算安排公用经费总额）×100%。</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shd w:val="clear"/>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“三公经费”控制率</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100%以下（含）计满分，每超出1%扣1分，扣完为止。</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“三公经费”控制率-（“三公经费”实际支出数/“三公经费”预算安排数）×100%。</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shd w:val="clear"/>
          <w:tblCellMar>
            <w:top w:w="0" w:type="dxa"/>
            <w:left w:w="108" w:type="dxa"/>
            <w:bottom w:w="0" w:type="dxa"/>
            <w:right w:w="108" w:type="dxa"/>
          </w:tblCellMar>
        </w:tblPrEx>
        <w:trPr>
          <w:trHeight w:val="57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政府采购执行率</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100%计满分，每超过（降低）5%扣2分。扣完为止。</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政府采购执行率=（实际政府采购金额/政府采购预算数）×100%</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shd w:val="clear"/>
          <w:tblCellMar>
            <w:top w:w="0" w:type="dxa"/>
            <w:left w:w="108" w:type="dxa"/>
            <w:bottom w:w="0" w:type="dxa"/>
            <w:right w:w="108" w:type="dxa"/>
          </w:tblCellMar>
        </w:tblPrEx>
        <w:trPr>
          <w:trHeight w:val="78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过                                                                                                                                       程</w:t>
            </w:r>
          </w:p>
        </w:tc>
        <w:tc>
          <w:tcPr>
            <w:tcW w:w="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61</w:t>
            </w:r>
          </w:p>
        </w:tc>
        <w:tc>
          <w:tcPr>
            <w:tcW w:w="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预算管理</w:t>
            </w: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管理制度健全性</w:t>
            </w:r>
          </w:p>
        </w:tc>
        <w:tc>
          <w:tcPr>
            <w:tcW w:w="47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25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①有内部财务管理制度、会计核算制度等管理制度，2分；</w:t>
            </w:r>
          </w:p>
        </w:tc>
        <w:tc>
          <w:tcPr>
            <w:tcW w:w="3010" w:type="dxa"/>
            <w:vMerge w:val="restart"/>
            <w:tcBorders>
              <w:top w:val="single" w:color="000000" w:sz="4" w:space="0"/>
              <w:left w:val="nil"/>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shd w:val="clear"/>
          <w:tblCellMar>
            <w:top w:w="0" w:type="dxa"/>
            <w:left w:w="108" w:type="dxa"/>
            <w:bottom w:w="0" w:type="dxa"/>
            <w:right w:w="108" w:type="dxa"/>
          </w:tblCellMar>
        </w:tblPrEx>
        <w:trPr>
          <w:trHeight w:val="58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tcBorders>
              <w:top w:val="nil"/>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②有本部门厉行节约制度,2分；</w:t>
            </w:r>
          </w:p>
        </w:tc>
        <w:tc>
          <w:tcPr>
            <w:tcW w:w="3010" w:type="dxa"/>
            <w:vMerge w:val="continue"/>
            <w:tcBorders>
              <w:top w:val="single" w:color="000000" w:sz="4" w:space="0"/>
              <w:left w:val="nil"/>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100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③相关管理制度合法、合规、完整，2分；④相关管理制度得到有效执行，2分。</w:t>
            </w:r>
          </w:p>
        </w:tc>
        <w:tc>
          <w:tcPr>
            <w:tcW w:w="3010" w:type="dxa"/>
            <w:vMerge w:val="continue"/>
            <w:tcBorders>
              <w:top w:val="single" w:color="000000" w:sz="4" w:space="0"/>
              <w:left w:val="nil"/>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50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资金使用合规性</w:t>
            </w:r>
          </w:p>
        </w:tc>
        <w:tc>
          <w:tcPr>
            <w:tcW w:w="4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259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0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shd w:val="clear"/>
          <w:tblCellMar>
            <w:top w:w="0" w:type="dxa"/>
            <w:left w:w="108" w:type="dxa"/>
            <w:bottom w:w="0" w:type="dxa"/>
            <w:right w:w="108" w:type="dxa"/>
          </w:tblCellMar>
        </w:tblPrEx>
        <w:trPr>
          <w:trHeight w:val="81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以上情况每出现一例不符合要求的扣1分，扣完为止。</w:t>
            </w:r>
          </w:p>
        </w:tc>
        <w:tc>
          <w:tcPr>
            <w:tcW w:w="30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20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预决算信息公开性</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5</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预决算信息是指与部门预算、执行、决算、监督、绩效等管理相关的信息。</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shd w:val="clear"/>
          <w:tblCellMar>
            <w:top w:w="0" w:type="dxa"/>
            <w:left w:w="108" w:type="dxa"/>
            <w:bottom w:w="0" w:type="dxa"/>
            <w:right w:w="108" w:type="dxa"/>
          </w:tblCellMar>
        </w:tblPrEx>
        <w:trPr>
          <w:trHeight w:val="117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产出及效率</w:t>
            </w:r>
          </w:p>
        </w:tc>
        <w:tc>
          <w:tcPr>
            <w:tcW w:w="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26</w:t>
            </w:r>
          </w:p>
        </w:tc>
        <w:tc>
          <w:tcPr>
            <w:tcW w:w="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职责履行</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重点工作实际完成率</w:t>
            </w:r>
          </w:p>
        </w:tc>
        <w:tc>
          <w:tcPr>
            <w:tcW w:w="4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w:t>
            </w:r>
          </w:p>
        </w:tc>
        <w:tc>
          <w:tcPr>
            <w:tcW w:w="2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根据绩效办2020年对各部门重点民生实事和部门重点工程与重点工作考核分数折算。</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shd w:val="clear"/>
          <w:tblCellMar>
            <w:top w:w="0" w:type="dxa"/>
            <w:left w:w="108" w:type="dxa"/>
            <w:bottom w:w="0" w:type="dxa"/>
            <w:right w:w="108" w:type="dxa"/>
          </w:tblCellMar>
        </w:tblPrEx>
        <w:trPr>
          <w:trHeight w:val="75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履职 效益</w:t>
            </w: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经济效益</w:t>
            </w:r>
          </w:p>
        </w:tc>
        <w:tc>
          <w:tcPr>
            <w:tcW w:w="4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2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此两项指标为设置部门整体支出绩效评价指标时必须考虑的共性要素，可根据部门实际情况有选择的进行设置，并将其细化为相应的个性化指标。</w:t>
            </w:r>
          </w:p>
        </w:tc>
        <w:tc>
          <w:tcPr>
            <w:tcW w:w="3010" w:type="dxa"/>
            <w:tcBorders>
              <w:top w:val="nil"/>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shd w:val="clear"/>
          <w:tblCellMar>
            <w:top w:w="0" w:type="dxa"/>
            <w:left w:w="108" w:type="dxa"/>
            <w:bottom w:w="0" w:type="dxa"/>
            <w:right w:w="108" w:type="dxa"/>
          </w:tblCellMar>
        </w:tblPrEx>
        <w:trPr>
          <w:trHeight w:val="79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社会效益</w:t>
            </w:r>
          </w:p>
        </w:tc>
        <w:tc>
          <w:tcPr>
            <w:tcW w:w="4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shd w:val="clear"/>
          <w:tblCellMar>
            <w:top w:w="0" w:type="dxa"/>
            <w:left w:w="108" w:type="dxa"/>
            <w:bottom w:w="0" w:type="dxa"/>
            <w:right w:w="108" w:type="dxa"/>
          </w:tblCellMar>
        </w:tblPrEx>
        <w:trPr>
          <w:trHeight w:val="15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行政效能</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25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促进部门改进文风会风，加强经费及资产管理，推动网上办事，提高行政效率，降低行政成本效果较好的计6分；一般3分；无效果或者效果不明显0分。</w:t>
            </w:r>
          </w:p>
        </w:tc>
        <w:tc>
          <w:tcPr>
            <w:tcW w:w="3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根据部门自评材料评定。</w:t>
            </w:r>
          </w:p>
        </w:tc>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shd w:val="clear"/>
          <w:tblCellMar>
            <w:top w:w="0" w:type="dxa"/>
            <w:left w:w="108" w:type="dxa"/>
            <w:bottom w:w="0" w:type="dxa"/>
            <w:right w:w="108" w:type="dxa"/>
          </w:tblCellMar>
        </w:tblPrEx>
        <w:trPr>
          <w:trHeight w:val="49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社会公众或服务对象满意度</w:t>
            </w:r>
          </w:p>
        </w:tc>
        <w:tc>
          <w:tcPr>
            <w:tcW w:w="470"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6</w:t>
            </w:r>
          </w:p>
        </w:tc>
        <w:tc>
          <w:tcPr>
            <w:tcW w:w="25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90%（含）以上计6分；</w:t>
            </w:r>
          </w:p>
        </w:tc>
        <w:tc>
          <w:tcPr>
            <w:tcW w:w="30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社会公众或服务对象是指部门（单位）履行职责而影响到的部门、群体或个人，一般采取社会调查的方式。</w:t>
            </w:r>
          </w:p>
        </w:tc>
        <w:tc>
          <w:tcPr>
            <w:tcW w:w="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shd w:val="clear"/>
          <w:tblCellMar>
            <w:top w:w="0" w:type="dxa"/>
            <w:left w:w="108" w:type="dxa"/>
            <w:bottom w:w="0" w:type="dxa"/>
            <w:right w:w="108" w:type="dxa"/>
          </w:tblCellMar>
        </w:tblPrEx>
        <w:trPr>
          <w:trHeight w:val="43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tcBorders>
              <w:top w:val="nil"/>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80%（含）-90%，计4分；</w:t>
            </w:r>
          </w:p>
        </w:tc>
        <w:tc>
          <w:tcPr>
            <w:tcW w:w="3010" w:type="dxa"/>
            <w:vMerge w:val="continue"/>
            <w:tcBorders>
              <w:top w:val="single" w:color="000000" w:sz="4" w:space="0"/>
              <w:left w:val="nil"/>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tcBorders>
              <w:top w:val="nil"/>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70%（含）-80%，计2分；</w:t>
            </w:r>
          </w:p>
        </w:tc>
        <w:tc>
          <w:tcPr>
            <w:tcW w:w="3010" w:type="dxa"/>
            <w:vMerge w:val="continue"/>
            <w:tcBorders>
              <w:top w:val="single" w:color="000000" w:sz="4" w:space="0"/>
              <w:left w:val="nil"/>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59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低于70%计0分。</w:t>
            </w:r>
          </w:p>
        </w:tc>
        <w:tc>
          <w:tcPr>
            <w:tcW w:w="3010" w:type="dxa"/>
            <w:vMerge w:val="continue"/>
            <w:tcBorders>
              <w:top w:val="single" w:color="000000" w:sz="4" w:space="0"/>
              <w:left w:val="nil"/>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375" w:hRule="atLeast"/>
        </w:trPr>
        <w:tc>
          <w:tcPr>
            <w:tcW w:w="495" w:type="dxa"/>
            <w:tcBorders>
              <w:top w:val="nil"/>
              <w:left w:val="nil"/>
              <w:bottom w:val="nil"/>
              <w:right w:val="nil"/>
            </w:tcBorders>
            <w:shd w:val="clear"/>
            <w:noWrap/>
            <w:vAlign w:val="center"/>
          </w:tcPr>
          <w:p>
            <w:pPr>
              <w:jc w:val="both"/>
              <w:rPr>
                <w:rFonts w:hint="eastAsia" w:ascii="黑体" w:hAnsi="宋体" w:eastAsia="黑体" w:cs="黑体"/>
                <w:i w:val="0"/>
                <w:iCs w:val="0"/>
                <w:color w:val="000000"/>
                <w:sz w:val="28"/>
                <w:szCs w:val="28"/>
                <w:u w:val="none"/>
              </w:rPr>
            </w:pPr>
          </w:p>
        </w:tc>
        <w:tc>
          <w:tcPr>
            <w:tcW w:w="49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0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2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11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7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59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01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bdr w:val="none" w:color="auto" w:sz="0" w:space="0"/>
                <w:lang w:val="en-US" w:eastAsia="zh-CN" w:bidi="ar"/>
              </w:rPr>
              <w:t>79.2</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r>
      <w:tr>
        <w:tblPrEx>
          <w:shd w:val="clear"/>
          <w:tblCellMar>
            <w:top w:w="0" w:type="dxa"/>
            <w:left w:w="108" w:type="dxa"/>
            <w:bottom w:w="0" w:type="dxa"/>
            <w:right w:w="108" w:type="dxa"/>
          </w:tblCellMar>
        </w:tblPrEx>
        <w:trPr>
          <w:trHeight w:val="375" w:hRule="atLeast"/>
        </w:trPr>
        <w:tc>
          <w:tcPr>
            <w:tcW w:w="495" w:type="dxa"/>
            <w:tcBorders>
              <w:top w:val="nil"/>
              <w:left w:val="nil"/>
              <w:bottom w:val="nil"/>
              <w:right w:val="nil"/>
            </w:tcBorders>
            <w:shd w:val="clear"/>
            <w:noWrap/>
            <w:vAlign w:val="center"/>
          </w:tcPr>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p>
            <w:pPr>
              <w:jc w:val="both"/>
              <w:rPr>
                <w:rFonts w:hint="eastAsia" w:ascii="黑体" w:hAnsi="宋体" w:eastAsia="黑体" w:cs="黑体"/>
                <w:i w:val="0"/>
                <w:iCs w:val="0"/>
                <w:color w:val="000000"/>
                <w:sz w:val="28"/>
                <w:szCs w:val="28"/>
                <w:u w:val="none"/>
              </w:rPr>
            </w:pPr>
          </w:p>
        </w:tc>
        <w:tc>
          <w:tcPr>
            <w:tcW w:w="49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0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2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11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47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59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301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59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bl>
    <w:tbl>
      <w:tblPr>
        <w:tblStyle w:val="5"/>
        <w:tblW w:w="927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0"/>
        <w:gridCol w:w="1048"/>
        <w:gridCol w:w="1121"/>
        <w:gridCol w:w="1048"/>
        <w:gridCol w:w="902"/>
        <w:gridCol w:w="1048"/>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23" w:hRule="atLeast"/>
        </w:trPr>
        <w:tc>
          <w:tcPr>
            <w:tcW w:w="3060" w:type="dxa"/>
            <w:tcBorders>
              <w:top w:val="nil"/>
              <w:left w:val="nil"/>
              <w:bottom w:val="nil"/>
              <w:right w:val="nil"/>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附件3</w:t>
            </w:r>
          </w:p>
        </w:tc>
        <w:tc>
          <w:tcPr>
            <w:tcW w:w="1048"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1121"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1048"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902"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1048"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1048"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6" w:hRule="atLeast"/>
        </w:trPr>
        <w:tc>
          <w:tcPr>
            <w:tcW w:w="9275" w:type="dxa"/>
            <w:gridSpan w:val="7"/>
            <w:tcBorders>
              <w:top w:val="nil"/>
              <w:left w:val="nil"/>
              <w:bottom w:val="nil"/>
              <w:right w:val="nil"/>
              <w:tl2br w:val="nil"/>
              <w:tr2bl w:val="nil"/>
            </w:tcBorders>
            <w:noWrap w:val="0"/>
            <w:vAlign w:val="top"/>
          </w:tcPr>
          <w:p>
            <w:pPr>
              <w:spacing w:beforeLines="0" w:afterLines="0"/>
              <w:jc w:val="center"/>
              <w:rPr>
                <w:rFonts w:hint="eastAsia" w:ascii="仿宋" w:hAnsi="仿宋" w:eastAsia="仿宋"/>
                <w:b/>
                <w:color w:val="000000"/>
                <w:sz w:val="36"/>
                <w:szCs w:val="24"/>
              </w:rPr>
            </w:pPr>
            <w:r>
              <w:rPr>
                <w:rFonts w:hint="eastAsia" w:ascii="仿宋" w:hAnsi="仿宋" w:eastAsia="仿宋"/>
                <w:b/>
                <w:color w:val="000000"/>
                <w:sz w:val="36"/>
                <w:szCs w:val="24"/>
              </w:rPr>
              <w:t>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23" w:hRule="atLeast"/>
        </w:trPr>
        <w:tc>
          <w:tcPr>
            <w:tcW w:w="3060" w:type="dxa"/>
            <w:tcBorders>
              <w:top w:val="nil"/>
              <w:left w:val="nil"/>
              <w:bottom w:val="nil"/>
              <w:right w:val="nil"/>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填报单位：芷江县信访局</w:t>
            </w:r>
          </w:p>
        </w:tc>
        <w:tc>
          <w:tcPr>
            <w:tcW w:w="1048"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1121"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1048"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902" w:type="dxa"/>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p>
        </w:tc>
        <w:tc>
          <w:tcPr>
            <w:tcW w:w="2096" w:type="dxa"/>
            <w:gridSpan w:val="2"/>
            <w:tcBorders>
              <w:top w:val="nil"/>
              <w:left w:val="nil"/>
              <w:bottom w:val="nil"/>
              <w:right w:val="nil"/>
              <w:tl2br w:val="nil"/>
              <w:tr2bl w:val="nil"/>
            </w:tcBorders>
            <w:noWrap w:val="0"/>
            <w:vAlign w:val="top"/>
          </w:tcPr>
          <w:p>
            <w:pPr>
              <w:spacing w:beforeLines="0" w:afterLines="0"/>
              <w:jc w:val="right"/>
              <w:rPr>
                <w:rFonts w:hint="eastAsia" w:ascii="仿宋" w:hAnsi="仿宋" w:eastAsia="仿宋"/>
                <w:color w:val="000000"/>
                <w:sz w:val="24"/>
                <w:szCs w:val="24"/>
              </w:rPr>
            </w:pPr>
            <w:r>
              <w:rPr>
                <w:rFonts w:hint="eastAsia" w:ascii="仿宋" w:hAnsi="仿宋" w:eastAsia="仿宋"/>
                <w:color w:val="00000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5"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财政供养人员情况</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r>
              <w:rPr>
                <w:rFonts w:hint="eastAsia" w:ascii="仿宋" w:hAnsi="仿宋" w:eastAsia="仿宋"/>
                <w:b/>
                <w:color w:val="000000"/>
                <w:sz w:val="22"/>
                <w:szCs w:val="24"/>
              </w:rPr>
              <w:t>编制数</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r>
              <w:rPr>
                <w:rFonts w:hint="eastAsia" w:ascii="仿宋" w:hAnsi="仿宋" w:eastAsia="仿宋"/>
                <w:b/>
                <w:color w:val="000000"/>
                <w:sz w:val="22"/>
                <w:szCs w:val="24"/>
              </w:rPr>
              <w:t>2020年实际在职人数</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r>
              <w:rPr>
                <w:rFonts w:hint="eastAsia" w:ascii="仿宋" w:hAnsi="仿宋" w:eastAsia="仿宋"/>
                <w:b/>
                <w:color w:val="000000"/>
                <w:sz w:val="22"/>
                <w:szCs w:val="24"/>
              </w:rPr>
              <w:t>控制率</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2"/>
                <w:szCs w:val="24"/>
              </w:rPr>
            </w:pPr>
            <w:r>
              <w:rPr>
                <w:rFonts w:hint="eastAsia" w:ascii="仿宋" w:hAnsi="仿宋" w:eastAsia="仿宋"/>
                <w:color w:val="000000"/>
                <w:sz w:val="22"/>
                <w:szCs w:val="24"/>
              </w:rPr>
              <w:t>16</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2"/>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2"/>
                <w:szCs w:val="24"/>
              </w:rPr>
            </w:pPr>
            <w:r>
              <w:rPr>
                <w:rFonts w:hint="eastAsia" w:ascii="仿宋" w:hAnsi="仿宋" w:eastAsia="仿宋"/>
                <w:color w:val="000000"/>
                <w:sz w:val="22"/>
                <w:szCs w:val="24"/>
              </w:rPr>
              <w:t>14</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2"/>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2"/>
                <w:szCs w:val="24"/>
              </w:rPr>
            </w:pPr>
            <w:r>
              <w:rPr>
                <w:rFonts w:hint="eastAsia" w:ascii="仿宋" w:hAnsi="仿宋" w:eastAsia="仿宋"/>
                <w:color w:val="000000"/>
                <w:sz w:val="22"/>
                <w:szCs w:val="24"/>
              </w:rPr>
              <w:t>87.50%</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2"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经费控制情况</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r>
              <w:rPr>
                <w:rFonts w:hint="eastAsia" w:ascii="仿宋" w:hAnsi="仿宋" w:eastAsia="仿宋"/>
                <w:b/>
                <w:color w:val="000000"/>
                <w:sz w:val="22"/>
                <w:szCs w:val="24"/>
              </w:rPr>
              <w:t>2019年决算数</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r>
              <w:rPr>
                <w:rFonts w:hint="eastAsia" w:ascii="仿宋" w:hAnsi="仿宋" w:eastAsia="仿宋"/>
                <w:b/>
                <w:color w:val="000000"/>
                <w:sz w:val="22"/>
                <w:szCs w:val="24"/>
              </w:rPr>
              <w:t>2020年预算数</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r>
              <w:rPr>
                <w:rFonts w:hint="eastAsia" w:ascii="仿宋" w:hAnsi="仿宋" w:eastAsia="仿宋"/>
                <w:b/>
                <w:color w:val="000000"/>
                <w:sz w:val="22"/>
                <w:szCs w:val="24"/>
              </w:rPr>
              <w:t>2020年决算数</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三公经费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3.74</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1.8</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6.29</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2"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1、公务用车购置和维护经费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其中：公车购置</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2"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公车运行维护</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2、出国经费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3、公务接待</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3.74</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1.8</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6.29</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项目支出：</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1、应急处理经费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76</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2、</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公用经费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36</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18.54</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88.43</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其中：办公经费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26.43</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10.01</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2"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水费、电费、差旅费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4.13</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3.2</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17.07</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          会议费、培训费</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1.57</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0.36</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政府采购金额</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2"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r>
              <w:rPr>
                <w:rFonts w:hint="eastAsia" w:ascii="仿宋" w:hAnsi="仿宋" w:eastAsia="仿宋"/>
                <w:color w:val="000000"/>
                <w:sz w:val="24"/>
                <w:szCs w:val="24"/>
              </w:rPr>
              <w:t xml:space="preserve">部门整体支出预算调整 </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333.57万元</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308" w:hRule="atLeast"/>
        </w:trPr>
        <w:tc>
          <w:tcPr>
            <w:tcW w:w="3060"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楼堂馆所控制情况      （2020年完工项目）</w:t>
            </w:r>
          </w:p>
        </w:tc>
        <w:tc>
          <w:tcPr>
            <w:tcW w:w="1048"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r>
              <w:rPr>
                <w:rFonts w:hint="eastAsia" w:ascii="仿宋" w:hAnsi="仿宋" w:eastAsia="仿宋"/>
                <w:b/>
                <w:color w:val="000000"/>
                <w:sz w:val="24"/>
                <w:szCs w:val="24"/>
              </w:rPr>
              <w:t>批复规模（㎡）</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r>
              <w:rPr>
                <w:rFonts w:hint="eastAsia" w:ascii="仿宋" w:hAnsi="仿宋" w:eastAsia="仿宋"/>
                <w:b/>
                <w:color w:val="000000"/>
                <w:sz w:val="24"/>
                <w:szCs w:val="24"/>
              </w:rPr>
              <w:t>实际规模（㎡）</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r>
              <w:rPr>
                <w:rFonts w:hint="eastAsia" w:ascii="仿宋" w:hAnsi="仿宋" w:eastAsia="仿宋"/>
                <w:b/>
                <w:color w:val="000000"/>
                <w:sz w:val="24"/>
                <w:szCs w:val="24"/>
              </w:rPr>
              <w:t>规模控制率</w:t>
            </w: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r>
              <w:rPr>
                <w:rFonts w:hint="eastAsia" w:ascii="仿宋" w:hAnsi="仿宋" w:eastAsia="仿宋"/>
                <w:b/>
                <w:color w:val="000000"/>
                <w:sz w:val="24"/>
                <w:szCs w:val="24"/>
              </w:rPr>
              <w:t>预算投资（万元）</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r>
              <w:rPr>
                <w:rFonts w:hint="eastAsia" w:ascii="仿宋" w:hAnsi="仿宋" w:eastAsia="仿宋"/>
                <w:b/>
                <w:color w:val="000000"/>
                <w:sz w:val="24"/>
                <w:szCs w:val="24"/>
              </w:rPr>
              <w:t>实际投资（万元）</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r>
              <w:rPr>
                <w:rFonts w:hint="eastAsia" w:ascii="仿宋" w:hAnsi="仿宋" w:eastAsia="仿宋"/>
                <w:b/>
                <w:color w:val="000000"/>
                <w:sz w:val="24"/>
                <w:szCs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3060" w:type="dxa"/>
            <w:tcBorders>
              <w:top w:val="nil"/>
              <w:left w:val="single" w:color="auto" w:sz="6" w:space="0"/>
              <w:bottom w:val="nil"/>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b/>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3060" w:type="dxa"/>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78" w:hRule="atLeast"/>
        </w:trPr>
        <w:tc>
          <w:tcPr>
            <w:tcW w:w="306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厉行节约保障措施</w:t>
            </w: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r>
              <w:rPr>
                <w:rFonts w:hint="eastAsia" w:ascii="仿宋" w:hAnsi="仿宋" w:eastAsia="仿宋"/>
                <w:color w:val="000000"/>
                <w:sz w:val="24"/>
                <w:szCs w:val="24"/>
              </w:rPr>
              <w:t>《芷江侗族自治县信访局办公室管理制度》</w:t>
            </w:r>
          </w:p>
        </w:tc>
        <w:tc>
          <w:tcPr>
            <w:tcW w:w="112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90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c>
          <w:tcPr>
            <w:tcW w:w="10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仿宋" w:hAnsi="仿宋" w:eastAsia="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2" w:hRule="atLeast"/>
        </w:trPr>
        <w:tc>
          <w:tcPr>
            <w:tcW w:w="9275" w:type="dxa"/>
            <w:gridSpan w:val="7"/>
            <w:tcBorders>
              <w:top w:val="single" w:color="auto" w:sz="6" w:space="0"/>
              <w:left w:val="nil"/>
              <w:bottom w:val="single" w:color="auto" w:sz="6" w:space="0"/>
              <w:right w:val="nil"/>
              <w:tl2br w:val="nil"/>
              <w:tr2bl w:val="nil"/>
            </w:tcBorders>
            <w:noWrap w:val="0"/>
            <w:vAlign w:val="top"/>
          </w:tcPr>
          <w:p>
            <w:pPr>
              <w:spacing w:beforeLines="0" w:afterLines="0"/>
              <w:jc w:val="right"/>
              <w:rPr>
                <w:rFonts w:hint="eastAsia" w:ascii="仿宋" w:hAnsi="仿宋" w:eastAsia="仿宋"/>
                <w:color w:val="000000"/>
                <w:sz w:val="22"/>
                <w:szCs w:val="24"/>
              </w:rPr>
            </w:pPr>
            <w:r>
              <w:rPr>
                <w:rFonts w:hint="eastAsia" w:ascii="仿宋" w:hAnsi="仿宋" w:eastAsia="仿宋"/>
                <w:color w:val="000000"/>
                <w:sz w:val="22"/>
                <w:szCs w:val="24"/>
              </w:rPr>
              <w:t xml:space="preserve">    说明：“项目支出”需要填报除基本支出以外的所有项目情况，包括业务工作项目、运行维护项目等；“公用经费”填报基本支出中的一般商品和服务支出。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8" w:hRule="atLeast"/>
        </w:trPr>
        <w:tc>
          <w:tcPr>
            <w:tcW w:w="9275" w:type="dxa"/>
            <w:gridSpan w:val="7"/>
            <w:tcBorders>
              <w:top w:val="single" w:color="auto" w:sz="6" w:space="0"/>
              <w:left w:val="nil"/>
              <w:bottom w:val="nil"/>
              <w:right w:val="nil"/>
              <w:tl2br w:val="nil"/>
              <w:tr2bl w:val="nil"/>
            </w:tcBorders>
            <w:noWrap w:val="0"/>
            <w:vAlign w:val="top"/>
          </w:tcPr>
          <w:p>
            <w:pPr>
              <w:spacing w:beforeLines="0" w:afterLines="0"/>
              <w:jc w:val="right"/>
              <w:rPr>
                <w:rFonts w:hint="eastAsia" w:ascii="仿宋" w:hAnsi="仿宋" w:eastAsia="仿宋"/>
                <w:color w:val="000000"/>
                <w:sz w:val="22"/>
                <w:szCs w:val="24"/>
              </w:rPr>
            </w:pPr>
          </w:p>
        </w:tc>
      </w:tr>
    </w:tbl>
    <w:p>
      <w:pPr>
        <w:spacing w:line="560" w:lineRule="exact"/>
        <w:rPr>
          <w:rFonts w:hint="eastAsia" w:ascii="仿宋" w:hAnsi="仿宋" w:eastAsia="仿宋"/>
          <w:spacing w:val="-20"/>
          <w:sz w:val="32"/>
          <w:szCs w:val="32"/>
        </w:rPr>
      </w:pPr>
      <w:bookmarkStart w:id="0" w:name="_GoBack"/>
      <w:bookmarkEnd w:id="0"/>
    </w:p>
    <w:sectPr>
      <w:footerReference r:id="rId3" w:type="default"/>
      <w:footerReference r:id="rId4" w:type="even"/>
      <w:pgSz w:w="11906" w:h="16838"/>
      <w:pgMar w:top="2007" w:right="1474" w:bottom="200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55EA"/>
    <w:rsid w:val="00107B73"/>
    <w:rsid w:val="00160EA7"/>
    <w:rsid w:val="00165C07"/>
    <w:rsid w:val="003110DA"/>
    <w:rsid w:val="003306B9"/>
    <w:rsid w:val="00393B60"/>
    <w:rsid w:val="003A36F8"/>
    <w:rsid w:val="003E71F5"/>
    <w:rsid w:val="00464BE2"/>
    <w:rsid w:val="0048578F"/>
    <w:rsid w:val="00496E50"/>
    <w:rsid w:val="004E0A5D"/>
    <w:rsid w:val="005C2298"/>
    <w:rsid w:val="00662566"/>
    <w:rsid w:val="0066265D"/>
    <w:rsid w:val="006B5371"/>
    <w:rsid w:val="006E0E2F"/>
    <w:rsid w:val="006E40A3"/>
    <w:rsid w:val="006F559F"/>
    <w:rsid w:val="00712B99"/>
    <w:rsid w:val="0072542E"/>
    <w:rsid w:val="007C4CEB"/>
    <w:rsid w:val="00804DFB"/>
    <w:rsid w:val="00823725"/>
    <w:rsid w:val="0083214C"/>
    <w:rsid w:val="00854185"/>
    <w:rsid w:val="008568EE"/>
    <w:rsid w:val="00861AA5"/>
    <w:rsid w:val="008633C2"/>
    <w:rsid w:val="00876394"/>
    <w:rsid w:val="008C30E8"/>
    <w:rsid w:val="008D248C"/>
    <w:rsid w:val="008F52A8"/>
    <w:rsid w:val="008F646A"/>
    <w:rsid w:val="00920C83"/>
    <w:rsid w:val="009741D3"/>
    <w:rsid w:val="009B3BFF"/>
    <w:rsid w:val="009B7A3B"/>
    <w:rsid w:val="009C27ED"/>
    <w:rsid w:val="009F5247"/>
    <w:rsid w:val="00A15C25"/>
    <w:rsid w:val="00A67424"/>
    <w:rsid w:val="00B97494"/>
    <w:rsid w:val="00BA7647"/>
    <w:rsid w:val="00BB7090"/>
    <w:rsid w:val="00BC619D"/>
    <w:rsid w:val="00BE032C"/>
    <w:rsid w:val="00C01274"/>
    <w:rsid w:val="00D90CDC"/>
    <w:rsid w:val="00DF06DB"/>
    <w:rsid w:val="00E27FC6"/>
    <w:rsid w:val="00E9703A"/>
    <w:rsid w:val="00F013DC"/>
    <w:rsid w:val="00F255D3"/>
    <w:rsid w:val="00F61257"/>
    <w:rsid w:val="00F74818"/>
    <w:rsid w:val="00FA6014"/>
    <w:rsid w:val="00FC6A63"/>
    <w:rsid w:val="00FF6E2F"/>
    <w:rsid w:val="04C073A5"/>
    <w:rsid w:val="050F22BF"/>
    <w:rsid w:val="1AA06B2E"/>
    <w:rsid w:val="312E0CE9"/>
    <w:rsid w:val="374B6D1D"/>
    <w:rsid w:val="48712158"/>
    <w:rsid w:val="58C67D8E"/>
    <w:rsid w:val="6317738C"/>
    <w:rsid w:val="68347C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customStyle="1" w:styleId="9">
    <w:name w:val="页脚 Char"/>
    <w:basedOn w:val="6"/>
    <w:link w:val="2"/>
    <w:semiHidden/>
    <w:qFormat/>
    <w:uiPriority w:val="99"/>
    <w:rPr>
      <w:rFonts w:ascii="Times New Roman" w:hAnsi="Times New Roman"/>
      <w:sz w:val="18"/>
      <w:szCs w:val="18"/>
    </w:rPr>
  </w:style>
  <w:style w:type="character" w:customStyle="1" w:styleId="10">
    <w:name w:val="页眉 Char"/>
    <w:basedOn w:val="6"/>
    <w:link w:val="3"/>
    <w:semiHidden/>
    <w:qFormat/>
    <w:uiPriority w:val="99"/>
    <w:rPr>
      <w:rFonts w:ascii="Times New Roman" w:hAnsi="Times New Roman"/>
      <w:kern w:val="2"/>
      <w:sz w:val="18"/>
      <w:szCs w:val="18"/>
    </w:rPr>
  </w:style>
  <w:style w:type="character" w:customStyle="1" w:styleId="11">
    <w:name w:val="font0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default" w:ascii="仿宋_GB2312" w:eastAsia="仿宋_GB2312" w:cs="仿宋_GB2312"/>
      <w:color w:val="000000"/>
      <w:sz w:val="20"/>
      <w:szCs w:val="20"/>
      <w:u w:val="none"/>
    </w:rPr>
  </w:style>
  <w:style w:type="character" w:customStyle="1" w:styleId="13">
    <w:name w:val="font41"/>
    <w:basedOn w:val="6"/>
    <w:uiPriority w:val="0"/>
    <w:rPr>
      <w:rFonts w:hint="eastAsia" w:ascii="宋体" w:hAnsi="宋体" w:eastAsia="宋体" w:cs="宋体"/>
      <w:color w:val="000000"/>
      <w:sz w:val="20"/>
      <w:szCs w:val="20"/>
      <w:u w:val="none"/>
    </w:rPr>
  </w:style>
  <w:style w:type="character" w:customStyle="1" w:styleId="14">
    <w:name w:val="font11"/>
    <w:basedOn w:val="6"/>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1732</Characters>
  <Lines>14</Lines>
  <Paragraphs>4</Paragraphs>
  <TotalTime>74</TotalTime>
  <ScaleCrop>false</ScaleCrop>
  <LinksUpToDate>false</LinksUpToDate>
  <CharactersWithSpaces>2031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2016-10-24T03:33:00Z</dcterms:created>
  <dc:creator>Administrator</dc:creator>
  <cp:lastModifiedBy>Administrator</cp:lastModifiedBy>
  <cp:lastPrinted>2021-07-12T09:19:00Z</cp:lastPrinted>
  <dcterms:modified xsi:type="dcterms:W3CDTF">2021-07-19T07:48:19Z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9ABC20EFEF2D4C98B5341D63D72C372D</vt:lpwstr>
  </property>
</Properties>
</file>