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C4617A">
      <w:pPr>
        <w:jc w:val="center"/>
        <w:rPr>
          <w:rFonts w:hint="eastAsia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芷江产业开发区园区环境质量监测计划</w:t>
      </w:r>
    </w:p>
    <w:p w14:paraId="0273E411">
      <w:pPr>
        <w:jc w:val="left"/>
        <w:rPr>
          <w:rFonts w:hint="default"/>
          <w:b w:val="0"/>
          <w:bCs w:val="0"/>
          <w:sz w:val="24"/>
          <w:szCs w:val="32"/>
          <w:lang w:val="en-US" w:eastAsia="zh-CN"/>
        </w:rPr>
      </w:pPr>
      <w:r>
        <w:rPr>
          <w:rFonts w:hint="eastAsia"/>
          <w:b/>
          <w:bCs/>
          <w:sz w:val="24"/>
          <w:szCs w:val="32"/>
          <w:lang w:val="en-US" w:eastAsia="zh-CN"/>
        </w:rPr>
        <w:t>地址：芷江产业开发区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left w:w="108" w:type="dxa"/>
          <w:right w:w="108" w:type="dxa"/>
        </w:tblCellMar>
      </w:tblPr>
      <w:tblGrid>
        <w:gridCol w:w="1047"/>
        <w:gridCol w:w="885"/>
        <w:gridCol w:w="3212"/>
        <w:gridCol w:w="6711"/>
        <w:gridCol w:w="3654"/>
      </w:tblGrid>
      <w:tr w14:paraId="19169D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c>
          <w:tcPr>
            <w:tcW w:w="1047" w:type="dxa"/>
            <w:vAlign w:val="center"/>
          </w:tcPr>
          <w:p w14:paraId="1651011B">
            <w:pPr>
              <w:jc w:val="center"/>
              <w:rPr>
                <w:rFonts w:hint="default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8"/>
                <w:szCs w:val="36"/>
                <w:vertAlign w:val="baseline"/>
                <w:lang w:val="en-US" w:eastAsia="zh-CN"/>
              </w:rPr>
              <w:t>类别</w:t>
            </w:r>
          </w:p>
        </w:tc>
        <w:tc>
          <w:tcPr>
            <w:tcW w:w="4097" w:type="dxa"/>
            <w:gridSpan w:val="2"/>
            <w:vAlign w:val="center"/>
          </w:tcPr>
          <w:p w14:paraId="072C1EEA">
            <w:pPr>
              <w:jc w:val="center"/>
              <w:rPr>
                <w:rFonts w:hint="default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8"/>
                <w:szCs w:val="36"/>
                <w:vertAlign w:val="baseline"/>
                <w:lang w:val="en-US" w:eastAsia="zh-CN"/>
              </w:rPr>
              <w:t>监测点位断面</w:t>
            </w:r>
          </w:p>
        </w:tc>
        <w:tc>
          <w:tcPr>
            <w:tcW w:w="6711" w:type="dxa"/>
            <w:vAlign w:val="center"/>
          </w:tcPr>
          <w:p w14:paraId="6C76E9F7">
            <w:pPr>
              <w:jc w:val="center"/>
              <w:rPr>
                <w:rFonts w:hint="default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8"/>
                <w:szCs w:val="36"/>
                <w:vertAlign w:val="baseline"/>
                <w:lang w:val="en-US" w:eastAsia="zh-CN"/>
              </w:rPr>
              <w:t>监测因子</w:t>
            </w:r>
          </w:p>
        </w:tc>
        <w:tc>
          <w:tcPr>
            <w:tcW w:w="3654" w:type="dxa"/>
            <w:vAlign w:val="center"/>
          </w:tcPr>
          <w:p w14:paraId="7096B194">
            <w:pPr>
              <w:jc w:val="center"/>
              <w:rPr>
                <w:rFonts w:hint="default"/>
                <w:b/>
                <w:bCs/>
                <w:sz w:val="28"/>
                <w:szCs w:val="36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8"/>
                <w:szCs w:val="36"/>
                <w:vertAlign w:val="baseline"/>
                <w:lang w:val="en-US" w:eastAsia="zh-CN"/>
              </w:rPr>
              <w:t>监测频次</w:t>
            </w:r>
          </w:p>
        </w:tc>
      </w:tr>
      <w:tr w14:paraId="1C1F7F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345" w:hRule="atLeast"/>
        </w:trPr>
        <w:tc>
          <w:tcPr>
            <w:tcW w:w="1047" w:type="dxa"/>
            <w:vMerge w:val="restart"/>
            <w:vAlign w:val="center"/>
          </w:tcPr>
          <w:p w14:paraId="271F59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环境空气</w:t>
            </w:r>
          </w:p>
        </w:tc>
        <w:tc>
          <w:tcPr>
            <w:tcW w:w="4097" w:type="dxa"/>
            <w:gridSpan w:val="2"/>
            <w:vAlign w:val="center"/>
          </w:tcPr>
          <w:p w14:paraId="1CBE2D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罗旧镇小学</w:t>
            </w:r>
          </w:p>
        </w:tc>
        <w:tc>
          <w:tcPr>
            <w:tcW w:w="6711" w:type="dxa"/>
            <w:vMerge w:val="restart"/>
            <w:vAlign w:val="center"/>
          </w:tcPr>
          <w:p w14:paraId="1AA1B6E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TVOC、TSP、PM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bscript"/>
                <w:lang w:val="en-US" w:eastAsia="zh-CN"/>
              </w:rPr>
              <w:t>10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、PM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bscript"/>
                <w:lang w:val="en-US" w:eastAsia="zh-CN"/>
              </w:rPr>
              <w:t>2.5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、SO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bscript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、NO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bscript"/>
                <w:lang w:val="en-US" w:eastAsia="zh-CN"/>
              </w:rPr>
              <w:t>2</w:t>
            </w:r>
          </w:p>
        </w:tc>
        <w:tc>
          <w:tcPr>
            <w:tcW w:w="3654" w:type="dxa"/>
            <w:vMerge w:val="restart"/>
            <w:vAlign w:val="center"/>
          </w:tcPr>
          <w:p w14:paraId="3707F6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每年冬天、夏季二期监测，每期七天</w:t>
            </w:r>
          </w:p>
        </w:tc>
      </w:tr>
      <w:tr w14:paraId="4EFDB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90" w:hRule="atLeast"/>
        </w:trPr>
        <w:tc>
          <w:tcPr>
            <w:tcW w:w="1047" w:type="dxa"/>
            <w:vMerge w:val="continue"/>
            <w:tcBorders/>
            <w:vAlign w:val="center"/>
          </w:tcPr>
          <w:p w14:paraId="6EF58F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4097" w:type="dxa"/>
            <w:gridSpan w:val="2"/>
            <w:vAlign w:val="center"/>
          </w:tcPr>
          <w:p w14:paraId="33F9E4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园区规划安置区</w:t>
            </w:r>
          </w:p>
        </w:tc>
        <w:tc>
          <w:tcPr>
            <w:tcW w:w="6711" w:type="dxa"/>
            <w:vMerge w:val="continue"/>
            <w:tcBorders/>
            <w:vAlign w:val="center"/>
          </w:tcPr>
          <w:p w14:paraId="7996EE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3654" w:type="dxa"/>
            <w:vMerge w:val="continue"/>
            <w:tcBorders/>
            <w:vAlign w:val="center"/>
          </w:tcPr>
          <w:p w14:paraId="5AAB612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 w14:paraId="14C1E3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230" w:hRule="atLeast"/>
        </w:trPr>
        <w:tc>
          <w:tcPr>
            <w:tcW w:w="1047" w:type="dxa"/>
            <w:vMerge w:val="continue"/>
            <w:tcBorders/>
            <w:vAlign w:val="center"/>
          </w:tcPr>
          <w:p w14:paraId="62B37B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4097" w:type="dxa"/>
            <w:gridSpan w:val="2"/>
            <w:vAlign w:val="center"/>
          </w:tcPr>
          <w:p w14:paraId="29A70D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园区管委会</w:t>
            </w:r>
          </w:p>
        </w:tc>
        <w:tc>
          <w:tcPr>
            <w:tcW w:w="6711" w:type="dxa"/>
            <w:vMerge w:val="continue"/>
            <w:tcBorders/>
            <w:vAlign w:val="center"/>
          </w:tcPr>
          <w:p w14:paraId="2ADDBD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3654" w:type="dxa"/>
            <w:vMerge w:val="continue"/>
            <w:tcBorders/>
            <w:vAlign w:val="center"/>
          </w:tcPr>
          <w:p w14:paraId="2207C7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 w14:paraId="398C25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1210" w:hRule="atLeast"/>
        </w:trPr>
        <w:tc>
          <w:tcPr>
            <w:tcW w:w="1047" w:type="dxa"/>
            <w:vMerge w:val="restart"/>
            <w:vAlign w:val="center"/>
          </w:tcPr>
          <w:p w14:paraId="0E7631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地表水</w:t>
            </w:r>
          </w:p>
        </w:tc>
        <w:tc>
          <w:tcPr>
            <w:tcW w:w="885" w:type="dxa"/>
            <w:vAlign w:val="center"/>
          </w:tcPr>
          <w:p w14:paraId="08B642F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舞水</w:t>
            </w:r>
          </w:p>
        </w:tc>
        <w:tc>
          <w:tcPr>
            <w:tcW w:w="3212" w:type="dxa"/>
            <w:vAlign w:val="center"/>
          </w:tcPr>
          <w:p w14:paraId="5721D96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青叶树溪汇入舞水河口下游1000m</w:t>
            </w:r>
          </w:p>
        </w:tc>
        <w:tc>
          <w:tcPr>
            <w:tcW w:w="6711" w:type="dxa"/>
            <w:vMerge w:val="restart"/>
            <w:vAlign w:val="center"/>
          </w:tcPr>
          <w:p w14:paraId="061EEFD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pH、SS、溶解氧、高锰酸盐指数、COD、BOD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bscript"/>
                <w:lang w:val="en-US" w:eastAsia="zh-CN"/>
              </w:rPr>
              <w:t>5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、氨氮、总磷、砷、汞、镉、六价铬、氰化物、挥发酚、石油类、粪大肠菌群、动植物油</w:t>
            </w:r>
          </w:p>
        </w:tc>
        <w:tc>
          <w:tcPr>
            <w:tcW w:w="3654" w:type="dxa"/>
            <w:vMerge w:val="restart"/>
            <w:vAlign w:val="center"/>
          </w:tcPr>
          <w:p w14:paraId="40A3C2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每年平水期和枯水期各采样一次</w:t>
            </w:r>
          </w:p>
        </w:tc>
      </w:tr>
      <w:tr w14:paraId="6D02B6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430" w:hRule="atLeast"/>
        </w:trPr>
        <w:tc>
          <w:tcPr>
            <w:tcW w:w="1047" w:type="dxa"/>
            <w:vMerge w:val="continue"/>
            <w:tcBorders/>
            <w:vAlign w:val="center"/>
          </w:tcPr>
          <w:p w14:paraId="797510C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885" w:type="dxa"/>
            <w:vAlign w:val="center"/>
          </w:tcPr>
          <w:p w14:paraId="38FC84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青叶树溪</w:t>
            </w:r>
          </w:p>
        </w:tc>
        <w:tc>
          <w:tcPr>
            <w:tcW w:w="3212" w:type="dxa"/>
            <w:vAlign w:val="center"/>
          </w:tcPr>
          <w:p w14:paraId="51B273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园区污水处理站排污口下游500m</w:t>
            </w:r>
          </w:p>
        </w:tc>
        <w:tc>
          <w:tcPr>
            <w:tcW w:w="6711" w:type="dxa"/>
            <w:vMerge w:val="continue"/>
            <w:tcBorders/>
            <w:vAlign w:val="center"/>
          </w:tcPr>
          <w:p w14:paraId="5410F5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3654" w:type="dxa"/>
            <w:vMerge w:val="continue"/>
            <w:tcBorders/>
            <w:vAlign w:val="center"/>
          </w:tcPr>
          <w:p w14:paraId="68E2980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 w14:paraId="515BC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681" w:hRule="atLeast"/>
        </w:trPr>
        <w:tc>
          <w:tcPr>
            <w:tcW w:w="1047" w:type="dxa"/>
            <w:vMerge w:val="restart"/>
            <w:tcBorders/>
            <w:vAlign w:val="center"/>
          </w:tcPr>
          <w:p w14:paraId="55FA04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地下水</w:t>
            </w:r>
          </w:p>
        </w:tc>
        <w:tc>
          <w:tcPr>
            <w:tcW w:w="4097" w:type="dxa"/>
            <w:gridSpan w:val="2"/>
            <w:vAlign w:val="center"/>
          </w:tcPr>
          <w:p w14:paraId="672A99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罗旧村水井</w:t>
            </w:r>
          </w:p>
        </w:tc>
        <w:tc>
          <w:tcPr>
            <w:tcW w:w="6711" w:type="dxa"/>
            <w:vMerge w:val="restart"/>
            <w:tcBorders/>
            <w:vAlign w:val="center"/>
          </w:tcPr>
          <w:p w14:paraId="711E87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pH、耗氧量、挥发性酚、氨氮、氯化物、硝酸盐、亚硝酸盐、铁、锰、镉、铅、Cr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perscript"/>
                <w:lang w:val="en-US" w:eastAsia="zh-CN"/>
              </w:rPr>
              <w:t>6+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、As、汞、总大肠菌群</w:t>
            </w:r>
          </w:p>
        </w:tc>
        <w:tc>
          <w:tcPr>
            <w:tcW w:w="3654" w:type="dxa"/>
            <w:vMerge w:val="restart"/>
            <w:tcBorders/>
            <w:vAlign w:val="center"/>
          </w:tcPr>
          <w:p w14:paraId="54C45E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一年两次（枯、丰水期）</w:t>
            </w:r>
          </w:p>
        </w:tc>
      </w:tr>
      <w:tr w14:paraId="1DE433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37" w:hRule="atLeast"/>
        </w:trPr>
        <w:tc>
          <w:tcPr>
            <w:tcW w:w="1047" w:type="dxa"/>
            <w:vMerge w:val="continue"/>
            <w:tcBorders/>
            <w:vAlign w:val="center"/>
          </w:tcPr>
          <w:p w14:paraId="193F86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4097" w:type="dxa"/>
            <w:gridSpan w:val="2"/>
            <w:vAlign w:val="center"/>
          </w:tcPr>
          <w:p w14:paraId="448FCCA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曹家坪村水井</w:t>
            </w:r>
          </w:p>
        </w:tc>
        <w:tc>
          <w:tcPr>
            <w:tcW w:w="6711" w:type="dxa"/>
            <w:vMerge w:val="continue"/>
            <w:tcBorders/>
            <w:vAlign w:val="center"/>
          </w:tcPr>
          <w:p w14:paraId="7EC8AC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3654" w:type="dxa"/>
            <w:vMerge w:val="continue"/>
            <w:tcBorders/>
            <w:vAlign w:val="center"/>
          </w:tcPr>
          <w:p w14:paraId="6AE9DD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 w14:paraId="44514B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65" w:hRule="atLeast"/>
        </w:trPr>
        <w:tc>
          <w:tcPr>
            <w:tcW w:w="1047" w:type="dxa"/>
            <w:vMerge w:val="restart"/>
            <w:tcBorders/>
            <w:vAlign w:val="center"/>
          </w:tcPr>
          <w:p w14:paraId="5D0A20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土壤</w:t>
            </w:r>
          </w:p>
        </w:tc>
        <w:tc>
          <w:tcPr>
            <w:tcW w:w="4097" w:type="dxa"/>
            <w:gridSpan w:val="2"/>
            <w:vAlign w:val="center"/>
          </w:tcPr>
          <w:p w14:paraId="06300A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罗旧集镇</w:t>
            </w:r>
          </w:p>
        </w:tc>
        <w:tc>
          <w:tcPr>
            <w:tcW w:w="6711" w:type="dxa"/>
            <w:vMerge w:val="restart"/>
            <w:tcBorders/>
            <w:vAlign w:val="center"/>
          </w:tcPr>
          <w:p w14:paraId="154B90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pH、铜、铅、锌、镉、铬（建设用地测Cr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superscript"/>
                <w:lang w:val="en-US" w:eastAsia="zh-CN"/>
              </w:rPr>
              <w:t>6+</w:t>
            </w: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）、汞、砷、镍，分耕作土和建设用地分别进行取样</w:t>
            </w:r>
          </w:p>
        </w:tc>
        <w:tc>
          <w:tcPr>
            <w:tcW w:w="3654" w:type="dxa"/>
            <w:vMerge w:val="restart"/>
            <w:tcBorders/>
            <w:vAlign w:val="center"/>
          </w:tcPr>
          <w:p w14:paraId="5158DFC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一年一次</w:t>
            </w:r>
          </w:p>
        </w:tc>
      </w:tr>
      <w:tr w14:paraId="5C53C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565" w:hRule="atLeast"/>
        </w:trPr>
        <w:tc>
          <w:tcPr>
            <w:tcW w:w="1047" w:type="dxa"/>
            <w:vMerge w:val="continue"/>
            <w:tcBorders/>
            <w:vAlign w:val="center"/>
          </w:tcPr>
          <w:p w14:paraId="11CE5B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4097" w:type="dxa"/>
            <w:gridSpan w:val="2"/>
            <w:vAlign w:val="center"/>
          </w:tcPr>
          <w:p w14:paraId="215F0B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工业集中区内</w:t>
            </w:r>
          </w:p>
        </w:tc>
        <w:tc>
          <w:tcPr>
            <w:tcW w:w="6711" w:type="dxa"/>
            <w:vMerge w:val="continue"/>
            <w:tcBorders/>
            <w:vAlign w:val="center"/>
          </w:tcPr>
          <w:p w14:paraId="2DBCEE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  <w:tc>
          <w:tcPr>
            <w:tcW w:w="3654" w:type="dxa"/>
            <w:vMerge w:val="continue"/>
            <w:tcBorders/>
            <w:vAlign w:val="center"/>
          </w:tcPr>
          <w:p w14:paraId="15F59B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</w:p>
        </w:tc>
      </w:tr>
      <w:tr w14:paraId="176BD6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left w:w="108" w:type="dxa"/>
            <w:right w:w="108" w:type="dxa"/>
          </w:tblCellMar>
        </w:tblPrEx>
        <w:trPr>
          <w:trHeight w:val="893" w:hRule="atLeast"/>
        </w:trPr>
        <w:tc>
          <w:tcPr>
            <w:tcW w:w="1047" w:type="dxa"/>
            <w:tcBorders/>
            <w:vAlign w:val="center"/>
          </w:tcPr>
          <w:p w14:paraId="1948F3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噪声</w:t>
            </w:r>
          </w:p>
        </w:tc>
        <w:tc>
          <w:tcPr>
            <w:tcW w:w="4097" w:type="dxa"/>
            <w:gridSpan w:val="2"/>
            <w:vAlign w:val="center"/>
          </w:tcPr>
          <w:p w14:paraId="158C5FC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both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园区主要交通干线两侧、及园区周边居民点等声环境敏感目标</w:t>
            </w:r>
          </w:p>
        </w:tc>
        <w:tc>
          <w:tcPr>
            <w:tcW w:w="6711" w:type="dxa"/>
            <w:tcBorders/>
            <w:vAlign w:val="center"/>
          </w:tcPr>
          <w:p w14:paraId="72570B1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等效连续A声级</w:t>
            </w:r>
          </w:p>
        </w:tc>
        <w:tc>
          <w:tcPr>
            <w:tcW w:w="3654" w:type="dxa"/>
            <w:tcBorders/>
            <w:vAlign w:val="center"/>
          </w:tcPr>
          <w:p w14:paraId="15A0E3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00" w:lineRule="atLeast"/>
              <w:jc w:val="center"/>
              <w:textAlignment w:val="auto"/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8"/>
                <w:szCs w:val="28"/>
                <w:vertAlign w:val="baseline"/>
                <w:lang w:val="en-US" w:eastAsia="zh-CN"/>
              </w:rPr>
              <w:t>半年一次，分昼夜进行。特殊情况可适当增加</w:t>
            </w:r>
          </w:p>
        </w:tc>
      </w:tr>
    </w:tbl>
    <w:p w14:paraId="7774B10B">
      <w:pPr>
        <w:rPr>
          <w:rFonts w:hint="eastAsia"/>
          <w:lang w:val="en-US"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注：监测计划参照二零二二年芷江产业开发区跟踪监测调整计划</w:t>
      </w:r>
    </w:p>
    <w:p w14:paraId="540CC03F">
      <w:pPr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监测点位分布图</w:t>
      </w:r>
    </w:p>
    <w:p w14:paraId="13B74C28">
      <w:pPr>
        <w:rPr>
          <w:rFonts w:hint="default"/>
          <w:lang w:val="en-US" w:eastAsia="zh-CN"/>
        </w:rPr>
      </w:pPr>
      <w:bookmarkStart w:id="0" w:name="_GoBack"/>
      <w:r>
        <w:rPr>
          <w:rFonts w:hint="default"/>
          <w:lang w:val="en-US" w:eastAsia="zh-CN"/>
        </w:rPr>
        <w:drawing>
          <wp:inline distT="0" distB="0" distL="114300" distR="114300">
            <wp:extent cx="9780270" cy="6095365"/>
            <wp:effectExtent l="0" t="0" r="11430" b="635"/>
            <wp:docPr id="1" name="图片 1" descr="监测点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监测点位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780270" cy="609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9862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27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2025-01-02T03:20:35Z</dcterms:created>
  <dc:creator>a2353</dc:creator>
  <cp:lastModifiedBy>王炜钰</cp:lastModifiedBy>
  <dcterms:modified xsi:type="dcterms:W3CDTF">2025-01-02T03:47:36Z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KSOTemplateDocerSaveRecord">
    <vt:lpwstr>eyJoZGlkIjoiYWZjOTU0MzcwM2IxMWNhNTVhNTMyOTA1ODc3MGQ1YTciLCJ1c2VySWQiOiI0NTY3MzY0ODUifQ==</vt:lpwstr>
  </property>
  <property fmtid="{D5CDD505-2E9C-101B-9397-08002B2CF9AE}" pid="4" name="ICV">
    <vt:lpwstr>771D1D08BC964BB582A6352856B32038_12</vt:lpwstr>
  </property>
</Properties>
</file>